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2709545</wp:posOffset>
            </wp:positionH>
            <wp:positionV relativeFrom="paragraph">
              <wp:posOffset>137160</wp:posOffset>
            </wp:positionV>
            <wp:extent cx="16973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36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2709545</wp:posOffset>
            </wp:positionH>
            <wp:positionV relativeFrom="paragraph">
              <wp:posOffset>140335</wp:posOffset>
            </wp:positionV>
            <wp:extent cx="1697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38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Date of report (Date of earliest event reported): June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2709545</wp:posOffset>
            </wp:positionH>
            <wp:positionV relativeFrom="paragraph">
              <wp:posOffset>133985</wp:posOffset>
            </wp:positionV>
            <wp:extent cx="1697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2564130</wp:posOffset>
            </wp:positionH>
            <wp:positionV relativeFrom="paragraph">
              <wp:posOffset>245745</wp:posOffset>
            </wp:positionV>
            <wp:extent cx="1988820" cy="608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88820"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Academy Sports and Outdoors, Inc.</w:t>
      </w:r>
    </w:p>
    <w:p>
      <w:pPr>
        <w:spacing w:after="0" w:line="10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2709545</wp:posOffset>
            </wp:positionH>
            <wp:positionV relativeFrom="paragraph">
              <wp:posOffset>129540</wp:posOffset>
            </wp:positionV>
            <wp:extent cx="1697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sectPr>
      </w:pPr>
    </w:p>
    <w:p>
      <w:pPr>
        <w:spacing w:after="0" w:line="200" w:lineRule="exact"/>
        <w:rPr>
          <w:sz w:val="24"/>
          <w:szCs w:val="24"/>
          <w:color w:val="auto"/>
        </w:rPr>
      </w:pPr>
    </w:p>
    <w:p>
      <w:pPr>
        <w:spacing w:after="0" w:line="211" w:lineRule="exact"/>
        <w:rPr>
          <w:sz w:val="24"/>
          <w:szCs w:val="24"/>
          <w:color w:val="auto"/>
        </w:rPr>
      </w:pPr>
    </w:p>
    <w:p>
      <w:pPr>
        <w:ind w:left="190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73" w:lineRule="exact"/>
        <w:rPr>
          <w:sz w:val="24"/>
          <w:szCs w:val="24"/>
          <w:color w:val="auto"/>
        </w:rPr>
      </w:pPr>
    </w:p>
    <w:p>
      <w:pPr>
        <w:jc w:val="center"/>
        <w:ind w:right="2080"/>
        <w:spacing w:after="0"/>
        <w:rPr>
          <w:sz w:val="20"/>
          <w:szCs w:val="20"/>
          <w:color w:val="auto"/>
        </w:rPr>
      </w:pPr>
      <w:r>
        <w:rPr>
          <w:rFonts w:ascii="Arial" w:cs="Arial" w:eastAsia="Arial" w:hAnsi="Arial"/>
          <w:sz w:val="14"/>
          <w:szCs w:val="14"/>
          <w:b w:val="1"/>
          <w:bCs w:val="1"/>
          <w:color w:val="auto"/>
        </w:rPr>
        <w:t>001-39589</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85-1800912</w:t>
      </w:r>
    </w:p>
    <w:p>
      <w:pPr>
        <w:spacing w:after="0" w:line="147" w:lineRule="exact"/>
        <w:rPr>
          <w:sz w:val="24"/>
          <w:szCs w:val="24"/>
          <w:color w:val="auto"/>
        </w:rPr>
      </w:pPr>
    </w:p>
    <w:p>
      <w:pPr>
        <w:sectPr>
          <w:pgSz w:w="11900" w:h="16838" w:orient="portrait"/>
          <w:cols w:equalWidth="0" w:num="3">
            <w:col w:w="4540" w:space="720"/>
            <w:col w:w="2780" w:space="720"/>
            <w:col w:w="2400"/>
          </w:cols>
          <w:pgMar w:left="340" w:top="747" w:right="399" w:bottom="1440" w:gutter="0" w:footer="0" w:header="0"/>
          <w:type w:val="continuous"/>
        </w:sectPr>
      </w:pPr>
    </w:p>
    <w:p>
      <w:pPr>
        <w:ind w:left="118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163" w:lineRule="exact"/>
        <w:rPr>
          <w:sz w:val="24"/>
          <w:szCs w:val="24"/>
          <w:color w:val="auto"/>
        </w:rPr>
      </w:pPr>
    </w:p>
    <w:p>
      <w:pPr>
        <w:sectPr>
          <w:pgSz w:w="11900" w:h="16838" w:orient="portrait"/>
          <w:cols w:equalWidth="0" w:num="3">
            <w:col w:w="4440" w:space="720"/>
            <w:col w:w="2640" w:space="720"/>
            <w:col w:w="2640"/>
          </w:cols>
          <w:pgMar w:left="340" w:top="747" w:right="399" w:bottom="1440" w:gutter="0" w:footer="0" w:header="0"/>
          <w:type w:val="continuous"/>
        </w:sectPr>
      </w:pPr>
    </w:p>
    <w:p>
      <w:pPr>
        <w:ind w:left="1660"/>
        <w:spacing w:after="0"/>
        <w:rPr>
          <w:sz w:val="20"/>
          <w:szCs w:val="20"/>
          <w:color w:val="auto"/>
        </w:rPr>
      </w:pPr>
      <w:r>
        <w:rPr>
          <w:rFonts w:ascii="Arial" w:cs="Arial" w:eastAsia="Arial" w:hAnsi="Arial"/>
          <w:sz w:val="15"/>
          <w:szCs w:val="15"/>
          <w:color w:val="auto"/>
        </w:rPr>
        <w:t>incorporation)</w:t>
      </w:r>
    </w:p>
    <w:p>
      <w:pPr>
        <w:spacing w:after="0" w:line="20" w:lineRule="exact"/>
        <w:rPr>
          <w:sz w:val="24"/>
          <w:szCs w:val="24"/>
          <w:color w:val="auto"/>
        </w:rPr>
      </w:pPr>
      <w:r>
        <w:rPr>
          <w:sz w:val="24"/>
          <w:szCs w:val="24"/>
          <w:color w:val="auto"/>
        </w:rPr>
        <w:br w:type="column"/>
      </w:r>
    </w:p>
    <w:p>
      <w:pPr>
        <w:jc w:val="center"/>
        <w:ind w:right="1860"/>
        <w:spacing w:after="0"/>
        <w:rPr>
          <w:sz w:val="20"/>
          <w:szCs w:val="20"/>
          <w:color w:val="auto"/>
        </w:rPr>
      </w:pPr>
      <w:r>
        <w:rPr>
          <w:rFonts w:ascii="Arial" w:cs="Arial" w:eastAsia="Arial" w:hAnsi="Arial"/>
          <w:sz w:val="15"/>
          <w:szCs w:val="15"/>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Identification No.)</w:t>
      </w:r>
    </w:p>
    <w:p>
      <w:pPr>
        <w:spacing w:after="0" w:line="161" w:lineRule="exact"/>
        <w:rPr>
          <w:sz w:val="24"/>
          <w:szCs w:val="24"/>
          <w:color w:val="auto"/>
        </w:rPr>
      </w:pPr>
    </w:p>
    <w:p>
      <w:pPr>
        <w:sectPr>
          <w:pgSz w:w="11900" w:h="16838" w:orient="portrait"/>
          <w:cols w:equalWidth="0" w:num="3">
            <w:col w:w="4580" w:space="720"/>
            <w:col w:w="2460" w:space="720"/>
            <w:col w:w="2680"/>
          </w:cols>
          <w:pgMar w:left="340" w:top="747" w:right="39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1800 North Mason Road</w:t>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Katy, Texas 77449</w:t>
      </w:r>
    </w:p>
    <w:p>
      <w:pPr>
        <w:spacing w:after="0" w:line="77" w:lineRule="exact"/>
        <w:rPr>
          <w:sz w:val="24"/>
          <w:szCs w:val="24"/>
          <w:color w:val="auto"/>
        </w:rPr>
      </w:pPr>
    </w:p>
    <w:p>
      <w:pPr>
        <w:ind w:left="3760"/>
        <w:spacing w:after="0"/>
        <w:rPr>
          <w:sz w:val="20"/>
          <w:szCs w:val="20"/>
          <w:color w:val="auto"/>
        </w:rPr>
      </w:pPr>
      <w:r>
        <w:rPr>
          <w:rFonts w:ascii="Arial" w:cs="Arial" w:eastAsia="Arial" w:hAnsi="Arial"/>
          <w:sz w:val="14"/>
          <w:szCs w:val="14"/>
          <w:i w:val="1"/>
          <w:iCs w:val="1"/>
          <w:color w:val="auto"/>
        </w:rPr>
        <w:t>(Address of principal executive offices, including Zip Code)</w:t>
      </w:r>
    </w:p>
    <w:p>
      <w:pPr>
        <w:spacing w:after="0" w:line="173" w:lineRule="exact"/>
        <w:rPr>
          <w:sz w:val="24"/>
          <w:szCs w:val="24"/>
          <w:color w:val="auto"/>
        </w:rPr>
      </w:pPr>
    </w:p>
    <w:p>
      <w:pPr>
        <w:ind w:left="5100"/>
        <w:spacing w:after="0"/>
        <w:rPr>
          <w:sz w:val="20"/>
          <w:szCs w:val="20"/>
          <w:color w:val="auto"/>
        </w:rPr>
      </w:pPr>
      <w:r>
        <w:rPr>
          <w:rFonts w:ascii="Arial" w:cs="Arial" w:eastAsia="Arial" w:hAnsi="Arial"/>
          <w:sz w:val="16"/>
          <w:szCs w:val="16"/>
          <w:b w:val="1"/>
          <w:bCs w:val="1"/>
          <w:color w:val="auto"/>
        </w:rPr>
        <w:t>(281) 646-5200</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7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Not Applicable</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2709545</wp:posOffset>
            </wp:positionH>
            <wp:positionV relativeFrom="paragraph">
              <wp:posOffset>144145</wp:posOffset>
            </wp:positionV>
            <wp:extent cx="16973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84"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72"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1" w:lineRule="exact"/>
        <w:rPr>
          <w:sz w:val="24"/>
          <w:szCs w:val="24"/>
          <w:color w:val="auto"/>
        </w:rPr>
      </w:pPr>
    </w:p>
    <w:tbl>
      <w:tblPr>
        <w:tblLayout w:type="fixed"/>
        <w:tblInd w:w="68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520" w:type="dxa"/>
            <w:vAlign w:val="bottom"/>
          </w:tcPr>
          <w:p>
            <w:pPr>
              <w:spacing w:after="0"/>
              <w:rPr>
                <w:sz w:val="16"/>
                <w:szCs w:val="16"/>
                <w:color w:val="auto"/>
              </w:rPr>
            </w:pPr>
          </w:p>
        </w:tc>
        <w:tc>
          <w:tcPr>
            <w:tcW w:w="1980" w:type="dxa"/>
            <w:vAlign w:val="bottom"/>
            <w:gridSpan w:val="2"/>
          </w:tcPr>
          <w:p>
            <w:pPr>
              <w:jc w:val="center"/>
              <w:ind w:left="619"/>
              <w:spacing w:after="0"/>
              <w:rPr>
                <w:sz w:val="20"/>
                <w:szCs w:val="20"/>
                <w:color w:val="auto"/>
              </w:rPr>
            </w:pPr>
            <w:r>
              <w:rPr>
                <w:rFonts w:ascii="Arial" w:cs="Arial" w:eastAsia="Arial" w:hAnsi="Arial"/>
                <w:sz w:val="16"/>
                <w:szCs w:val="16"/>
                <w:b w:val="1"/>
                <w:bCs w:val="1"/>
                <w:color w:val="auto"/>
                <w:w w:val="91"/>
              </w:rPr>
              <w:t>Trading Symbol(s)</w:t>
            </w:r>
          </w:p>
        </w:tc>
        <w:tc>
          <w:tcPr>
            <w:tcW w:w="4340" w:type="dxa"/>
            <w:vAlign w:val="bottom"/>
            <w:gridSpan w:val="2"/>
          </w:tcPr>
          <w:p>
            <w:pPr>
              <w:jc w:val="center"/>
              <w:ind w:left="12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71"/>
        </w:trPr>
        <w:tc>
          <w:tcPr>
            <w:tcW w:w="3580" w:type="dxa"/>
            <w:vAlign w:val="bottom"/>
            <w:gridSpan w:val="3"/>
          </w:tcPr>
          <w:p>
            <w:pPr>
              <w:jc w:val="center"/>
              <w:ind w:right="680"/>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70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ASO</w:t>
            </w:r>
          </w:p>
        </w:tc>
        <w:tc>
          <w:tcPr>
            <w:tcW w:w="1340" w:type="dxa"/>
            <w:vAlign w:val="bottom"/>
          </w:tcPr>
          <w:p>
            <w:pPr>
              <w:spacing w:after="0"/>
              <w:rPr>
                <w:sz w:val="23"/>
                <w:szCs w:val="23"/>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Stock Market LLC</w:t>
            </w:r>
          </w:p>
        </w:tc>
      </w:tr>
    </w:tbl>
    <w:p>
      <w:pPr>
        <w:spacing w:after="0" w:line="199" w:lineRule="exact"/>
        <w:rPr>
          <w:sz w:val="24"/>
          <w:szCs w:val="24"/>
          <w:color w:val="auto"/>
        </w:rPr>
      </w:pPr>
    </w:p>
    <w:p>
      <w:pPr>
        <w:spacing w:after="0" w:line="26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90" w:lineRule="exact"/>
        <w:rPr>
          <w:sz w:val="24"/>
          <w:szCs w:val="24"/>
          <w:color w:val="auto"/>
        </w:rPr>
      </w:pPr>
    </w:p>
    <w:p>
      <w:pPr>
        <w:ind w:right="50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395605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90805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116840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3"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On June 6, 2023, Academy Sports and Outdoors, Inc. (the “Company”) issued a press release announcing financial results for the quarter ended April 29, 2023. A copy of the press release is furnished herewith as Exhibit 99.1 and incorporated by reference herein.</w:t>
      </w:r>
    </w:p>
    <w:p>
      <w:pPr>
        <w:spacing w:after="0" w:line="184" w:lineRule="exact"/>
        <w:rPr>
          <w:sz w:val="20"/>
          <w:szCs w:val="20"/>
          <w:color w:val="auto"/>
        </w:rPr>
      </w:pPr>
    </w:p>
    <w:p>
      <w:pPr>
        <w:jc w:val="both"/>
        <w:ind w:firstLine="401"/>
        <w:spacing w:after="0" w:line="245" w:lineRule="auto"/>
        <w:rPr>
          <w:sz w:val="20"/>
          <w:szCs w:val="20"/>
          <w:color w:val="auto"/>
        </w:rPr>
      </w:pPr>
      <w:r>
        <w:rPr>
          <w:rFonts w:ascii="Arial" w:cs="Arial" w:eastAsia="Arial" w:hAnsi="Arial"/>
          <w:sz w:val="18"/>
          <w:szCs w:val="18"/>
          <w:color w:val="auto"/>
        </w:rPr>
        <w:t>The information in this Current Report on Form 8-K, including exhibits, is being furnished to the U.S.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the Company’s filings with the SEC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6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Arial" w:cs="Arial" w:eastAsia="Arial" w:hAnsi="Arial"/>
                <w:sz w:val="18"/>
                <w:szCs w:val="18"/>
                <w:b w:val="1"/>
                <w:bCs w:val="1"/>
                <w:color w:val="auto"/>
              </w:rPr>
              <w:t>(d) Exhibits.</w:t>
            </w:r>
          </w:p>
        </w:tc>
        <w:tc>
          <w:tcPr>
            <w:tcW w:w="100" w:type="dxa"/>
            <w:vAlign w:val="bottom"/>
          </w:tcPr>
          <w:p>
            <w:pPr>
              <w:spacing w:after="0"/>
              <w:rPr>
                <w:sz w:val="20"/>
                <w:szCs w:val="20"/>
                <w:color w:val="auto"/>
              </w:rPr>
            </w:pPr>
          </w:p>
        </w:tc>
        <w:tc>
          <w:tcPr>
            <w:tcW w:w="9620" w:type="dxa"/>
            <w:vAlign w:val="bottom"/>
          </w:tcPr>
          <w:p>
            <w:pPr>
              <w:spacing w:after="0"/>
              <w:rPr>
                <w:sz w:val="20"/>
                <w:szCs w:val="20"/>
                <w:color w:val="auto"/>
              </w:rPr>
            </w:pPr>
          </w:p>
        </w:tc>
      </w:tr>
      <w:tr>
        <w:trPr>
          <w:trHeight w:val="500"/>
        </w:trPr>
        <w:tc>
          <w:tcPr>
            <w:tcW w:w="1520" w:type="dxa"/>
            <w:vAlign w:val="bottom"/>
          </w:tcPr>
          <w:p>
            <w:pPr>
              <w:ind w:left="320"/>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4"/>
                <w:szCs w:val="24"/>
                <w:color w:val="auto"/>
              </w:rPr>
            </w:pPr>
          </w:p>
        </w:tc>
        <w:tc>
          <w:tcPr>
            <w:tcW w:w="9620" w:type="dxa"/>
            <w:vAlign w:val="bottom"/>
          </w:tcPr>
          <w:p>
            <w:pPr>
              <w:ind w:left="396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20" w:type="dxa"/>
            <w:vAlign w:val="bottom"/>
            <w:tcBorders>
              <w:bottom w:val="single" w:sz="8" w:color="auto"/>
            </w:tcBorders>
          </w:tcPr>
          <w:p>
            <w:pPr>
              <w:spacing w:after="0"/>
              <w:rPr>
                <w:sz w:val="2"/>
                <w:szCs w:val="2"/>
                <w:color w:val="auto"/>
              </w:rPr>
            </w:pPr>
          </w:p>
        </w:tc>
      </w:tr>
      <w:tr>
        <w:trPr>
          <w:trHeight w:val="243"/>
        </w:trPr>
        <w:tc>
          <w:tcPr>
            <w:tcW w:w="1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00FF"/>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Academy Sports and Outdoors, Inc. Press Release, dated June 6, 2023.</w:t>
            </w:r>
          </w:p>
        </w:tc>
      </w:tr>
      <w:tr>
        <w:trPr>
          <w:trHeight w:val="243"/>
        </w:trPr>
        <w:tc>
          <w:tcPr>
            <w:tcW w:w="1520" w:type="dxa"/>
            <w:vAlign w:val="bottom"/>
          </w:tcPr>
          <w:p>
            <w:pPr>
              <w:ind w:left="18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775"/>
        </w:trPr>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4"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60" w:val="left"/>
          <w:tab w:leader="none" w:pos="6980" w:val="left"/>
          <w:tab w:leader="none" w:pos="7320" w:val="left"/>
        </w:tabs>
        <w:rPr>
          <w:sz w:val="20"/>
          <w:szCs w:val="20"/>
          <w:color w:val="auto"/>
        </w:rPr>
      </w:pPr>
      <w:r>
        <w:rPr>
          <w:rFonts w:ascii="Arial" w:cs="Arial" w:eastAsia="Arial" w:hAnsi="Arial"/>
          <w:sz w:val="18"/>
          <w:szCs w:val="18"/>
          <w:color w:val="auto"/>
        </w:rPr>
        <w:t>Date: June 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31750</wp:posOffset>
            </wp:positionV>
            <wp:extent cx="27089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57" w:lineRule="exact"/>
        <w:rPr>
          <w:sz w:val="20"/>
          <w:szCs w:val="20"/>
          <w:color w:val="auto"/>
        </w:rPr>
      </w:pPr>
    </w:p>
    <w:p>
      <w:pPr>
        <w:ind w:left="6280"/>
        <w:spacing w:after="0"/>
        <w:tabs>
          <w:tab w:leader="none" w:pos="6980" w:val="left"/>
        </w:tabs>
        <w:rPr>
          <w:sz w:val="20"/>
          <w:szCs w:val="20"/>
          <w:color w:val="auto"/>
        </w:rPr>
      </w:pPr>
      <w:r>
        <w:rPr>
          <w:rFonts w:ascii="Arial" w:cs="Arial" w:eastAsia="Arial" w:hAnsi="Arial"/>
          <w:sz w:val="18"/>
          <w:szCs w:val="18"/>
          <w:color w:val="auto"/>
        </w:rPr>
        <w:t>Name:</w:t>
        <w:tab/>
        <w:t>Rene G. Casares</w:t>
      </w:r>
    </w:p>
    <w:p>
      <w:pPr>
        <w:spacing w:after="0" w:line="63" w:lineRule="exact"/>
        <w:rPr>
          <w:sz w:val="20"/>
          <w:szCs w:val="20"/>
          <w:color w:val="auto"/>
        </w:rPr>
      </w:pPr>
    </w:p>
    <w:p>
      <w:pPr>
        <w:ind w:left="6280"/>
        <w:spacing w:after="0"/>
        <w:tabs>
          <w:tab w:leader="none" w:pos="69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Senior Vice President, General Counsel and Secretary</w:t>
      </w:r>
    </w:p>
    <w:p>
      <w:pPr>
        <w:sectPr>
          <w:pgSz w:w="11900" w:h="16838" w:orient="portrait"/>
          <w:cols w:equalWidth="0" w:num="1">
            <w:col w:w="11240"/>
          </w:cols>
          <w:pgMar w:left="320" w:top="1417"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306070</wp:posOffset>
            </wp:positionV>
            <wp:extent cx="1894205"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9420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Academy Sports + Outdoors Reports First Quarter 2023 Results</w:t>
      </w:r>
    </w:p>
    <w:p>
      <w:pPr>
        <w:spacing w:after="0" w:line="238"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First Quarter GAAP Diluted EPS of $1.19, or $1.30 Adjusted Diluted EPS</w:t>
      </w: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Net Sales Decline 5.7%; Comparable Sales Decline 7.3%</w:t>
      </w: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Company Opens One New Store During Q1; Plans to Open 13 to 15 in 2023</w:t>
      </w:r>
    </w:p>
    <w:p>
      <w:pPr>
        <w:spacing w:after="0" w:line="23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color w:val="auto"/>
        </w:rPr>
        <w:t xml:space="preserve">KATY, TEXAS (Globe Newswire — June 6, 2023) </w:t>
      </w:r>
      <w:r>
        <w:rPr>
          <w:rFonts w:ascii="Arial" w:cs="Arial" w:eastAsia="Arial" w:hAnsi="Arial"/>
          <w:sz w:val="18"/>
          <w:szCs w:val="18"/>
          <w:color w:val="auto"/>
        </w:rPr>
        <w:t>– Academy Sports and Outdoors, Inc. (Nasdaq: ASO) ("Academy" or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its financial results for the first quarter ended April 29, 2023.</w:t>
      </w:r>
    </w:p>
    <w:p>
      <w:pPr>
        <w:spacing w:after="0" w:line="19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Executive Chairman, Ken Hicks commented, "Our first quarter results were below our expectations for sales and profit as they were impacted by the ongoing macro-economic pressures on customers, unfavorable weather as well as strong comparisons in our hunting business last year. However, Academy is a strong retailer with a solid financial and business foundation and a proven ability to operate effectively and deliver strong results through challenging environments. We are focused on driving sustainable sales and earnings growth over the long term by executing our new long-range plan we recently shared."</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Chief Executive Officer, Steve Lawrence added, "Looking ahead, we are confident that our well-established business model, coupled with our strong balance sheet and our new long-range plan, will drive long-term success. In the near term, we are taking actions to help drive the business in this economic environment. These actions include increasing our focus on products that offer value, newness and innovation to</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drive sales; closely managing inventory levels; maintaining our financial health by controlling expenses; and supporting our growth initiatives."</w:t>
      </w:r>
    </w:p>
    <w:p>
      <w:pPr>
        <w:spacing w:after="0" w:line="251" w:lineRule="exact"/>
        <w:rPr>
          <w:sz w:val="20"/>
          <w:szCs w:val="20"/>
          <w:color w:val="auto"/>
        </w:rPr>
      </w:pPr>
    </w:p>
    <w:tbl>
      <w:tblPr>
        <w:tblLayout w:type="fixed"/>
        <w:tblInd w:w="890" w:type="dxa"/>
        <w:tblCellMar>
          <w:top w:w="0" w:type="dxa"/>
          <w:left w:w="0" w:type="dxa"/>
          <w:bottom w:w="0" w:type="dxa"/>
          <w:right w:w="0" w:type="dxa"/>
        </w:tblCellMar>
      </w:tblPr>
      <w:tr>
        <w:trPr>
          <w:trHeight w:val="266"/>
        </w:trPr>
        <w:tc>
          <w:tcPr>
            <w:tcW w:w="4240" w:type="dxa"/>
            <w:vAlign w:val="bottom"/>
            <w:tcBorders>
              <w:top w:val="single" w:sz="8" w:color="auto"/>
              <w:left w:val="single" w:sz="8" w:color="auto"/>
            </w:tcBorders>
            <w:vMerge w:val="restart"/>
            <w:shd w:val="clear" w:color="auto" w:fill="1928A0"/>
          </w:tcPr>
          <w:p>
            <w:pPr>
              <w:ind w:left="20"/>
              <w:spacing w:after="0"/>
              <w:rPr>
                <w:sz w:val="20"/>
                <w:szCs w:val="20"/>
                <w:color w:val="auto"/>
              </w:rPr>
            </w:pPr>
            <w:r>
              <w:rPr>
                <w:rFonts w:ascii="Arial" w:cs="Arial" w:eastAsia="Arial" w:hAnsi="Arial"/>
                <w:sz w:val="20"/>
                <w:szCs w:val="20"/>
                <w:b w:val="1"/>
                <w:bCs w:val="1"/>
                <w:color w:val="FFFFFF"/>
                <w:w w:val="90"/>
              </w:rPr>
              <w:t xml:space="preserve">First Quarter Operatng Results </w:t>
            </w:r>
            <w:r>
              <w:rPr>
                <w:rFonts w:ascii="Arial" w:cs="Arial" w:eastAsia="Arial" w:hAnsi="Arial"/>
                <w:sz w:val="14"/>
                <w:szCs w:val="14"/>
                <w:b w:val="1"/>
                <w:bCs w:val="1"/>
                <w:color w:val="FFFFFF"/>
                <w:w w:val="90"/>
              </w:rPr>
              <w:t>($ in millions, except per</w:t>
            </w:r>
          </w:p>
        </w:tc>
        <w:tc>
          <w:tcPr>
            <w:tcW w:w="380" w:type="dxa"/>
            <w:vAlign w:val="bottom"/>
            <w:tcBorders>
              <w:top w:val="single" w:sz="8" w:color="auto"/>
            </w:tcBorders>
            <w:shd w:val="clear" w:color="auto" w:fill="1928A0"/>
          </w:tcPr>
          <w:p>
            <w:pPr>
              <w:spacing w:after="0"/>
              <w:rPr>
                <w:sz w:val="23"/>
                <w:szCs w:val="23"/>
                <w:color w:val="auto"/>
              </w:rPr>
            </w:pPr>
          </w:p>
        </w:tc>
        <w:tc>
          <w:tcPr>
            <w:tcW w:w="3660" w:type="dxa"/>
            <w:vAlign w:val="bottom"/>
            <w:tcBorders>
              <w:top w:val="single" w:sz="8" w:color="auto"/>
            </w:tcBorders>
            <w:gridSpan w:val="3"/>
            <w:shd w:val="clear" w:color="auto" w:fill="1928A0"/>
          </w:tcPr>
          <w:p>
            <w:pPr>
              <w:jc w:val="right"/>
              <w:ind w:right="1269"/>
              <w:spacing w:after="0"/>
              <w:rPr>
                <w:sz w:val="20"/>
                <w:szCs w:val="20"/>
                <w:color w:val="auto"/>
              </w:rPr>
            </w:pPr>
            <w:r>
              <w:rPr>
                <w:rFonts w:ascii="Arial" w:cs="Arial" w:eastAsia="Arial" w:hAnsi="Arial"/>
                <w:sz w:val="20"/>
                <w:szCs w:val="20"/>
                <w:b w:val="1"/>
                <w:bCs w:val="1"/>
                <w:color w:val="FFFFFF"/>
              </w:rPr>
              <w:t>13 Weeks Ended</w:t>
            </w:r>
          </w:p>
        </w:tc>
        <w:tc>
          <w:tcPr>
            <w:tcW w:w="1220" w:type="dxa"/>
            <w:vAlign w:val="bottom"/>
            <w:tcBorders>
              <w:top w:val="single" w:sz="8" w:color="auto"/>
              <w:right w:val="single" w:sz="8" w:color="auto"/>
            </w:tcBorders>
            <w:shd w:val="clear" w:color="auto" w:fill="1928A0"/>
          </w:tcPr>
          <w:p>
            <w:pPr>
              <w:ind w:left="200"/>
              <w:spacing w:after="0"/>
              <w:rPr>
                <w:sz w:val="20"/>
                <w:szCs w:val="20"/>
                <w:color w:val="auto"/>
              </w:rPr>
            </w:pPr>
            <w:r>
              <w:rPr>
                <w:rFonts w:ascii="Arial" w:cs="Arial" w:eastAsia="Arial" w:hAnsi="Arial"/>
                <w:sz w:val="20"/>
                <w:szCs w:val="20"/>
                <w:b w:val="1"/>
                <w:bCs w:val="1"/>
                <w:color w:val="FFFFFF"/>
              </w:rPr>
              <w:t>Change</w:t>
            </w:r>
          </w:p>
        </w:tc>
        <w:tc>
          <w:tcPr>
            <w:tcW w:w="0" w:type="dxa"/>
            <w:vAlign w:val="bottom"/>
          </w:tcPr>
          <w:p>
            <w:pPr>
              <w:spacing w:after="0"/>
              <w:rPr>
                <w:sz w:val="1"/>
                <w:szCs w:val="1"/>
                <w:color w:val="auto"/>
              </w:rPr>
            </w:pPr>
          </w:p>
        </w:tc>
      </w:tr>
      <w:tr>
        <w:trPr>
          <w:trHeight w:val="101"/>
        </w:trPr>
        <w:tc>
          <w:tcPr>
            <w:tcW w:w="4240" w:type="dxa"/>
            <w:vAlign w:val="bottom"/>
            <w:tcBorders>
              <w:left w:val="single" w:sz="8" w:color="auto"/>
            </w:tcBorders>
            <w:vMerge w:val="continue"/>
            <w:shd w:val="clear" w:color="auto" w:fill="1928A0"/>
          </w:tcPr>
          <w:p>
            <w:pPr>
              <w:spacing w:after="0"/>
              <w:rPr>
                <w:sz w:val="8"/>
                <w:szCs w:val="8"/>
                <w:color w:val="auto"/>
              </w:rPr>
            </w:pPr>
          </w:p>
        </w:tc>
        <w:tc>
          <w:tcPr>
            <w:tcW w:w="380" w:type="dxa"/>
            <w:vAlign w:val="bottom"/>
            <w:shd w:val="clear" w:color="auto" w:fill="1928A0"/>
          </w:tcPr>
          <w:p>
            <w:pPr>
              <w:spacing w:after="0"/>
              <w:rPr>
                <w:sz w:val="8"/>
                <w:szCs w:val="8"/>
                <w:color w:val="auto"/>
              </w:rPr>
            </w:pPr>
          </w:p>
        </w:tc>
        <w:tc>
          <w:tcPr>
            <w:tcW w:w="1500" w:type="dxa"/>
            <w:vAlign w:val="bottom"/>
            <w:vMerge w:val="restart"/>
            <w:shd w:val="clear" w:color="auto" w:fill="1928A0"/>
          </w:tcPr>
          <w:p>
            <w:pPr>
              <w:jc w:val="right"/>
              <w:ind w:right="188"/>
              <w:spacing w:after="0"/>
              <w:rPr>
                <w:sz w:val="20"/>
                <w:szCs w:val="20"/>
                <w:color w:val="auto"/>
              </w:rPr>
            </w:pPr>
            <w:r>
              <w:rPr>
                <w:rFonts w:ascii="Arial" w:cs="Arial" w:eastAsia="Arial" w:hAnsi="Arial"/>
                <w:sz w:val="20"/>
                <w:szCs w:val="20"/>
                <w:b w:val="1"/>
                <w:bCs w:val="1"/>
                <w:color w:val="FFFFFF"/>
                <w:w w:val="93"/>
              </w:rPr>
              <w:t>April 29, 2023</w:t>
            </w:r>
          </w:p>
        </w:tc>
        <w:tc>
          <w:tcPr>
            <w:tcW w:w="260" w:type="dxa"/>
            <w:vAlign w:val="bottom"/>
            <w:shd w:val="clear" w:color="auto" w:fill="1928A0"/>
          </w:tcPr>
          <w:p>
            <w:pPr>
              <w:spacing w:after="0"/>
              <w:rPr>
                <w:sz w:val="8"/>
                <w:szCs w:val="8"/>
                <w:color w:val="auto"/>
              </w:rPr>
            </w:pPr>
          </w:p>
        </w:tc>
        <w:tc>
          <w:tcPr>
            <w:tcW w:w="1900" w:type="dxa"/>
            <w:vAlign w:val="bottom"/>
            <w:vMerge w:val="restart"/>
            <w:shd w:val="clear" w:color="auto" w:fill="1928A0"/>
          </w:tcPr>
          <w:p>
            <w:pPr>
              <w:jc w:val="right"/>
              <w:ind w:right="509"/>
              <w:spacing w:after="0"/>
              <w:rPr>
                <w:sz w:val="20"/>
                <w:szCs w:val="20"/>
                <w:color w:val="auto"/>
              </w:rPr>
            </w:pPr>
            <w:r>
              <w:rPr>
                <w:rFonts w:ascii="Arial" w:cs="Arial" w:eastAsia="Arial" w:hAnsi="Arial"/>
                <w:sz w:val="20"/>
                <w:szCs w:val="20"/>
                <w:b w:val="1"/>
                <w:bCs w:val="1"/>
                <w:color w:val="FFFFFF"/>
                <w:w w:val="99"/>
              </w:rPr>
              <w:t>April 30, 2022</w:t>
            </w:r>
          </w:p>
        </w:tc>
        <w:tc>
          <w:tcPr>
            <w:tcW w:w="1220" w:type="dxa"/>
            <w:vAlign w:val="bottom"/>
            <w:tcBorders>
              <w:right w:val="single" w:sz="8" w:color="auto"/>
            </w:tcBorders>
            <w:vMerge w:val="restart"/>
            <w:shd w:val="clear" w:color="auto" w:fill="1928A0"/>
          </w:tcPr>
          <w:p>
            <w:pPr>
              <w:jc w:val="center"/>
              <w:ind w:right="108"/>
              <w:spacing w:after="0"/>
              <w:rPr>
                <w:sz w:val="20"/>
                <w:szCs w:val="20"/>
                <w:color w:val="auto"/>
              </w:rPr>
            </w:pPr>
            <w:r>
              <w:rPr>
                <w:rFonts w:ascii="Arial" w:cs="Arial" w:eastAsia="Arial" w:hAnsi="Arial"/>
                <w:sz w:val="20"/>
                <w:szCs w:val="20"/>
                <w:b w:val="1"/>
                <w:bCs w:val="1"/>
                <w:color w:val="FFFFFF"/>
                <w:w w:val="78"/>
              </w:rPr>
              <w:t>%</w:t>
            </w:r>
          </w:p>
        </w:tc>
        <w:tc>
          <w:tcPr>
            <w:tcW w:w="0" w:type="dxa"/>
            <w:vAlign w:val="bottom"/>
          </w:tcPr>
          <w:p>
            <w:pPr>
              <w:spacing w:after="0"/>
              <w:rPr>
                <w:sz w:val="1"/>
                <w:szCs w:val="1"/>
                <w:color w:val="auto"/>
              </w:rPr>
            </w:pPr>
          </w:p>
        </w:tc>
      </w:tr>
      <w:tr>
        <w:trPr>
          <w:trHeight w:val="220"/>
        </w:trPr>
        <w:tc>
          <w:tcPr>
            <w:tcW w:w="4240" w:type="dxa"/>
            <w:vAlign w:val="bottom"/>
            <w:tcBorders>
              <w:left w:val="single" w:sz="8" w:color="auto"/>
              <w:bottom w:val="single" w:sz="8" w:color="1928A0"/>
            </w:tcBorders>
            <w:shd w:val="clear" w:color="auto" w:fill="1928A0"/>
          </w:tcPr>
          <w:p>
            <w:pPr>
              <w:ind w:left="20"/>
              <w:spacing w:after="0"/>
              <w:rPr>
                <w:sz w:val="20"/>
                <w:szCs w:val="20"/>
                <w:color w:val="auto"/>
              </w:rPr>
            </w:pPr>
            <w:r>
              <w:rPr>
                <w:rFonts w:ascii="Arial" w:cs="Arial" w:eastAsia="Arial" w:hAnsi="Arial"/>
                <w:sz w:val="14"/>
                <w:szCs w:val="14"/>
                <w:b w:val="1"/>
                <w:bCs w:val="1"/>
                <w:color w:val="FFFFFF"/>
              </w:rPr>
              <w:t>share data)</w:t>
            </w:r>
          </w:p>
        </w:tc>
        <w:tc>
          <w:tcPr>
            <w:tcW w:w="380" w:type="dxa"/>
            <w:vAlign w:val="bottom"/>
            <w:tcBorders>
              <w:bottom w:val="single" w:sz="8" w:color="1928A0"/>
            </w:tcBorders>
            <w:shd w:val="clear" w:color="auto" w:fill="1928A0"/>
          </w:tcPr>
          <w:p>
            <w:pPr>
              <w:spacing w:after="0"/>
              <w:rPr>
                <w:sz w:val="19"/>
                <w:szCs w:val="19"/>
                <w:color w:val="auto"/>
              </w:rPr>
            </w:pPr>
          </w:p>
        </w:tc>
        <w:tc>
          <w:tcPr>
            <w:tcW w:w="1500" w:type="dxa"/>
            <w:vAlign w:val="bottom"/>
            <w:tcBorders>
              <w:bottom w:val="single" w:sz="8" w:color="1928A0"/>
            </w:tcBorders>
            <w:vMerge w:val="continue"/>
            <w:shd w:val="clear" w:color="auto" w:fill="1928A0"/>
          </w:tcPr>
          <w:p>
            <w:pPr>
              <w:spacing w:after="0"/>
              <w:rPr>
                <w:sz w:val="19"/>
                <w:szCs w:val="19"/>
                <w:color w:val="auto"/>
              </w:rPr>
            </w:pPr>
          </w:p>
        </w:tc>
        <w:tc>
          <w:tcPr>
            <w:tcW w:w="260" w:type="dxa"/>
            <w:vAlign w:val="bottom"/>
            <w:tcBorders>
              <w:bottom w:val="single" w:sz="8" w:color="1928A0"/>
            </w:tcBorders>
            <w:shd w:val="clear" w:color="auto" w:fill="1928A0"/>
          </w:tcPr>
          <w:p>
            <w:pPr>
              <w:spacing w:after="0"/>
              <w:rPr>
                <w:sz w:val="19"/>
                <w:szCs w:val="19"/>
                <w:color w:val="auto"/>
              </w:rPr>
            </w:pPr>
          </w:p>
        </w:tc>
        <w:tc>
          <w:tcPr>
            <w:tcW w:w="1900" w:type="dxa"/>
            <w:vAlign w:val="bottom"/>
            <w:tcBorders>
              <w:bottom w:val="single" w:sz="8" w:color="1928A0"/>
            </w:tcBorders>
            <w:vMerge w:val="continue"/>
            <w:shd w:val="clear" w:color="auto" w:fill="1928A0"/>
          </w:tcPr>
          <w:p>
            <w:pPr>
              <w:spacing w:after="0"/>
              <w:rPr>
                <w:sz w:val="19"/>
                <w:szCs w:val="19"/>
                <w:color w:val="auto"/>
              </w:rPr>
            </w:pPr>
          </w:p>
        </w:tc>
        <w:tc>
          <w:tcPr>
            <w:tcW w:w="1220" w:type="dxa"/>
            <w:vAlign w:val="bottom"/>
            <w:tcBorders>
              <w:bottom w:val="single" w:sz="8" w:color="1928A0"/>
              <w:right w:val="single" w:sz="8" w:color="auto"/>
            </w:tcBorders>
            <w:vMerge w:val="continue"/>
            <w:shd w:val="clear" w:color="auto" w:fill="1928A0"/>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4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8"/>
                <w:szCs w:val="18"/>
                <w:color w:val="auto"/>
              </w:rPr>
              <w:t>1,383.6</w:t>
            </w: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DBDBDB"/>
            </w:tcBorders>
            <w:shd w:val="clear" w:color="auto" w:fill="DBDBDB"/>
          </w:tcPr>
          <w:p>
            <w:pPr>
              <w:jc w:val="right"/>
              <w:ind w:right="289"/>
              <w:spacing w:after="0"/>
              <w:rPr>
                <w:sz w:val="20"/>
                <w:szCs w:val="20"/>
                <w:color w:val="auto"/>
              </w:rPr>
            </w:pPr>
            <w:r>
              <w:rPr>
                <w:rFonts w:ascii="Arial" w:cs="Arial" w:eastAsia="Arial" w:hAnsi="Arial"/>
                <w:sz w:val="18"/>
                <w:szCs w:val="18"/>
                <w:color w:val="auto"/>
              </w:rPr>
              <w:t>1,467.7</w:t>
            </w:r>
          </w:p>
        </w:tc>
        <w:tc>
          <w:tcPr>
            <w:tcW w:w="1220" w:type="dxa"/>
            <w:vAlign w:val="bottom"/>
            <w:tcBorders>
              <w:bottom w:val="single" w:sz="8" w:color="DBDBDB"/>
              <w:right w:val="single" w:sz="8" w:color="auto"/>
            </w:tcBorders>
            <w:shd w:val="clear" w:color="auto" w:fill="DBDBDB"/>
          </w:tcPr>
          <w:p>
            <w:pPr>
              <w:jc w:val="center"/>
              <w:ind w:right="108"/>
              <w:spacing w:after="0"/>
              <w:rPr>
                <w:sz w:val="20"/>
                <w:szCs w:val="20"/>
                <w:color w:val="auto"/>
              </w:rPr>
            </w:pPr>
            <w:r>
              <w:rPr>
                <w:rFonts w:ascii="Arial" w:cs="Arial" w:eastAsia="Arial" w:hAnsi="Arial"/>
                <w:sz w:val="18"/>
                <w:szCs w:val="18"/>
                <w:color w:val="auto"/>
                <w:w w:val="86"/>
              </w:rPr>
              <w:t>(5.7)%</w:t>
            </w:r>
          </w:p>
        </w:tc>
        <w:tc>
          <w:tcPr>
            <w:tcW w:w="0" w:type="dxa"/>
            <w:vAlign w:val="bottom"/>
          </w:tcPr>
          <w:p>
            <w:pPr>
              <w:spacing w:after="0"/>
              <w:rPr>
                <w:sz w:val="1"/>
                <w:szCs w:val="1"/>
                <w:color w:val="auto"/>
              </w:rPr>
            </w:pPr>
          </w:p>
        </w:tc>
      </w:tr>
      <w:tr>
        <w:trPr>
          <w:trHeight w:val="227"/>
        </w:trPr>
        <w:tc>
          <w:tcPr>
            <w:tcW w:w="42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Comparable Sales</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9"/>
                <w:szCs w:val="19"/>
                <w:color w:val="auto"/>
              </w:rPr>
            </w:pPr>
          </w:p>
        </w:tc>
        <w:tc>
          <w:tcPr>
            <w:tcW w:w="1900" w:type="dxa"/>
            <w:vAlign w:val="bottom"/>
          </w:tcPr>
          <w:p>
            <w:pPr>
              <w:jc w:val="right"/>
              <w:ind w:right="129"/>
              <w:spacing w:after="0"/>
              <w:rPr>
                <w:sz w:val="20"/>
                <w:szCs w:val="20"/>
                <w:color w:val="auto"/>
              </w:rPr>
            </w:pPr>
            <w:r>
              <w:rPr>
                <w:rFonts w:ascii="Arial" w:cs="Arial" w:eastAsia="Arial" w:hAnsi="Arial"/>
                <w:sz w:val="18"/>
                <w:szCs w:val="18"/>
                <w:color w:val="auto"/>
              </w:rPr>
              <w:t>(7.5)%</w:t>
            </w:r>
          </w:p>
        </w:tc>
        <w:tc>
          <w:tcPr>
            <w:tcW w:w="1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4240" w:type="dxa"/>
            <w:vAlign w:val="bottom"/>
            <w:tcBorders>
              <w:left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24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before income tax</w:t>
            </w:r>
          </w:p>
        </w:tc>
        <w:tc>
          <w:tcPr>
            <w:tcW w:w="3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8"/>
                <w:szCs w:val="18"/>
                <w:color w:val="auto"/>
              </w:rPr>
              <w:t>118.7</w:t>
            </w: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DBDBDB"/>
            </w:tcBorders>
            <w:shd w:val="clear" w:color="auto" w:fill="DBDBDB"/>
          </w:tcPr>
          <w:p>
            <w:pPr>
              <w:jc w:val="right"/>
              <w:ind w:right="289"/>
              <w:spacing w:after="0"/>
              <w:rPr>
                <w:sz w:val="20"/>
                <w:szCs w:val="20"/>
                <w:color w:val="auto"/>
              </w:rPr>
            </w:pPr>
            <w:r>
              <w:rPr>
                <w:rFonts w:ascii="Arial" w:cs="Arial" w:eastAsia="Arial" w:hAnsi="Arial"/>
                <w:sz w:val="18"/>
                <w:szCs w:val="18"/>
                <w:color w:val="auto"/>
              </w:rPr>
              <w:t>195.3</w:t>
            </w:r>
          </w:p>
        </w:tc>
        <w:tc>
          <w:tcPr>
            <w:tcW w:w="1220" w:type="dxa"/>
            <w:vAlign w:val="bottom"/>
            <w:tcBorders>
              <w:bottom w:val="single" w:sz="8" w:color="DBDBDB"/>
              <w:right w:val="single" w:sz="8" w:color="auto"/>
            </w:tcBorders>
            <w:shd w:val="clear" w:color="auto" w:fill="DBDBDB"/>
          </w:tcPr>
          <w:p>
            <w:pPr>
              <w:jc w:val="center"/>
              <w:ind w:right="128"/>
              <w:spacing w:after="0"/>
              <w:rPr>
                <w:sz w:val="20"/>
                <w:szCs w:val="20"/>
                <w:color w:val="auto"/>
              </w:rPr>
            </w:pPr>
            <w:r>
              <w:rPr>
                <w:rFonts w:ascii="Arial" w:cs="Arial" w:eastAsia="Arial" w:hAnsi="Arial"/>
                <w:sz w:val="18"/>
                <w:szCs w:val="18"/>
                <w:color w:val="auto"/>
                <w:w w:val="88"/>
              </w:rPr>
              <w:t>(39.2)%</w:t>
            </w:r>
          </w:p>
        </w:tc>
        <w:tc>
          <w:tcPr>
            <w:tcW w:w="0" w:type="dxa"/>
            <w:vAlign w:val="bottom"/>
          </w:tcPr>
          <w:p>
            <w:pPr>
              <w:spacing w:after="0"/>
              <w:rPr>
                <w:sz w:val="1"/>
                <w:szCs w:val="1"/>
                <w:color w:val="auto"/>
              </w:rPr>
            </w:pPr>
          </w:p>
        </w:tc>
      </w:tr>
      <w:tr>
        <w:trPr>
          <w:trHeight w:val="227"/>
        </w:trPr>
        <w:tc>
          <w:tcPr>
            <w:tcW w:w="42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88"/>
              <w:spacing w:after="0"/>
              <w:rPr>
                <w:sz w:val="20"/>
                <w:szCs w:val="20"/>
                <w:color w:val="auto"/>
              </w:rPr>
            </w:pPr>
            <w:r>
              <w:rPr>
                <w:rFonts w:ascii="Arial" w:cs="Arial" w:eastAsia="Arial" w:hAnsi="Arial"/>
                <w:sz w:val="18"/>
                <w:szCs w:val="18"/>
                <w:color w:val="auto"/>
              </w:rPr>
              <w:t>94.0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289"/>
              <w:spacing w:after="0"/>
              <w:rPr>
                <w:sz w:val="20"/>
                <w:szCs w:val="20"/>
                <w:color w:val="auto"/>
              </w:rPr>
            </w:pPr>
            <w:r>
              <w:rPr>
                <w:rFonts w:ascii="Arial" w:cs="Arial" w:eastAsia="Arial" w:hAnsi="Arial"/>
                <w:sz w:val="18"/>
                <w:szCs w:val="18"/>
                <w:color w:val="auto"/>
              </w:rPr>
              <w:t>149.8</w:t>
            </w:r>
          </w:p>
        </w:tc>
        <w:tc>
          <w:tcPr>
            <w:tcW w:w="1220" w:type="dxa"/>
            <w:vAlign w:val="bottom"/>
            <w:tcBorders>
              <w:right w:val="single" w:sz="8" w:color="auto"/>
            </w:tcBorders>
          </w:tcPr>
          <w:p>
            <w:pPr>
              <w:jc w:val="center"/>
              <w:ind w:right="128"/>
              <w:spacing w:after="0"/>
              <w:rPr>
                <w:sz w:val="20"/>
                <w:szCs w:val="20"/>
                <w:color w:val="auto"/>
              </w:rPr>
            </w:pPr>
            <w:r>
              <w:rPr>
                <w:rFonts w:ascii="Arial" w:cs="Arial" w:eastAsia="Arial" w:hAnsi="Arial"/>
                <w:sz w:val="18"/>
                <w:szCs w:val="18"/>
                <w:color w:val="auto"/>
                <w:w w:val="88"/>
              </w:rPr>
              <w:t>(37.3)%</w:t>
            </w:r>
          </w:p>
        </w:tc>
        <w:tc>
          <w:tcPr>
            <w:tcW w:w="0" w:type="dxa"/>
            <w:vAlign w:val="bottom"/>
          </w:tcPr>
          <w:p>
            <w:pPr>
              <w:spacing w:after="0"/>
              <w:rPr>
                <w:sz w:val="1"/>
                <w:szCs w:val="1"/>
                <w:color w:val="auto"/>
              </w:rPr>
            </w:pPr>
          </w:p>
        </w:tc>
      </w:tr>
      <w:tr>
        <w:trPr>
          <w:trHeight w:val="43"/>
        </w:trPr>
        <w:tc>
          <w:tcPr>
            <w:tcW w:w="4240" w:type="dxa"/>
            <w:vAlign w:val="bottom"/>
            <w:tcBorders>
              <w:left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24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23"/>
                <w:szCs w:val="23"/>
                <w:color w:val="auto"/>
                <w:vertAlign w:val="superscript"/>
              </w:rPr>
              <w:t>(1)</w:t>
            </w:r>
          </w:p>
        </w:tc>
        <w:tc>
          <w:tcPr>
            <w:tcW w:w="3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DBDBDB"/>
          </w:tcPr>
          <w:p>
            <w:pPr>
              <w:jc w:val="right"/>
              <w:ind w:right="88"/>
              <w:spacing w:after="0"/>
              <w:rPr>
                <w:sz w:val="20"/>
                <w:szCs w:val="20"/>
                <w:color w:val="auto"/>
              </w:rPr>
            </w:pPr>
            <w:r>
              <w:rPr>
                <w:rFonts w:ascii="Arial" w:cs="Arial" w:eastAsia="Arial" w:hAnsi="Arial"/>
                <w:sz w:val="18"/>
                <w:szCs w:val="18"/>
                <w:color w:val="auto"/>
              </w:rPr>
              <w:t>103.0</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DBDBDB"/>
          </w:tcPr>
          <w:p>
            <w:pPr>
              <w:jc w:val="right"/>
              <w:ind w:right="289"/>
              <w:spacing w:after="0"/>
              <w:rPr>
                <w:sz w:val="20"/>
                <w:szCs w:val="20"/>
                <w:color w:val="auto"/>
              </w:rPr>
            </w:pPr>
            <w:r>
              <w:rPr>
                <w:rFonts w:ascii="Arial" w:cs="Arial" w:eastAsia="Arial" w:hAnsi="Arial"/>
                <w:sz w:val="18"/>
                <w:szCs w:val="18"/>
                <w:color w:val="auto"/>
              </w:rPr>
              <w:t>152.5</w:t>
            </w:r>
          </w:p>
        </w:tc>
        <w:tc>
          <w:tcPr>
            <w:tcW w:w="1220" w:type="dxa"/>
            <w:vAlign w:val="bottom"/>
            <w:tcBorders>
              <w:right w:val="single" w:sz="8" w:color="auto"/>
            </w:tcBorders>
            <w:shd w:val="clear" w:color="auto" w:fill="DBDBDB"/>
          </w:tcPr>
          <w:p>
            <w:pPr>
              <w:jc w:val="center"/>
              <w:ind w:right="128"/>
              <w:spacing w:after="0"/>
              <w:rPr>
                <w:sz w:val="20"/>
                <w:szCs w:val="20"/>
                <w:color w:val="auto"/>
              </w:rPr>
            </w:pPr>
            <w:r>
              <w:rPr>
                <w:rFonts w:ascii="Arial" w:cs="Arial" w:eastAsia="Arial" w:hAnsi="Arial"/>
                <w:sz w:val="18"/>
                <w:szCs w:val="18"/>
                <w:color w:val="auto"/>
                <w:w w:val="88"/>
              </w:rPr>
              <w:t>(32.5)%</w:t>
            </w:r>
          </w:p>
        </w:tc>
        <w:tc>
          <w:tcPr>
            <w:tcW w:w="0" w:type="dxa"/>
            <w:vAlign w:val="bottom"/>
          </w:tcPr>
          <w:p>
            <w:pPr>
              <w:spacing w:after="0"/>
              <w:rPr>
                <w:sz w:val="1"/>
                <w:szCs w:val="1"/>
                <w:color w:val="auto"/>
              </w:rPr>
            </w:pPr>
          </w:p>
        </w:tc>
      </w:tr>
      <w:tr>
        <w:trPr>
          <w:trHeight w:val="227"/>
        </w:trPr>
        <w:tc>
          <w:tcPr>
            <w:tcW w:w="42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GAAP earnings per common share, diluted</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88"/>
              <w:spacing w:after="0"/>
              <w:rPr>
                <w:sz w:val="20"/>
                <w:szCs w:val="20"/>
                <w:color w:val="auto"/>
              </w:rPr>
            </w:pPr>
            <w:r>
              <w:rPr>
                <w:rFonts w:ascii="Arial" w:cs="Arial" w:eastAsia="Arial" w:hAnsi="Arial"/>
                <w:sz w:val="18"/>
                <w:szCs w:val="18"/>
                <w:color w:val="auto"/>
              </w:rPr>
              <w:t>1.19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289"/>
              <w:spacing w:after="0"/>
              <w:rPr>
                <w:sz w:val="20"/>
                <w:szCs w:val="20"/>
                <w:color w:val="auto"/>
              </w:rPr>
            </w:pPr>
            <w:r>
              <w:rPr>
                <w:rFonts w:ascii="Arial" w:cs="Arial" w:eastAsia="Arial" w:hAnsi="Arial"/>
                <w:sz w:val="18"/>
                <w:szCs w:val="18"/>
                <w:color w:val="auto"/>
              </w:rPr>
              <w:t>1.69</w:t>
            </w:r>
          </w:p>
        </w:tc>
        <w:tc>
          <w:tcPr>
            <w:tcW w:w="1220" w:type="dxa"/>
            <w:vAlign w:val="bottom"/>
            <w:tcBorders>
              <w:right w:val="single" w:sz="8" w:color="auto"/>
            </w:tcBorders>
          </w:tcPr>
          <w:p>
            <w:pPr>
              <w:jc w:val="center"/>
              <w:ind w:right="128"/>
              <w:spacing w:after="0"/>
              <w:rPr>
                <w:sz w:val="20"/>
                <w:szCs w:val="20"/>
                <w:color w:val="auto"/>
              </w:rPr>
            </w:pPr>
            <w:r>
              <w:rPr>
                <w:rFonts w:ascii="Arial" w:cs="Arial" w:eastAsia="Arial" w:hAnsi="Arial"/>
                <w:sz w:val="18"/>
                <w:szCs w:val="18"/>
                <w:color w:val="auto"/>
                <w:w w:val="88"/>
              </w:rPr>
              <w:t>(29.6)%</w:t>
            </w:r>
          </w:p>
        </w:tc>
        <w:tc>
          <w:tcPr>
            <w:tcW w:w="0" w:type="dxa"/>
            <w:vAlign w:val="bottom"/>
          </w:tcPr>
          <w:p>
            <w:pPr>
              <w:spacing w:after="0"/>
              <w:rPr>
                <w:sz w:val="1"/>
                <w:szCs w:val="1"/>
                <w:color w:val="auto"/>
              </w:rPr>
            </w:pPr>
          </w:p>
        </w:tc>
      </w:tr>
      <w:tr>
        <w:trPr>
          <w:trHeight w:val="43"/>
        </w:trPr>
        <w:tc>
          <w:tcPr>
            <w:tcW w:w="4240" w:type="dxa"/>
            <w:vAlign w:val="bottom"/>
            <w:tcBorders>
              <w:left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240" w:type="dxa"/>
            <w:vAlign w:val="bottom"/>
            <w:tcBorders>
              <w:left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 xml:space="preserve">Adjusted earnings per common share, diluted </w:t>
            </w:r>
            <w:r>
              <w:rPr>
                <w:rFonts w:ascii="Arial" w:cs="Arial" w:eastAsia="Arial" w:hAnsi="Arial"/>
                <w:sz w:val="23"/>
                <w:szCs w:val="23"/>
                <w:color w:val="auto"/>
                <w:vertAlign w:val="superscript"/>
              </w:rPr>
              <w:t>(1)</w:t>
            </w:r>
          </w:p>
        </w:tc>
        <w:tc>
          <w:tcPr>
            <w:tcW w:w="38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DBDBDB"/>
          </w:tcPr>
          <w:p>
            <w:pPr>
              <w:jc w:val="right"/>
              <w:ind w:right="88"/>
              <w:spacing w:after="0"/>
              <w:rPr>
                <w:sz w:val="20"/>
                <w:szCs w:val="20"/>
                <w:color w:val="auto"/>
              </w:rPr>
            </w:pPr>
            <w:r>
              <w:rPr>
                <w:rFonts w:ascii="Arial" w:cs="Arial" w:eastAsia="Arial" w:hAnsi="Arial"/>
                <w:sz w:val="18"/>
                <w:szCs w:val="18"/>
                <w:color w:val="auto"/>
              </w:rPr>
              <w:t>1.30</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DBDBDB"/>
          </w:tcPr>
          <w:p>
            <w:pPr>
              <w:jc w:val="right"/>
              <w:ind w:right="289"/>
              <w:spacing w:after="0"/>
              <w:rPr>
                <w:sz w:val="20"/>
                <w:szCs w:val="20"/>
                <w:color w:val="auto"/>
              </w:rPr>
            </w:pPr>
            <w:r>
              <w:rPr>
                <w:rFonts w:ascii="Arial" w:cs="Arial" w:eastAsia="Arial" w:hAnsi="Arial"/>
                <w:sz w:val="18"/>
                <w:szCs w:val="18"/>
                <w:color w:val="auto"/>
              </w:rPr>
              <w:t>1.72</w:t>
            </w:r>
          </w:p>
        </w:tc>
        <w:tc>
          <w:tcPr>
            <w:tcW w:w="1220" w:type="dxa"/>
            <w:vAlign w:val="bottom"/>
            <w:tcBorders>
              <w:bottom w:val="single" w:sz="8" w:color="auto"/>
              <w:right w:val="single" w:sz="8" w:color="auto"/>
            </w:tcBorders>
            <w:shd w:val="clear" w:color="auto" w:fill="DBDBDB"/>
          </w:tcPr>
          <w:p>
            <w:pPr>
              <w:jc w:val="center"/>
              <w:ind w:right="128"/>
              <w:spacing w:after="0"/>
              <w:rPr>
                <w:sz w:val="20"/>
                <w:szCs w:val="20"/>
                <w:color w:val="auto"/>
              </w:rPr>
            </w:pPr>
            <w:r>
              <w:rPr>
                <w:rFonts w:ascii="Arial" w:cs="Arial" w:eastAsia="Arial" w:hAnsi="Arial"/>
                <w:sz w:val="18"/>
                <w:szCs w:val="18"/>
                <w:color w:val="auto"/>
                <w:w w:val="88"/>
              </w:rPr>
              <w:t>(24.4)%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-1585595</wp:posOffset>
            </wp:positionV>
            <wp:extent cx="8890"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3771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-1585595</wp:posOffset>
            </wp:positionV>
            <wp:extent cx="8255"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377190"/>
                    </a:xfrm>
                    <a:prstGeom prst="rect">
                      <a:avLst/>
                    </a:prstGeom>
                    <a:noFill/>
                  </pic:spPr>
                </pic:pic>
              </a:graphicData>
            </a:graphic>
          </wp:anchor>
        </w:drawing>
      </w:r>
    </w:p>
    <w:p>
      <w:pPr>
        <w:spacing w:after="0" w:line="10" w:lineRule="exact"/>
        <w:rPr>
          <w:sz w:val="20"/>
          <w:szCs w:val="20"/>
          <w:color w:val="auto"/>
        </w:rPr>
      </w:pPr>
    </w:p>
    <w:p>
      <w:pPr>
        <w:ind w:left="900" w:right="1180" w:hanging="9"/>
        <w:spacing w:after="0" w:line="312" w:lineRule="auto"/>
        <w:tabs>
          <w:tab w:leader="none" w:pos="1093" w:val="left"/>
        </w:tabs>
        <w:numPr>
          <w:ilvl w:val="0"/>
          <w:numId w:val="2"/>
        </w:numPr>
        <w:rPr>
          <w:rFonts w:ascii="Arial" w:cs="Arial" w:eastAsia="Arial" w:hAnsi="Arial"/>
          <w:sz w:val="13"/>
          <w:szCs w:val="13"/>
          <w:color w:val="auto"/>
        </w:rPr>
      </w:pPr>
      <w:r>
        <w:rPr>
          <w:rFonts w:ascii="Arial" w:cs="Arial" w:eastAsia="Arial" w:hAnsi="Arial"/>
          <w:sz w:val="13"/>
          <w:szCs w:val="13"/>
          <w:color w:val="auto"/>
        </w:rPr>
        <w:t>Adjusted net income and Adjusted earnings per common share, diluted, are non-GAAP measures. See "Non-GAAP Measures" and "Reconciliatons of Non-GAAP to GAAP Financial Measures" below for reconciliatons of non-GAAP fnancial measures to their most directly comparable GAAP fnancial measures.</w:t>
      </w:r>
    </w:p>
    <w:p>
      <w:pPr>
        <w:spacing w:after="0" w:line="345" w:lineRule="exact"/>
        <w:rPr>
          <w:sz w:val="20"/>
          <w:szCs w:val="20"/>
          <w:color w:val="auto"/>
        </w:rPr>
      </w:pPr>
    </w:p>
    <w:tbl>
      <w:tblPr>
        <w:tblLayout w:type="fixed"/>
        <w:tblInd w:w="890" w:type="dxa"/>
        <w:tblCellMar>
          <w:top w:w="0" w:type="dxa"/>
          <w:left w:w="0" w:type="dxa"/>
          <w:bottom w:w="0" w:type="dxa"/>
          <w:right w:w="0" w:type="dxa"/>
        </w:tblCellMar>
      </w:tblPr>
      <w:tr>
        <w:trPr>
          <w:trHeight w:val="266"/>
        </w:trPr>
        <w:tc>
          <w:tcPr>
            <w:tcW w:w="4480" w:type="dxa"/>
            <w:vAlign w:val="bottom"/>
            <w:tcBorders>
              <w:top w:val="single" w:sz="8" w:color="auto"/>
              <w:left w:val="single" w:sz="8" w:color="auto"/>
            </w:tcBorders>
            <w:shd w:val="clear" w:color="auto" w:fill="1928A0"/>
          </w:tcPr>
          <w:p>
            <w:pPr>
              <w:spacing w:after="0"/>
              <w:rPr>
                <w:sz w:val="23"/>
                <w:szCs w:val="23"/>
                <w:color w:val="auto"/>
              </w:rPr>
            </w:pPr>
          </w:p>
        </w:tc>
        <w:tc>
          <w:tcPr>
            <w:tcW w:w="180" w:type="dxa"/>
            <w:vAlign w:val="bottom"/>
            <w:tcBorders>
              <w:top w:val="single" w:sz="8" w:color="auto"/>
            </w:tcBorders>
            <w:shd w:val="clear" w:color="auto" w:fill="1928A0"/>
          </w:tcPr>
          <w:p>
            <w:pPr>
              <w:spacing w:after="0"/>
              <w:rPr>
                <w:sz w:val="23"/>
                <w:szCs w:val="23"/>
                <w:color w:val="auto"/>
              </w:rPr>
            </w:pPr>
          </w:p>
        </w:tc>
        <w:tc>
          <w:tcPr>
            <w:tcW w:w="1780" w:type="dxa"/>
            <w:vAlign w:val="bottom"/>
            <w:tcBorders>
              <w:top w:val="single" w:sz="8" w:color="auto"/>
            </w:tcBorders>
            <w:gridSpan w:val="2"/>
            <w:shd w:val="clear" w:color="auto" w:fill="1928A0"/>
          </w:tcPr>
          <w:p>
            <w:pPr>
              <w:jc w:val="right"/>
              <w:spacing w:after="0"/>
              <w:rPr>
                <w:sz w:val="20"/>
                <w:szCs w:val="20"/>
                <w:color w:val="auto"/>
              </w:rPr>
            </w:pPr>
            <w:r>
              <w:rPr>
                <w:rFonts w:ascii="Arial" w:cs="Arial" w:eastAsia="Arial" w:hAnsi="Arial"/>
                <w:sz w:val="20"/>
                <w:szCs w:val="20"/>
                <w:b w:val="1"/>
                <w:bCs w:val="1"/>
                <w:color w:val="FFFFFF"/>
              </w:rPr>
              <w:t>As of</w:t>
            </w:r>
          </w:p>
        </w:tc>
        <w:tc>
          <w:tcPr>
            <w:tcW w:w="1720" w:type="dxa"/>
            <w:vAlign w:val="bottom"/>
            <w:tcBorders>
              <w:top w:val="single" w:sz="8" w:color="auto"/>
            </w:tcBorders>
            <w:shd w:val="clear" w:color="auto" w:fill="1928A0"/>
          </w:tcPr>
          <w:p>
            <w:pPr>
              <w:spacing w:after="0"/>
              <w:rPr>
                <w:sz w:val="23"/>
                <w:szCs w:val="23"/>
                <w:color w:val="auto"/>
              </w:rPr>
            </w:pPr>
          </w:p>
        </w:tc>
        <w:tc>
          <w:tcPr>
            <w:tcW w:w="1340" w:type="dxa"/>
            <w:vAlign w:val="bottom"/>
            <w:tcBorders>
              <w:top w:val="single" w:sz="8" w:color="auto"/>
              <w:right w:val="single" w:sz="8" w:color="auto"/>
            </w:tcBorders>
            <w:shd w:val="clear" w:color="auto" w:fill="1928A0"/>
          </w:tcPr>
          <w:p>
            <w:pPr>
              <w:jc w:val="right"/>
              <w:ind w:right="386"/>
              <w:spacing w:after="0"/>
              <w:rPr>
                <w:sz w:val="20"/>
                <w:szCs w:val="20"/>
                <w:color w:val="auto"/>
              </w:rPr>
            </w:pPr>
            <w:r>
              <w:rPr>
                <w:rFonts w:ascii="Arial" w:cs="Arial" w:eastAsia="Arial" w:hAnsi="Arial"/>
                <w:sz w:val="20"/>
                <w:szCs w:val="20"/>
                <w:b w:val="1"/>
                <w:bCs w:val="1"/>
                <w:color w:val="FFFFFF"/>
              </w:rPr>
              <w:t>Change</w:t>
            </w:r>
          </w:p>
        </w:tc>
      </w:tr>
      <w:tr>
        <w:trPr>
          <w:trHeight w:val="308"/>
        </w:trPr>
        <w:tc>
          <w:tcPr>
            <w:tcW w:w="4480" w:type="dxa"/>
            <w:vAlign w:val="bottom"/>
            <w:tcBorders>
              <w:left w:val="single" w:sz="8" w:color="auto"/>
              <w:bottom w:val="single" w:sz="8" w:color="1928A0"/>
            </w:tcBorders>
            <w:shd w:val="clear" w:color="auto" w:fill="1928A0"/>
          </w:tcPr>
          <w:p>
            <w:pPr>
              <w:ind w:left="20"/>
              <w:spacing w:after="0"/>
              <w:rPr>
                <w:sz w:val="20"/>
                <w:szCs w:val="20"/>
                <w:color w:val="auto"/>
              </w:rPr>
            </w:pPr>
            <w:r>
              <w:rPr>
                <w:rFonts w:ascii="Arial" w:cs="Arial" w:eastAsia="Arial" w:hAnsi="Arial"/>
                <w:sz w:val="20"/>
                <w:szCs w:val="20"/>
                <w:b w:val="1"/>
                <w:bCs w:val="1"/>
                <w:color w:val="FFFFFF"/>
              </w:rPr>
              <w:t xml:space="preserve">Balance Sheet </w:t>
            </w:r>
            <w:r>
              <w:rPr>
                <w:rFonts w:ascii="Arial" w:cs="Arial" w:eastAsia="Arial" w:hAnsi="Arial"/>
                <w:sz w:val="14"/>
                <w:szCs w:val="14"/>
                <w:b w:val="1"/>
                <w:bCs w:val="1"/>
                <w:color w:val="FFFFFF"/>
              </w:rPr>
              <w:t>($ in millions)</w:t>
            </w:r>
          </w:p>
        </w:tc>
        <w:tc>
          <w:tcPr>
            <w:tcW w:w="180" w:type="dxa"/>
            <w:vAlign w:val="bottom"/>
            <w:tcBorders>
              <w:bottom w:val="single" w:sz="8" w:color="1928A0"/>
            </w:tcBorders>
            <w:shd w:val="clear" w:color="auto" w:fill="1928A0"/>
          </w:tcPr>
          <w:p>
            <w:pPr>
              <w:spacing w:after="0"/>
              <w:rPr>
                <w:sz w:val="24"/>
                <w:szCs w:val="24"/>
                <w:color w:val="auto"/>
              </w:rPr>
            </w:pPr>
          </w:p>
        </w:tc>
        <w:tc>
          <w:tcPr>
            <w:tcW w:w="1400" w:type="dxa"/>
            <w:vAlign w:val="bottom"/>
            <w:tcBorders>
              <w:bottom w:val="single" w:sz="8" w:color="1928A0"/>
            </w:tcBorders>
            <w:shd w:val="clear" w:color="auto" w:fill="1928A0"/>
          </w:tcPr>
          <w:p>
            <w:pPr>
              <w:jc w:val="right"/>
              <w:ind w:right="106"/>
              <w:spacing w:after="0"/>
              <w:rPr>
                <w:sz w:val="20"/>
                <w:szCs w:val="20"/>
                <w:color w:val="auto"/>
              </w:rPr>
            </w:pPr>
            <w:r>
              <w:rPr>
                <w:rFonts w:ascii="Arial" w:cs="Arial" w:eastAsia="Arial" w:hAnsi="Arial"/>
                <w:sz w:val="20"/>
                <w:szCs w:val="20"/>
                <w:b w:val="1"/>
                <w:bCs w:val="1"/>
                <w:color w:val="FFFFFF"/>
                <w:w w:val="91"/>
              </w:rPr>
              <w:t>April 29, 2023</w:t>
            </w:r>
          </w:p>
        </w:tc>
        <w:tc>
          <w:tcPr>
            <w:tcW w:w="380" w:type="dxa"/>
            <w:vAlign w:val="bottom"/>
            <w:tcBorders>
              <w:bottom w:val="single" w:sz="8" w:color="1928A0"/>
            </w:tcBorders>
            <w:shd w:val="clear" w:color="auto" w:fill="1928A0"/>
          </w:tcPr>
          <w:p>
            <w:pPr>
              <w:spacing w:after="0"/>
              <w:rPr>
                <w:sz w:val="24"/>
                <w:szCs w:val="24"/>
                <w:color w:val="auto"/>
              </w:rPr>
            </w:pPr>
          </w:p>
        </w:tc>
        <w:tc>
          <w:tcPr>
            <w:tcW w:w="1720" w:type="dxa"/>
            <w:vAlign w:val="bottom"/>
            <w:tcBorders>
              <w:bottom w:val="single" w:sz="8" w:color="1928A0"/>
            </w:tcBorders>
            <w:shd w:val="clear" w:color="auto" w:fill="1928A0"/>
          </w:tcPr>
          <w:p>
            <w:pPr>
              <w:jc w:val="right"/>
              <w:ind w:right="488"/>
              <w:spacing w:after="0"/>
              <w:rPr>
                <w:sz w:val="20"/>
                <w:szCs w:val="20"/>
                <w:color w:val="auto"/>
              </w:rPr>
            </w:pPr>
            <w:r>
              <w:rPr>
                <w:rFonts w:ascii="Arial" w:cs="Arial" w:eastAsia="Arial" w:hAnsi="Arial"/>
                <w:sz w:val="20"/>
                <w:szCs w:val="20"/>
                <w:b w:val="1"/>
                <w:bCs w:val="1"/>
                <w:color w:val="FFFFFF"/>
                <w:w w:val="86"/>
              </w:rPr>
              <w:t>April 30, 2022</w:t>
            </w:r>
          </w:p>
        </w:tc>
        <w:tc>
          <w:tcPr>
            <w:tcW w:w="1340" w:type="dxa"/>
            <w:vAlign w:val="bottom"/>
            <w:tcBorders>
              <w:bottom w:val="single" w:sz="8" w:color="1928A0"/>
              <w:right w:val="single" w:sz="8" w:color="auto"/>
            </w:tcBorders>
            <w:shd w:val="clear" w:color="auto" w:fill="1928A0"/>
          </w:tcPr>
          <w:p>
            <w:pPr>
              <w:jc w:val="right"/>
              <w:ind w:right="606"/>
              <w:spacing w:after="0"/>
              <w:rPr>
                <w:sz w:val="20"/>
                <w:szCs w:val="20"/>
                <w:color w:val="auto"/>
              </w:rPr>
            </w:pPr>
            <w:r>
              <w:rPr>
                <w:rFonts w:ascii="Arial" w:cs="Arial" w:eastAsia="Arial" w:hAnsi="Arial"/>
                <w:sz w:val="20"/>
                <w:szCs w:val="20"/>
                <w:b w:val="1"/>
                <w:bCs w:val="1"/>
                <w:color w:val="FFFFFF"/>
              </w:rPr>
              <w:t>%</w:t>
            </w:r>
          </w:p>
        </w:tc>
      </w:tr>
      <w:tr>
        <w:trPr>
          <w:trHeight w:val="250"/>
        </w:trPr>
        <w:tc>
          <w:tcPr>
            <w:tcW w:w="448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295.5</w:t>
            </w:r>
          </w:p>
        </w:tc>
        <w:tc>
          <w:tcPr>
            <w:tcW w:w="38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8"/>
                <w:szCs w:val="18"/>
                <w:color w:val="auto"/>
              </w:rPr>
              <w:t>472.4</w:t>
            </w:r>
          </w:p>
        </w:tc>
        <w:tc>
          <w:tcPr>
            <w:tcW w:w="134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(37.4)%</w:t>
            </w:r>
          </w:p>
        </w:tc>
      </w:tr>
      <w:tr>
        <w:trPr>
          <w:trHeight w:val="227"/>
        </w:trPr>
        <w:tc>
          <w:tcPr>
            <w:tcW w:w="44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Merchandise inventories,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1,386.5</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88"/>
              <w:spacing w:after="0"/>
              <w:rPr>
                <w:sz w:val="20"/>
                <w:szCs w:val="20"/>
                <w:color w:val="auto"/>
              </w:rPr>
            </w:pPr>
            <w:r>
              <w:rPr>
                <w:rFonts w:ascii="Arial" w:cs="Arial" w:eastAsia="Arial" w:hAnsi="Arial"/>
                <w:sz w:val="18"/>
                <w:szCs w:val="18"/>
                <w:color w:val="auto"/>
              </w:rPr>
              <w:t>1,323.9</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4.7 %</w:t>
            </w:r>
          </w:p>
        </w:tc>
      </w:tr>
      <w:tr>
        <w:trPr>
          <w:trHeight w:val="43"/>
        </w:trPr>
        <w:tc>
          <w:tcPr>
            <w:tcW w:w="4480" w:type="dxa"/>
            <w:vAlign w:val="bottom"/>
            <w:tcBorders>
              <w:lef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r>
      <w:tr>
        <w:trPr>
          <w:trHeight w:val="250"/>
        </w:trPr>
        <w:tc>
          <w:tcPr>
            <w:tcW w:w="448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Long-term debt, net</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584.1</w:t>
            </w:r>
          </w:p>
        </w:tc>
        <w:tc>
          <w:tcPr>
            <w:tcW w:w="38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8"/>
                <w:szCs w:val="18"/>
                <w:color w:val="auto"/>
              </w:rPr>
              <w:t>683.3</w:t>
            </w:r>
          </w:p>
        </w:tc>
        <w:tc>
          <w:tcPr>
            <w:tcW w:w="134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(14.5)%</w:t>
            </w:r>
          </w:p>
        </w:tc>
      </w:tr>
      <w:tr>
        <w:trPr>
          <w:trHeight w:val="20"/>
        </w:trPr>
        <w:tc>
          <w:tcPr>
            <w:tcW w:w="44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-890905</wp:posOffset>
            </wp:positionV>
            <wp:extent cx="8890" cy="368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36893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-890905</wp:posOffset>
            </wp:positionV>
            <wp:extent cx="8255" cy="368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368935"/>
                    </a:xfrm>
                    <a:prstGeom prst="rect">
                      <a:avLst/>
                    </a:prstGeom>
                    <a:noFill/>
                  </pic:spPr>
                </pic:pic>
              </a:graphicData>
            </a:graphic>
          </wp:anchor>
        </w:drawing>
      </w:r>
    </w:p>
    <w:p>
      <w:pPr>
        <w:spacing w:after="0" w:line="324" w:lineRule="exact"/>
        <w:rPr>
          <w:sz w:val="20"/>
          <w:szCs w:val="20"/>
          <w:color w:val="auto"/>
        </w:rPr>
      </w:pPr>
    </w:p>
    <w:tbl>
      <w:tblPr>
        <w:tblLayout w:type="fixed"/>
        <w:tblInd w:w="890" w:type="dxa"/>
        <w:tblCellMar>
          <w:top w:w="0" w:type="dxa"/>
          <w:left w:w="0" w:type="dxa"/>
          <w:bottom w:w="0" w:type="dxa"/>
          <w:right w:w="0" w:type="dxa"/>
        </w:tblCellMar>
      </w:tblPr>
      <w:tr>
        <w:trPr>
          <w:trHeight w:val="266"/>
        </w:trPr>
        <w:tc>
          <w:tcPr>
            <w:tcW w:w="4480" w:type="dxa"/>
            <w:vAlign w:val="bottom"/>
            <w:tcBorders>
              <w:top w:val="single" w:sz="8" w:color="auto"/>
              <w:left w:val="single" w:sz="8" w:color="auto"/>
            </w:tcBorders>
            <w:shd w:val="clear" w:color="auto" w:fill="1928A0"/>
          </w:tcPr>
          <w:p>
            <w:pPr>
              <w:spacing w:after="0"/>
              <w:rPr>
                <w:sz w:val="23"/>
                <w:szCs w:val="23"/>
                <w:color w:val="auto"/>
              </w:rPr>
            </w:pPr>
          </w:p>
        </w:tc>
        <w:tc>
          <w:tcPr>
            <w:tcW w:w="180" w:type="dxa"/>
            <w:vAlign w:val="bottom"/>
            <w:tcBorders>
              <w:top w:val="single" w:sz="8" w:color="auto"/>
            </w:tcBorders>
            <w:shd w:val="clear" w:color="auto" w:fill="1928A0"/>
          </w:tcPr>
          <w:p>
            <w:pPr>
              <w:spacing w:after="0"/>
              <w:rPr>
                <w:sz w:val="23"/>
                <w:szCs w:val="23"/>
                <w:color w:val="auto"/>
              </w:rPr>
            </w:pPr>
          </w:p>
        </w:tc>
        <w:tc>
          <w:tcPr>
            <w:tcW w:w="3500" w:type="dxa"/>
            <w:vAlign w:val="bottom"/>
            <w:tcBorders>
              <w:top w:val="single" w:sz="8" w:color="auto"/>
            </w:tcBorders>
            <w:gridSpan w:val="3"/>
            <w:shd w:val="clear" w:color="auto" w:fill="1928A0"/>
          </w:tcPr>
          <w:p>
            <w:pPr>
              <w:jc w:val="right"/>
              <w:ind w:right="1188"/>
              <w:spacing w:after="0"/>
              <w:rPr>
                <w:sz w:val="20"/>
                <w:szCs w:val="20"/>
                <w:color w:val="auto"/>
              </w:rPr>
            </w:pPr>
            <w:r>
              <w:rPr>
                <w:rFonts w:ascii="Arial" w:cs="Arial" w:eastAsia="Arial" w:hAnsi="Arial"/>
                <w:sz w:val="20"/>
                <w:szCs w:val="20"/>
                <w:b w:val="1"/>
                <w:bCs w:val="1"/>
                <w:color w:val="FFFFFF"/>
              </w:rPr>
              <w:t>13 Weeks Ended</w:t>
            </w:r>
          </w:p>
        </w:tc>
        <w:tc>
          <w:tcPr>
            <w:tcW w:w="1340" w:type="dxa"/>
            <w:vAlign w:val="bottom"/>
            <w:tcBorders>
              <w:top w:val="single" w:sz="8" w:color="auto"/>
              <w:right w:val="single" w:sz="8" w:color="auto"/>
            </w:tcBorders>
            <w:shd w:val="clear" w:color="auto" w:fill="1928A0"/>
          </w:tcPr>
          <w:p>
            <w:pPr>
              <w:jc w:val="right"/>
              <w:ind w:right="386"/>
              <w:spacing w:after="0"/>
              <w:rPr>
                <w:sz w:val="20"/>
                <w:szCs w:val="20"/>
                <w:color w:val="auto"/>
              </w:rPr>
            </w:pPr>
            <w:r>
              <w:rPr>
                <w:rFonts w:ascii="Arial" w:cs="Arial" w:eastAsia="Arial" w:hAnsi="Arial"/>
                <w:sz w:val="20"/>
                <w:szCs w:val="20"/>
                <w:b w:val="1"/>
                <w:bCs w:val="1"/>
                <w:color w:val="FFFFFF"/>
              </w:rPr>
              <w:t>Change</w:t>
            </w:r>
          </w:p>
        </w:tc>
      </w:tr>
      <w:tr>
        <w:trPr>
          <w:trHeight w:val="308"/>
        </w:trPr>
        <w:tc>
          <w:tcPr>
            <w:tcW w:w="4480" w:type="dxa"/>
            <w:vAlign w:val="bottom"/>
            <w:tcBorders>
              <w:left w:val="single" w:sz="8" w:color="auto"/>
              <w:bottom w:val="single" w:sz="8" w:color="1928A0"/>
            </w:tcBorders>
            <w:shd w:val="clear" w:color="auto" w:fill="1928A0"/>
          </w:tcPr>
          <w:p>
            <w:pPr>
              <w:ind w:left="20"/>
              <w:spacing w:after="0"/>
              <w:rPr>
                <w:sz w:val="20"/>
                <w:szCs w:val="20"/>
                <w:color w:val="auto"/>
              </w:rPr>
            </w:pPr>
            <w:r>
              <w:rPr>
                <w:rFonts w:ascii="Arial" w:cs="Arial" w:eastAsia="Arial" w:hAnsi="Arial"/>
                <w:sz w:val="20"/>
                <w:szCs w:val="20"/>
                <w:b w:val="1"/>
                <w:bCs w:val="1"/>
                <w:color w:val="FFFFFF"/>
              </w:rPr>
              <w:t xml:space="preserve">Capital Allocaton </w:t>
            </w:r>
            <w:r>
              <w:rPr>
                <w:rFonts w:ascii="Arial" w:cs="Arial" w:eastAsia="Arial" w:hAnsi="Arial"/>
                <w:sz w:val="14"/>
                <w:szCs w:val="14"/>
                <w:b w:val="1"/>
                <w:bCs w:val="1"/>
                <w:color w:val="FFFFFF"/>
              </w:rPr>
              <w:t>($ in millions, except per share data)</w:t>
            </w:r>
          </w:p>
        </w:tc>
        <w:tc>
          <w:tcPr>
            <w:tcW w:w="180" w:type="dxa"/>
            <w:vAlign w:val="bottom"/>
            <w:tcBorders>
              <w:bottom w:val="single" w:sz="8" w:color="1928A0"/>
            </w:tcBorders>
            <w:shd w:val="clear" w:color="auto" w:fill="1928A0"/>
          </w:tcPr>
          <w:p>
            <w:pPr>
              <w:spacing w:after="0"/>
              <w:rPr>
                <w:sz w:val="24"/>
                <w:szCs w:val="24"/>
                <w:color w:val="auto"/>
              </w:rPr>
            </w:pPr>
          </w:p>
        </w:tc>
        <w:tc>
          <w:tcPr>
            <w:tcW w:w="1400" w:type="dxa"/>
            <w:vAlign w:val="bottom"/>
            <w:tcBorders>
              <w:bottom w:val="single" w:sz="8" w:color="1928A0"/>
            </w:tcBorders>
            <w:shd w:val="clear" w:color="auto" w:fill="1928A0"/>
          </w:tcPr>
          <w:p>
            <w:pPr>
              <w:jc w:val="right"/>
              <w:ind w:right="106"/>
              <w:spacing w:after="0"/>
              <w:rPr>
                <w:sz w:val="20"/>
                <w:szCs w:val="20"/>
                <w:color w:val="auto"/>
              </w:rPr>
            </w:pPr>
            <w:r>
              <w:rPr>
                <w:rFonts w:ascii="Arial" w:cs="Arial" w:eastAsia="Arial" w:hAnsi="Arial"/>
                <w:sz w:val="20"/>
                <w:szCs w:val="20"/>
                <w:b w:val="1"/>
                <w:bCs w:val="1"/>
                <w:color w:val="FFFFFF"/>
                <w:w w:val="91"/>
              </w:rPr>
              <w:t>April 29, 2023</w:t>
            </w:r>
          </w:p>
        </w:tc>
        <w:tc>
          <w:tcPr>
            <w:tcW w:w="260" w:type="dxa"/>
            <w:vAlign w:val="bottom"/>
            <w:tcBorders>
              <w:bottom w:val="single" w:sz="8" w:color="1928A0"/>
            </w:tcBorders>
            <w:shd w:val="clear" w:color="auto" w:fill="1928A0"/>
          </w:tcPr>
          <w:p>
            <w:pPr>
              <w:spacing w:after="0"/>
              <w:rPr>
                <w:sz w:val="24"/>
                <w:szCs w:val="24"/>
                <w:color w:val="auto"/>
              </w:rPr>
            </w:pPr>
          </w:p>
        </w:tc>
        <w:tc>
          <w:tcPr>
            <w:tcW w:w="1840" w:type="dxa"/>
            <w:vAlign w:val="bottom"/>
            <w:tcBorders>
              <w:bottom w:val="single" w:sz="8" w:color="1928A0"/>
            </w:tcBorders>
            <w:shd w:val="clear" w:color="auto" w:fill="1928A0"/>
          </w:tcPr>
          <w:p>
            <w:pPr>
              <w:jc w:val="right"/>
              <w:ind w:right="488"/>
              <w:spacing w:after="0"/>
              <w:rPr>
                <w:sz w:val="20"/>
                <w:szCs w:val="20"/>
                <w:color w:val="auto"/>
              </w:rPr>
            </w:pPr>
            <w:r>
              <w:rPr>
                <w:rFonts w:ascii="Arial" w:cs="Arial" w:eastAsia="Arial" w:hAnsi="Arial"/>
                <w:sz w:val="20"/>
                <w:szCs w:val="20"/>
                <w:b w:val="1"/>
                <w:bCs w:val="1"/>
                <w:color w:val="FFFFFF"/>
                <w:w w:val="96"/>
              </w:rPr>
              <w:t>April 30, 2022</w:t>
            </w:r>
          </w:p>
        </w:tc>
        <w:tc>
          <w:tcPr>
            <w:tcW w:w="1340" w:type="dxa"/>
            <w:vAlign w:val="bottom"/>
            <w:tcBorders>
              <w:bottom w:val="single" w:sz="8" w:color="1928A0"/>
              <w:right w:val="single" w:sz="8" w:color="auto"/>
            </w:tcBorders>
            <w:shd w:val="clear" w:color="auto" w:fill="1928A0"/>
          </w:tcPr>
          <w:p>
            <w:pPr>
              <w:jc w:val="right"/>
              <w:ind w:right="606"/>
              <w:spacing w:after="0"/>
              <w:rPr>
                <w:sz w:val="20"/>
                <w:szCs w:val="20"/>
                <w:color w:val="auto"/>
              </w:rPr>
            </w:pPr>
            <w:r>
              <w:rPr>
                <w:rFonts w:ascii="Arial" w:cs="Arial" w:eastAsia="Arial" w:hAnsi="Arial"/>
                <w:sz w:val="20"/>
                <w:szCs w:val="20"/>
                <w:b w:val="1"/>
                <w:bCs w:val="1"/>
                <w:color w:val="FFFFFF"/>
              </w:rPr>
              <w:t>%</w:t>
            </w:r>
          </w:p>
        </w:tc>
      </w:tr>
      <w:tr>
        <w:trPr>
          <w:trHeight w:val="250"/>
        </w:trPr>
        <w:tc>
          <w:tcPr>
            <w:tcW w:w="448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Share repurchases</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8"/>
                <w:szCs w:val="18"/>
                <w:color w:val="auto"/>
              </w:rPr>
              <w:t>88.5</w:t>
            </w:r>
          </w:p>
        </w:tc>
        <w:tc>
          <w:tcPr>
            <w:tcW w:w="134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(43.5)%</w:t>
            </w:r>
          </w:p>
        </w:tc>
      </w:tr>
      <w:tr>
        <w:trPr>
          <w:trHeight w:val="227"/>
        </w:trPr>
        <w:tc>
          <w:tcPr>
            <w:tcW w:w="44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Dividends paid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88"/>
              <w:spacing w:after="0"/>
              <w:rPr>
                <w:sz w:val="20"/>
                <w:szCs w:val="20"/>
                <w:color w:val="auto"/>
              </w:rPr>
            </w:pPr>
            <w:r>
              <w:rPr>
                <w:rFonts w:ascii="Arial" w:cs="Arial" w:eastAsia="Arial" w:hAnsi="Arial"/>
                <w:sz w:val="18"/>
                <w:szCs w:val="18"/>
                <w:color w:val="auto"/>
              </w:rPr>
              <w:t>6.5</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6.2 %</w:t>
            </w:r>
          </w:p>
        </w:tc>
      </w:tr>
      <w:tr>
        <w:trPr>
          <w:trHeight w:val="43"/>
        </w:trPr>
        <w:tc>
          <w:tcPr>
            <w:tcW w:w="4480" w:type="dxa"/>
            <w:vAlign w:val="bottom"/>
            <w:tcBorders>
              <w:lef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r>
      <w:tr>
        <w:trPr>
          <w:trHeight w:val="250"/>
        </w:trPr>
        <w:tc>
          <w:tcPr>
            <w:tcW w:w="448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Dividends paid per share</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0.09</w:t>
            </w:r>
          </w:p>
        </w:tc>
        <w:tc>
          <w:tcPr>
            <w:tcW w:w="26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8"/>
                <w:szCs w:val="18"/>
                <w:color w:val="auto"/>
              </w:rPr>
              <w:t>0.075</w:t>
            </w:r>
          </w:p>
        </w:tc>
        <w:tc>
          <w:tcPr>
            <w:tcW w:w="134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20.0 %</w:t>
            </w:r>
          </w:p>
        </w:tc>
      </w:tr>
      <w:tr>
        <w:trPr>
          <w:trHeight w:val="20"/>
        </w:trPr>
        <w:tc>
          <w:tcPr>
            <w:tcW w:w="44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-890905</wp:posOffset>
            </wp:positionV>
            <wp:extent cx="8890" cy="368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36830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-890905</wp:posOffset>
            </wp:positionV>
            <wp:extent cx="8255" cy="368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3683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21" w:right="339" w:bottom="1440" w:gutter="0" w:footer="0" w:header="0"/>
          <w:type w:val="continuous"/>
        </w:sectPr>
      </w:pPr>
    </w:p>
    <w:bookmarkStart w:id="4" w:name="page5"/>
    <w:bookmarkEnd w:id="4"/>
    <w:p>
      <w:pPr>
        <w:jc w:val="both"/>
        <w:spacing w:after="0" w:line="239" w:lineRule="auto"/>
        <w:rPr>
          <w:sz w:val="20"/>
          <w:szCs w:val="20"/>
          <w:color w:val="auto"/>
        </w:rPr>
      </w:pPr>
      <w:r>
        <w:rPr>
          <w:rFonts w:ascii="Arial" w:cs="Arial" w:eastAsia="Arial" w:hAnsi="Arial"/>
          <w:sz w:val="18"/>
          <w:szCs w:val="18"/>
          <w:color w:val="auto"/>
        </w:rPr>
        <w:t>President and acting Chief Financial Officer, Michael Mullican stated, "Although our first quarter sales and earnings did not meet our expectations and we have macroeconomic challenges to manage through, our revised guidance reflects our anticipation that sales will improve in the back half of the year. This will be primarily driven by the contribution of new stores, the introduction of new brands, a strengthening Outdoor business and the impact of enhanced customer data mining. For the rest of the year, we will remain focused on controlling expenses and managing our inventory, while utilizing our strong balance sheet to invest in the business for our long-term growth. We continue to be bullish about the long-term growth prospects for Academy, as our new store opening plans are progressing well, and the underlying fundamentals of our business and industry remain strong."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Store Openings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During the first quarter, Academy opened one new store, bringing the total number of stores to 269 stores. The Company expects to open 13 to 15 in 2023 and 120 to 140 stores over the next five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2023 Outlook</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Based on year-to-date results, current business trends, and continued macroeconomic challenges, Academy is revising its fiscal 2023 guidance as follows:</w:t>
      </w:r>
    </w:p>
    <w:p>
      <w:pPr>
        <w:spacing w:after="0" w:line="200" w:lineRule="exact"/>
        <w:rPr>
          <w:sz w:val="20"/>
          <w:szCs w:val="20"/>
          <w:color w:val="auto"/>
        </w:rPr>
      </w:pPr>
    </w:p>
    <w:p>
      <w:pPr>
        <w:spacing w:after="0" w:line="275" w:lineRule="exact"/>
        <w:rPr>
          <w:sz w:val="20"/>
          <w:szCs w:val="20"/>
          <w:color w:val="auto"/>
        </w:rPr>
      </w:pPr>
    </w:p>
    <w:tbl>
      <w:tblPr>
        <w:tblLayout w:type="fixed"/>
        <w:tblInd w:w="330" w:type="dxa"/>
        <w:tblCellMar>
          <w:top w:w="0" w:type="dxa"/>
          <w:left w:w="0" w:type="dxa"/>
          <w:bottom w:w="0" w:type="dxa"/>
          <w:right w:w="0" w:type="dxa"/>
        </w:tblCellMar>
      </w:tblPr>
      <w:tr>
        <w:trPr>
          <w:trHeight w:val="266"/>
        </w:trPr>
        <w:tc>
          <w:tcPr>
            <w:tcW w:w="4080" w:type="dxa"/>
            <w:vAlign w:val="bottom"/>
            <w:tcBorders>
              <w:top w:val="single" w:sz="8" w:color="auto"/>
              <w:left w:val="single" w:sz="8" w:color="auto"/>
            </w:tcBorders>
            <w:shd w:val="clear" w:color="auto" w:fill="1928A0"/>
          </w:tcPr>
          <w:p>
            <w:pPr>
              <w:spacing w:after="0"/>
              <w:rPr>
                <w:sz w:val="23"/>
                <w:szCs w:val="23"/>
                <w:color w:val="auto"/>
              </w:rPr>
            </w:pPr>
          </w:p>
        </w:tc>
        <w:tc>
          <w:tcPr>
            <w:tcW w:w="260" w:type="dxa"/>
            <w:vAlign w:val="bottom"/>
            <w:tcBorders>
              <w:top w:val="single" w:sz="8" w:color="auto"/>
            </w:tcBorders>
            <w:shd w:val="clear" w:color="auto" w:fill="1928A0"/>
          </w:tcPr>
          <w:p>
            <w:pPr>
              <w:spacing w:after="0"/>
              <w:rPr>
                <w:sz w:val="23"/>
                <w:szCs w:val="23"/>
                <w:color w:val="auto"/>
              </w:rPr>
            </w:pPr>
          </w:p>
        </w:tc>
        <w:tc>
          <w:tcPr>
            <w:tcW w:w="3000" w:type="dxa"/>
            <w:vAlign w:val="bottom"/>
            <w:tcBorders>
              <w:top w:val="single" w:sz="8" w:color="auto"/>
            </w:tcBorders>
            <w:gridSpan w:val="3"/>
            <w:shd w:val="clear" w:color="auto" w:fill="1928A0"/>
          </w:tcPr>
          <w:p>
            <w:pPr>
              <w:jc w:val="right"/>
              <w:ind w:right="929"/>
              <w:spacing w:after="0"/>
              <w:rPr>
                <w:sz w:val="20"/>
                <w:szCs w:val="20"/>
                <w:color w:val="auto"/>
              </w:rPr>
            </w:pPr>
            <w:r>
              <w:rPr>
                <w:rFonts w:ascii="Arial" w:cs="Arial" w:eastAsia="Arial" w:hAnsi="Arial"/>
                <w:sz w:val="20"/>
                <w:szCs w:val="20"/>
                <w:b w:val="1"/>
                <w:bCs w:val="1"/>
                <w:color w:val="FFFFFF"/>
              </w:rPr>
              <w:t>Previous Guidance</w:t>
            </w:r>
          </w:p>
        </w:tc>
        <w:tc>
          <w:tcPr>
            <w:tcW w:w="560" w:type="dxa"/>
            <w:vAlign w:val="bottom"/>
            <w:tcBorders>
              <w:top w:val="single" w:sz="8" w:color="auto"/>
            </w:tcBorders>
            <w:shd w:val="clear" w:color="auto" w:fill="1928A0"/>
          </w:tcPr>
          <w:p>
            <w:pPr>
              <w:spacing w:after="0"/>
              <w:rPr>
                <w:sz w:val="23"/>
                <w:szCs w:val="23"/>
                <w:color w:val="auto"/>
              </w:rPr>
            </w:pPr>
          </w:p>
        </w:tc>
        <w:tc>
          <w:tcPr>
            <w:tcW w:w="2720" w:type="dxa"/>
            <w:vAlign w:val="bottom"/>
            <w:tcBorders>
              <w:top w:val="single" w:sz="8" w:color="auto"/>
              <w:right w:val="single" w:sz="8" w:color="auto"/>
            </w:tcBorders>
            <w:gridSpan w:val="3"/>
            <w:shd w:val="clear" w:color="auto" w:fill="1928A0"/>
          </w:tcPr>
          <w:p>
            <w:pPr>
              <w:jc w:val="right"/>
              <w:ind w:right="649"/>
              <w:spacing w:after="0"/>
              <w:rPr>
                <w:sz w:val="20"/>
                <w:szCs w:val="20"/>
                <w:color w:val="auto"/>
              </w:rPr>
            </w:pPr>
            <w:r>
              <w:rPr>
                <w:rFonts w:ascii="Arial" w:cs="Arial" w:eastAsia="Arial" w:hAnsi="Arial"/>
                <w:sz w:val="20"/>
                <w:szCs w:val="20"/>
                <w:b w:val="1"/>
                <w:bCs w:val="1"/>
                <w:color w:val="FFFFFF"/>
              </w:rPr>
              <w:t>Updated Guidance</w:t>
            </w:r>
          </w:p>
        </w:tc>
      </w:tr>
      <w:tr>
        <w:trPr>
          <w:trHeight w:val="322"/>
        </w:trPr>
        <w:tc>
          <w:tcPr>
            <w:tcW w:w="4080" w:type="dxa"/>
            <w:vAlign w:val="bottom"/>
            <w:tcBorders>
              <w:left w:val="single" w:sz="8" w:color="auto"/>
              <w:bottom w:val="single" w:sz="8" w:color="1928A0"/>
            </w:tcBorders>
            <w:shd w:val="clear" w:color="auto" w:fill="1928A0"/>
          </w:tcPr>
          <w:p>
            <w:pPr>
              <w:ind w:left="40"/>
              <w:spacing w:after="0"/>
              <w:rPr>
                <w:sz w:val="20"/>
                <w:szCs w:val="20"/>
                <w:color w:val="auto"/>
              </w:rPr>
            </w:pPr>
            <w:r>
              <w:rPr>
                <w:rFonts w:ascii="Arial" w:cs="Arial" w:eastAsia="Arial" w:hAnsi="Arial"/>
                <w:sz w:val="13"/>
                <w:szCs w:val="13"/>
                <w:b w:val="1"/>
                <w:bCs w:val="1"/>
                <w:color w:val="FFFFFF"/>
              </w:rPr>
              <w:t>(in millions, except per share data)</w:t>
            </w:r>
          </w:p>
        </w:tc>
        <w:tc>
          <w:tcPr>
            <w:tcW w:w="260" w:type="dxa"/>
            <w:vAlign w:val="bottom"/>
            <w:tcBorders>
              <w:bottom w:val="single" w:sz="8" w:color="1928A0"/>
            </w:tcBorders>
            <w:shd w:val="clear" w:color="auto" w:fill="1928A0"/>
          </w:tcPr>
          <w:p>
            <w:pPr>
              <w:spacing w:after="0"/>
              <w:rPr>
                <w:sz w:val="24"/>
                <w:szCs w:val="24"/>
                <w:color w:val="auto"/>
              </w:rPr>
            </w:pPr>
          </w:p>
        </w:tc>
        <w:tc>
          <w:tcPr>
            <w:tcW w:w="1220" w:type="dxa"/>
            <w:vAlign w:val="bottom"/>
            <w:tcBorders>
              <w:bottom w:val="single" w:sz="8" w:color="1928A0"/>
            </w:tcBorders>
            <w:shd w:val="clear" w:color="auto" w:fill="1928A0"/>
          </w:tcPr>
          <w:p>
            <w:pPr>
              <w:jc w:val="right"/>
              <w:ind w:right="309"/>
              <w:spacing w:after="0"/>
              <w:rPr>
                <w:sz w:val="20"/>
                <w:szCs w:val="20"/>
                <w:color w:val="auto"/>
              </w:rPr>
            </w:pPr>
            <w:r>
              <w:rPr>
                <w:rFonts w:ascii="Arial" w:cs="Arial" w:eastAsia="Arial" w:hAnsi="Arial"/>
                <w:sz w:val="20"/>
                <w:szCs w:val="20"/>
                <w:b w:val="1"/>
                <w:bCs w:val="1"/>
                <w:color w:val="FFFFFF"/>
                <w:w w:val="98"/>
              </w:rPr>
              <w:t>Low end</w:t>
            </w:r>
          </w:p>
        </w:tc>
        <w:tc>
          <w:tcPr>
            <w:tcW w:w="240" w:type="dxa"/>
            <w:vAlign w:val="bottom"/>
            <w:tcBorders>
              <w:bottom w:val="single" w:sz="8" w:color="1928A0"/>
            </w:tcBorders>
            <w:shd w:val="clear" w:color="auto" w:fill="1928A0"/>
          </w:tcPr>
          <w:p>
            <w:pPr>
              <w:spacing w:after="0"/>
              <w:rPr>
                <w:sz w:val="24"/>
                <w:szCs w:val="24"/>
                <w:color w:val="auto"/>
              </w:rPr>
            </w:pPr>
          </w:p>
        </w:tc>
        <w:tc>
          <w:tcPr>
            <w:tcW w:w="1540" w:type="dxa"/>
            <w:vAlign w:val="bottom"/>
            <w:tcBorders>
              <w:bottom w:val="single" w:sz="8" w:color="1928A0"/>
            </w:tcBorders>
            <w:shd w:val="clear" w:color="auto" w:fill="1928A0"/>
          </w:tcPr>
          <w:p>
            <w:pPr>
              <w:jc w:val="right"/>
              <w:ind w:right="589"/>
              <w:spacing w:after="0"/>
              <w:rPr>
                <w:sz w:val="20"/>
                <w:szCs w:val="20"/>
                <w:color w:val="auto"/>
              </w:rPr>
            </w:pPr>
            <w:r>
              <w:rPr>
                <w:rFonts w:ascii="Arial" w:cs="Arial" w:eastAsia="Arial" w:hAnsi="Arial"/>
                <w:sz w:val="20"/>
                <w:szCs w:val="20"/>
                <w:b w:val="1"/>
                <w:bCs w:val="1"/>
                <w:color w:val="FFFFFF"/>
                <w:w w:val="98"/>
              </w:rPr>
              <w:t>High end</w:t>
            </w:r>
          </w:p>
        </w:tc>
        <w:tc>
          <w:tcPr>
            <w:tcW w:w="560" w:type="dxa"/>
            <w:vAlign w:val="bottom"/>
            <w:tcBorders>
              <w:bottom w:val="single" w:sz="8" w:color="1928A0"/>
            </w:tcBorders>
            <w:shd w:val="clear" w:color="auto" w:fill="1928A0"/>
          </w:tcPr>
          <w:p>
            <w:pPr>
              <w:spacing w:after="0"/>
              <w:rPr>
                <w:sz w:val="24"/>
                <w:szCs w:val="24"/>
                <w:color w:val="auto"/>
              </w:rPr>
            </w:pPr>
          </w:p>
        </w:tc>
        <w:tc>
          <w:tcPr>
            <w:tcW w:w="1220" w:type="dxa"/>
            <w:vAlign w:val="bottom"/>
            <w:tcBorders>
              <w:bottom w:val="single" w:sz="8" w:color="1928A0"/>
            </w:tcBorders>
            <w:shd w:val="clear" w:color="auto" w:fill="1928A0"/>
          </w:tcPr>
          <w:p>
            <w:pPr>
              <w:jc w:val="right"/>
              <w:ind w:right="309"/>
              <w:spacing w:after="0"/>
              <w:rPr>
                <w:sz w:val="20"/>
                <w:szCs w:val="20"/>
                <w:color w:val="auto"/>
              </w:rPr>
            </w:pPr>
            <w:r>
              <w:rPr>
                <w:rFonts w:ascii="Arial" w:cs="Arial" w:eastAsia="Arial" w:hAnsi="Arial"/>
                <w:sz w:val="20"/>
                <w:szCs w:val="20"/>
                <w:b w:val="1"/>
                <w:bCs w:val="1"/>
                <w:color w:val="FFFFFF"/>
                <w:w w:val="98"/>
              </w:rPr>
              <w:t>Low end</w:t>
            </w:r>
          </w:p>
        </w:tc>
        <w:tc>
          <w:tcPr>
            <w:tcW w:w="240" w:type="dxa"/>
            <w:vAlign w:val="bottom"/>
            <w:tcBorders>
              <w:bottom w:val="single" w:sz="8" w:color="1928A0"/>
            </w:tcBorders>
            <w:shd w:val="clear" w:color="auto" w:fill="1928A0"/>
          </w:tcPr>
          <w:p>
            <w:pPr>
              <w:spacing w:after="0"/>
              <w:rPr>
                <w:sz w:val="24"/>
                <w:szCs w:val="24"/>
                <w:color w:val="auto"/>
              </w:rPr>
            </w:pPr>
          </w:p>
        </w:tc>
        <w:tc>
          <w:tcPr>
            <w:tcW w:w="1260" w:type="dxa"/>
            <w:vAlign w:val="bottom"/>
            <w:tcBorders>
              <w:bottom w:val="single" w:sz="8" w:color="1928A0"/>
              <w:right w:val="single" w:sz="8" w:color="auto"/>
            </w:tcBorders>
            <w:shd w:val="clear" w:color="auto" w:fill="1928A0"/>
          </w:tcPr>
          <w:p>
            <w:pPr>
              <w:jc w:val="right"/>
              <w:ind w:right="309"/>
              <w:spacing w:after="0"/>
              <w:rPr>
                <w:sz w:val="20"/>
                <w:szCs w:val="20"/>
                <w:color w:val="auto"/>
              </w:rPr>
            </w:pPr>
            <w:r>
              <w:rPr>
                <w:rFonts w:ascii="Arial" w:cs="Arial" w:eastAsia="Arial" w:hAnsi="Arial"/>
                <w:sz w:val="20"/>
                <w:szCs w:val="20"/>
                <w:b w:val="1"/>
                <w:bCs w:val="1"/>
                <w:color w:val="FFFFFF"/>
                <w:w w:val="98"/>
              </w:rPr>
              <w:t>High end</w:t>
            </w:r>
          </w:p>
        </w:tc>
      </w:tr>
      <w:tr>
        <w:trPr>
          <w:trHeight w:val="250"/>
        </w:trPr>
        <w:tc>
          <w:tcPr>
            <w:tcW w:w="4080" w:type="dxa"/>
            <w:vAlign w:val="bottom"/>
            <w:tcBorders>
              <w:left w:val="single" w:sz="8" w:color="auto"/>
              <w:bottom w:val="single" w:sz="8" w:color="DBDBDB"/>
            </w:tcBorders>
            <w:shd w:val="clear" w:color="auto" w:fill="DBDBDB"/>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DBDBDB"/>
            </w:tcBorders>
            <w:shd w:val="clear" w:color="auto" w:fill="DBDBDB"/>
          </w:tcPr>
          <w:p>
            <w:pPr>
              <w:jc w:val="right"/>
              <w:ind w:right="109"/>
              <w:spacing w:after="0"/>
              <w:rPr>
                <w:sz w:val="20"/>
                <w:szCs w:val="20"/>
                <w:color w:val="auto"/>
              </w:rPr>
            </w:pPr>
            <w:r>
              <w:rPr>
                <w:rFonts w:ascii="Arial" w:cs="Arial" w:eastAsia="Arial" w:hAnsi="Arial"/>
                <w:sz w:val="18"/>
                <w:szCs w:val="18"/>
                <w:color w:val="auto"/>
              </w:rPr>
              <w:t>6,500.0</w:t>
            </w:r>
          </w:p>
        </w:tc>
        <w:tc>
          <w:tcPr>
            <w:tcW w:w="24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DBDBDB"/>
            </w:tcBorders>
            <w:shd w:val="clear" w:color="auto" w:fill="DBDBDB"/>
          </w:tcPr>
          <w:p>
            <w:pPr>
              <w:jc w:val="right"/>
              <w:ind w:right="389"/>
              <w:spacing w:after="0"/>
              <w:rPr>
                <w:sz w:val="20"/>
                <w:szCs w:val="20"/>
                <w:color w:val="auto"/>
              </w:rPr>
            </w:pPr>
            <w:r>
              <w:rPr>
                <w:rFonts w:ascii="Arial" w:cs="Arial" w:eastAsia="Arial" w:hAnsi="Arial"/>
                <w:sz w:val="18"/>
                <w:szCs w:val="18"/>
                <w:color w:val="auto"/>
              </w:rPr>
              <w:t>6,700.0</w:t>
            </w:r>
          </w:p>
        </w:tc>
        <w:tc>
          <w:tcPr>
            <w:tcW w:w="56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DBDBDB"/>
            </w:tcBorders>
            <w:shd w:val="clear" w:color="auto" w:fill="DBDBDB"/>
          </w:tcPr>
          <w:p>
            <w:pPr>
              <w:jc w:val="right"/>
              <w:ind w:right="89"/>
              <w:spacing w:after="0"/>
              <w:rPr>
                <w:sz w:val="20"/>
                <w:szCs w:val="20"/>
                <w:color w:val="auto"/>
              </w:rPr>
            </w:pPr>
            <w:r>
              <w:rPr>
                <w:rFonts w:ascii="Arial" w:cs="Arial" w:eastAsia="Arial" w:hAnsi="Arial"/>
                <w:sz w:val="18"/>
                <w:szCs w:val="18"/>
                <w:color w:val="auto"/>
              </w:rPr>
              <w:t>6,175.0</w:t>
            </w:r>
          </w:p>
        </w:tc>
        <w:tc>
          <w:tcPr>
            <w:tcW w:w="24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DBDBDB"/>
              <w:right w:val="single" w:sz="8" w:color="auto"/>
            </w:tcBorders>
            <w:shd w:val="clear" w:color="auto" w:fill="DBDBDB"/>
          </w:tcPr>
          <w:p>
            <w:pPr>
              <w:jc w:val="right"/>
              <w:ind w:right="129"/>
              <w:spacing w:after="0"/>
              <w:rPr>
                <w:sz w:val="20"/>
                <w:szCs w:val="20"/>
                <w:color w:val="auto"/>
              </w:rPr>
            </w:pPr>
            <w:r>
              <w:rPr>
                <w:rFonts w:ascii="Arial" w:cs="Arial" w:eastAsia="Arial" w:hAnsi="Arial"/>
                <w:sz w:val="18"/>
                <w:szCs w:val="18"/>
                <w:color w:val="auto"/>
              </w:rPr>
              <w:t>6,365.0</w:t>
            </w:r>
          </w:p>
        </w:tc>
      </w:tr>
      <w:tr>
        <w:trPr>
          <w:trHeight w:val="162"/>
        </w:trPr>
        <w:tc>
          <w:tcPr>
            <w:tcW w:w="4080" w:type="dxa"/>
            <w:vAlign w:val="bottom"/>
            <w:tcBorders>
              <w:lef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r>
      <w:tr>
        <w:trPr>
          <w:trHeight w:val="250"/>
        </w:trPr>
        <w:tc>
          <w:tcPr>
            <w:tcW w:w="4080" w:type="dxa"/>
            <w:vAlign w:val="bottom"/>
            <w:tcBorders>
              <w:left w:val="single" w:sz="8" w:color="auto"/>
              <w:bottom w:val="single" w:sz="8" w:color="DBDBDB"/>
            </w:tcBorders>
            <w:shd w:val="clear" w:color="auto" w:fill="DBDBDB"/>
          </w:tcPr>
          <w:p>
            <w:pPr>
              <w:ind w:left="40"/>
              <w:spacing w:after="0"/>
              <w:rPr>
                <w:sz w:val="20"/>
                <w:szCs w:val="20"/>
                <w:color w:val="auto"/>
              </w:rPr>
            </w:pPr>
            <w:r>
              <w:rPr>
                <w:rFonts w:ascii="Arial" w:cs="Arial" w:eastAsia="Arial" w:hAnsi="Arial"/>
                <w:sz w:val="18"/>
                <w:szCs w:val="18"/>
                <w:color w:val="auto"/>
              </w:rPr>
              <w:t>Comparable Sales</w:t>
            </w:r>
          </w:p>
        </w:tc>
        <w:tc>
          <w:tcPr>
            <w:tcW w:w="26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DBDBDB"/>
            </w:tcBorders>
            <w:shd w:val="clear" w:color="auto" w:fill="DBDBDB"/>
          </w:tcPr>
          <w:p>
            <w:pPr>
              <w:spacing w:after="0"/>
              <w:rPr>
                <w:sz w:val="21"/>
                <w:szCs w:val="21"/>
                <w:color w:val="auto"/>
              </w:rPr>
            </w:pPr>
          </w:p>
        </w:tc>
        <w:tc>
          <w:tcPr>
            <w:tcW w:w="1540" w:type="dxa"/>
            <w:vAlign w:val="bottom"/>
            <w:tcBorders>
              <w:bottom w:val="single" w:sz="8" w:color="DBDBDB"/>
            </w:tcBorders>
            <w:shd w:val="clear" w:color="auto" w:fill="DBDBDB"/>
          </w:tcPr>
          <w:p>
            <w:pPr>
              <w:jc w:val="right"/>
              <w:ind w:right="229"/>
              <w:spacing w:after="0"/>
              <w:rPr>
                <w:sz w:val="20"/>
                <w:szCs w:val="20"/>
                <w:color w:val="auto"/>
              </w:rPr>
            </w:pPr>
            <w:r>
              <w:rPr>
                <w:rFonts w:ascii="Arial" w:cs="Arial" w:eastAsia="Arial" w:hAnsi="Arial"/>
                <w:sz w:val="18"/>
                <w:szCs w:val="18"/>
                <w:color w:val="auto"/>
              </w:rPr>
              <w:t>1.0 %</w:t>
            </w:r>
          </w:p>
        </w:tc>
        <w:tc>
          <w:tcPr>
            <w:tcW w:w="56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(7.5)%</w:t>
            </w:r>
          </w:p>
        </w:tc>
        <w:tc>
          <w:tcPr>
            <w:tcW w:w="24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w:t>
            </w:r>
          </w:p>
        </w:tc>
      </w:tr>
      <w:tr>
        <w:trPr>
          <w:trHeight w:val="162"/>
        </w:trPr>
        <w:tc>
          <w:tcPr>
            <w:tcW w:w="4080" w:type="dxa"/>
            <w:vAlign w:val="bottom"/>
            <w:tcBorders>
              <w:lef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r>
      <w:tr>
        <w:trPr>
          <w:trHeight w:val="250"/>
        </w:trPr>
        <w:tc>
          <w:tcPr>
            <w:tcW w:w="4080" w:type="dxa"/>
            <w:vAlign w:val="bottom"/>
            <w:tcBorders>
              <w:left w:val="single" w:sz="8" w:color="auto"/>
              <w:bottom w:val="single" w:sz="8" w:color="DBDBDB"/>
            </w:tcBorders>
            <w:shd w:val="clear" w:color="auto" w:fill="DBDBDB"/>
          </w:tcPr>
          <w:p>
            <w:pPr>
              <w:ind w:left="40"/>
              <w:spacing w:after="0"/>
              <w:rPr>
                <w:sz w:val="20"/>
                <w:szCs w:val="20"/>
                <w:color w:val="auto"/>
              </w:rPr>
            </w:pPr>
            <w:r>
              <w:rPr>
                <w:rFonts w:ascii="Arial" w:cs="Arial" w:eastAsia="Arial" w:hAnsi="Arial"/>
                <w:sz w:val="18"/>
                <w:szCs w:val="18"/>
                <w:color w:val="auto"/>
              </w:rPr>
              <w:t>Gross Margin Rate</w:t>
            </w:r>
          </w:p>
        </w:tc>
        <w:tc>
          <w:tcPr>
            <w:tcW w:w="26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34.0 %</w:t>
            </w:r>
          </w:p>
        </w:tc>
        <w:tc>
          <w:tcPr>
            <w:tcW w:w="240" w:type="dxa"/>
            <w:vAlign w:val="bottom"/>
            <w:tcBorders>
              <w:bottom w:val="single" w:sz="8" w:color="DBDBDB"/>
            </w:tcBorders>
            <w:shd w:val="clear" w:color="auto" w:fill="DBDBDB"/>
          </w:tcPr>
          <w:p>
            <w:pPr>
              <w:spacing w:after="0"/>
              <w:rPr>
                <w:sz w:val="21"/>
                <w:szCs w:val="21"/>
                <w:color w:val="auto"/>
              </w:rPr>
            </w:pPr>
          </w:p>
        </w:tc>
        <w:tc>
          <w:tcPr>
            <w:tcW w:w="1540" w:type="dxa"/>
            <w:vAlign w:val="bottom"/>
            <w:tcBorders>
              <w:bottom w:val="single" w:sz="8" w:color="DBDBDB"/>
            </w:tcBorders>
            <w:shd w:val="clear" w:color="auto" w:fill="DBDBDB"/>
          </w:tcPr>
          <w:p>
            <w:pPr>
              <w:jc w:val="right"/>
              <w:ind w:right="229"/>
              <w:spacing w:after="0"/>
              <w:rPr>
                <w:sz w:val="20"/>
                <w:szCs w:val="20"/>
                <w:color w:val="auto"/>
              </w:rPr>
            </w:pPr>
            <w:r>
              <w:rPr>
                <w:rFonts w:ascii="Arial" w:cs="Arial" w:eastAsia="Arial" w:hAnsi="Arial"/>
                <w:sz w:val="18"/>
                <w:szCs w:val="18"/>
                <w:color w:val="auto"/>
              </w:rPr>
              <w:t>34.4 %</w:t>
            </w:r>
          </w:p>
        </w:tc>
        <w:tc>
          <w:tcPr>
            <w:tcW w:w="56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34.0 %</w:t>
            </w:r>
          </w:p>
        </w:tc>
        <w:tc>
          <w:tcPr>
            <w:tcW w:w="24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34.4 %</w:t>
            </w:r>
          </w:p>
        </w:tc>
      </w:tr>
      <w:tr>
        <w:trPr>
          <w:trHeight w:val="162"/>
        </w:trPr>
        <w:tc>
          <w:tcPr>
            <w:tcW w:w="4080" w:type="dxa"/>
            <w:vAlign w:val="bottom"/>
            <w:tcBorders>
              <w:lef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r>
      <w:tr>
        <w:trPr>
          <w:trHeight w:val="250"/>
        </w:trPr>
        <w:tc>
          <w:tcPr>
            <w:tcW w:w="4080" w:type="dxa"/>
            <w:vAlign w:val="bottom"/>
            <w:tcBorders>
              <w:left w:val="single" w:sz="8" w:color="auto"/>
              <w:bottom w:val="single" w:sz="8" w:color="DBDBDB"/>
            </w:tcBorders>
            <w:shd w:val="clear" w:color="auto" w:fill="DBDBDB"/>
          </w:tcPr>
          <w:p>
            <w:pPr>
              <w:ind w:left="40"/>
              <w:spacing w:after="0"/>
              <w:rPr>
                <w:sz w:val="20"/>
                <w:szCs w:val="20"/>
                <w:color w:val="auto"/>
              </w:rPr>
            </w:pPr>
            <w:r>
              <w:rPr>
                <w:rFonts w:ascii="Arial" w:cs="Arial" w:eastAsia="Arial" w:hAnsi="Arial"/>
                <w:sz w:val="18"/>
                <w:szCs w:val="18"/>
                <w:color w:val="auto"/>
              </w:rPr>
              <w:t>GAAP Income Before Taxes</w:t>
            </w: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DBDBDB"/>
            </w:tcBorders>
            <w:shd w:val="clear" w:color="auto" w:fill="DBDBDB"/>
          </w:tcPr>
          <w:p>
            <w:pPr>
              <w:jc w:val="right"/>
              <w:ind w:right="109"/>
              <w:spacing w:after="0"/>
              <w:rPr>
                <w:sz w:val="20"/>
                <w:szCs w:val="20"/>
                <w:color w:val="auto"/>
              </w:rPr>
            </w:pPr>
            <w:r>
              <w:rPr>
                <w:rFonts w:ascii="Arial" w:cs="Arial" w:eastAsia="Arial" w:hAnsi="Arial"/>
                <w:sz w:val="18"/>
                <w:szCs w:val="18"/>
                <w:color w:val="auto"/>
              </w:rPr>
              <w:t>705</w:t>
            </w:r>
          </w:p>
        </w:tc>
        <w:tc>
          <w:tcPr>
            <w:tcW w:w="24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DBDBDB"/>
            </w:tcBorders>
            <w:shd w:val="clear" w:color="auto" w:fill="DBDBDB"/>
          </w:tcPr>
          <w:p>
            <w:pPr>
              <w:jc w:val="right"/>
              <w:ind w:right="389"/>
              <w:spacing w:after="0"/>
              <w:rPr>
                <w:sz w:val="20"/>
                <w:szCs w:val="20"/>
                <w:color w:val="auto"/>
              </w:rPr>
            </w:pPr>
            <w:r>
              <w:rPr>
                <w:rFonts w:ascii="Arial" w:cs="Arial" w:eastAsia="Arial" w:hAnsi="Arial"/>
                <w:sz w:val="18"/>
                <w:szCs w:val="18"/>
                <w:color w:val="auto"/>
              </w:rPr>
              <w:t>780</w:t>
            </w:r>
          </w:p>
        </w:tc>
        <w:tc>
          <w:tcPr>
            <w:tcW w:w="56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DBDBDB"/>
            </w:tcBorders>
            <w:shd w:val="clear" w:color="auto" w:fill="DBDBDB"/>
          </w:tcPr>
          <w:p>
            <w:pPr>
              <w:jc w:val="right"/>
              <w:ind w:right="89"/>
              <w:spacing w:after="0"/>
              <w:rPr>
                <w:sz w:val="20"/>
                <w:szCs w:val="20"/>
                <w:color w:val="auto"/>
              </w:rPr>
            </w:pPr>
            <w:r>
              <w:rPr>
                <w:rFonts w:ascii="Arial" w:cs="Arial" w:eastAsia="Arial" w:hAnsi="Arial"/>
                <w:sz w:val="18"/>
                <w:szCs w:val="18"/>
                <w:color w:val="auto"/>
              </w:rPr>
              <w:t>675</w:t>
            </w:r>
          </w:p>
        </w:tc>
        <w:tc>
          <w:tcPr>
            <w:tcW w:w="24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DBDBDB"/>
              <w:right w:val="single" w:sz="8" w:color="auto"/>
            </w:tcBorders>
            <w:shd w:val="clear" w:color="auto" w:fill="DBDBDB"/>
          </w:tcPr>
          <w:p>
            <w:pPr>
              <w:jc w:val="right"/>
              <w:ind w:right="129"/>
              <w:spacing w:after="0"/>
              <w:rPr>
                <w:sz w:val="20"/>
                <w:szCs w:val="20"/>
                <w:color w:val="auto"/>
              </w:rPr>
            </w:pPr>
            <w:r>
              <w:rPr>
                <w:rFonts w:ascii="Arial" w:cs="Arial" w:eastAsia="Arial" w:hAnsi="Arial"/>
                <w:sz w:val="18"/>
                <w:szCs w:val="18"/>
                <w:color w:val="auto"/>
              </w:rPr>
              <w:t>750</w:t>
            </w:r>
          </w:p>
        </w:tc>
      </w:tr>
      <w:tr>
        <w:trPr>
          <w:trHeight w:val="162"/>
        </w:trPr>
        <w:tc>
          <w:tcPr>
            <w:tcW w:w="4080" w:type="dxa"/>
            <w:vAlign w:val="bottom"/>
            <w:tcBorders>
              <w:lef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r>
      <w:tr>
        <w:trPr>
          <w:trHeight w:val="250"/>
        </w:trPr>
        <w:tc>
          <w:tcPr>
            <w:tcW w:w="4080" w:type="dxa"/>
            <w:vAlign w:val="bottom"/>
            <w:tcBorders>
              <w:left w:val="single" w:sz="8" w:color="auto"/>
              <w:bottom w:val="single" w:sz="8" w:color="DBDBDB"/>
            </w:tcBorders>
            <w:shd w:val="clear" w:color="auto" w:fill="DBDBDB"/>
          </w:tcPr>
          <w:p>
            <w:pPr>
              <w:ind w:left="40"/>
              <w:spacing w:after="0"/>
              <w:rPr>
                <w:sz w:val="20"/>
                <w:szCs w:val="20"/>
                <w:color w:val="auto"/>
              </w:rPr>
            </w:pPr>
            <w:r>
              <w:rPr>
                <w:rFonts w:ascii="Arial" w:cs="Arial" w:eastAsia="Arial" w:hAnsi="Arial"/>
                <w:sz w:val="18"/>
                <w:szCs w:val="18"/>
                <w:color w:val="auto"/>
              </w:rPr>
              <w:t>GAAP Net Income</w:t>
            </w: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DBDBDB"/>
            </w:tcBorders>
            <w:shd w:val="clear" w:color="auto" w:fill="DBDBDB"/>
          </w:tcPr>
          <w:p>
            <w:pPr>
              <w:jc w:val="right"/>
              <w:ind w:right="109"/>
              <w:spacing w:after="0"/>
              <w:rPr>
                <w:sz w:val="20"/>
                <w:szCs w:val="20"/>
                <w:color w:val="auto"/>
              </w:rPr>
            </w:pPr>
            <w:r>
              <w:rPr>
                <w:rFonts w:ascii="Arial" w:cs="Arial" w:eastAsia="Arial" w:hAnsi="Arial"/>
                <w:sz w:val="18"/>
                <w:szCs w:val="18"/>
                <w:color w:val="auto"/>
              </w:rPr>
              <w:t>535</w:t>
            </w:r>
          </w:p>
        </w:tc>
        <w:tc>
          <w:tcPr>
            <w:tcW w:w="24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DBDBDB"/>
            </w:tcBorders>
            <w:shd w:val="clear" w:color="auto" w:fill="DBDBDB"/>
          </w:tcPr>
          <w:p>
            <w:pPr>
              <w:jc w:val="right"/>
              <w:ind w:right="389"/>
              <w:spacing w:after="0"/>
              <w:rPr>
                <w:sz w:val="20"/>
                <w:szCs w:val="20"/>
                <w:color w:val="auto"/>
              </w:rPr>
            </w:pPr>
            <w:r>
              <w:rPr>
                <w:rFonts w:ascii="Arial" w:cs="Arial" w:eastAsia="Arial" w:hAnsi="Arial"/>
                <w:sz w:val="18"/>
                <w:szCs w:val="18"/>
                <w:color w:val="auto"/>
              </w:rPr>
              <w:t>595</w:t>
            </w:r>
          </w:p>
        </w:tc>
        <w:tc>
          <w:tcPr>
            <w:tcW w:w="56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DBDBDB"/>
            </w:tcBorders>
            <w:shd w:val="clear" w:color="auto" w:fill="DBDBDB"/>
          </w:tcPr>
          <w:p>
            <w:pPr>
              <w:jc w:val="right"/>
              <w:ind w:right="89"/>
              <w:spacing w:after="0"/>
              <w:rPr>
                <w:sz w:val="20"/>
                <w:szCs w:val="20"/>
                <w:color w:val="auto"/>
              </w:rPr>
            </w:pPr>
            <w:r>
              <w:rPr>
                <w:rFonts w:ascii="Arial" w:cs="Arial" w:eastAsia="Arial" w:hAnsi="Arial"/>
                <w:sz w:val="18"/>
                <w:szCs w:val="18"/>
                <w:color w:val="auto"/>
              </w:rPr>
              <w:t>520</w:t>
            </w:r>
          </w:p>
        </w:tc>
        <w:tc>
          <w:tcPr>
            <w:tcW w:w="24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DBDBDB"/>
              <w:right w:val="single" w:sz="8" w:color="auto"/>
            </w:tcBorders>
            <w:shd w:val="clear" w:color="auto" w:fill="DBDBDB"/>
          </w:tcPr>
          <w:p>
            <w:pPr>
              <w:jc w:val="right"/>
              <w:ind w:right="129"/>
              <w:spacing w:after="0"/>
              <w:rPr>
                <w:sz w:val="20"/>
                <w:szCs w:val="20"/>
                <w:color w:val="auto"/>
              </w:rPr>
            </w:pPr>
            <w:r>
              <w:rPr>
                <w:rFonts w:ascii="Arial" w:cs="Arial" w:eastAsia="Arial" w:hAnsi="Arial"/>
                <w:sz w:val="18"/>
                <w:szCs w:val="18"/>
                <w:color w:val="auto"/>
              </w:rPr>
              <w:t>575</w:t>
            </w:r>
          </w:p>
        </w:tc>
      </w:tr>
      <w:tr>
        <w:trPr>
          <w:trHeight w:val="162"/>
        </w:trPr>
        <w:tc>
          <w:tcPr>
            <w:tcW w:w="4080" w:type="dxa"/>
            <w:vAlign w:val="bottom"/>
            <w:tcBorders>
              <w:lef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r>
      <w:tr>
        <w:trPr>
          <w:trHeight w:val="250"/>
        </w:trPr>
        <w:tc>
          <w:tcPr>
            <w:tcW w:w="4080" w:type="dxa"/>
            <w:vAlign w:val="bottom"/>
            <w:tcBorders>
              <w:left w:val="single" w:sz="8" w:color="auto"/>
              <w:bottom w:val="single" w:sz="8" w:color="DBDBDB"/>
            </w:tcBorders>
            <w:shd w:val="clear" w:color="auto" w:fill="DBDBDB"/>
          </w:tcPr>
          <w:p>
            <w:pPr>
              <w:ind w:left="40"/>
              <w:spacing w:after="0"/>
              <w:rPr>
                <w:sz w:val="20"/>
                <w:szCs w:val="20"/>
                <w:color w:val="auto"/>
              </w:rPr>
            </w:pPr>
            <w:r>
              <w:rPr>
                <w:rFonts w:ascii="Arial" w:cs="Arial" w:eastAsia="Arial" w:hAnsi="Arial"/>
                <w:sz w:val="18"/>
                <w:szCs w:val="18"/>
                <w:color w:val="auto"/>
              </w:rPr>
              <w:t>GAAP Earnings per Common Share, Diluted</w:t>
            </w: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DBDBDB"/>
            </w:tcBorders>
            <w:shd w:val="clear" w:color="auto" w:fill="DBDBDB"/>
          </w:tcPr>
          <w:p>
            <w:pPr>
              <w:jc w:val="right"/>
              <w:ind w:right="109"/>
              <w:spacing w:after="0"/>
              <w:rPr>
                <w:sz w:val="20"/>
                <w:szCs w:val="20"/>
                <w:color w:val="auto"/>
              </w:rPr>
            </w:pPr>
            <w:r>
              <w:rPr>
                <w:rFonts w:ascii="Arial" w:cs="Arial" w:eastAsia="Arial" w:hAnsi="Arial"/>
                <w:sz w:val="18"/>
                <w:szCs w:val="18"/>
                <w:color w:val="auto"/>
              </w:rPr>
              <w:t>6.70</w:t>
            </w:r>
          </w:p>
        </w:tc>
        <w:tc>
          <w:tcPr>
            <w:tcW w:w="24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DBDBDB"/>
            </w:tcBorders>
            <w:shd w:val="clear" w:color="auto" w:fill="DBDBDB"/>
          </w:tcPr>
          <w:p>
            <w:pPr>
              <w:jc w:val="right"/>
              <w:ind w:right="389"/>
              <w:spacing w:after="0"/>
              <w:rPr>
                <w:sz w:val="20"/>
                <w:szCs w:val="20"/>
                <w:color w:val="auto"/>
              </w:rPr>
            </w:pPr>
            <w:r>
              <w:rPr>
                <w:rFonts w:ascii="Arial" w:cs="Arial" w:eastAsia="Arial" w:hAnsi="Arial"/>
                <w:sz w:val="18"/>
                <w:szCs w:val="18"/>
                <w:color w:val="auto"/>
              </w:rPr>
              <w:t>7.45</w:t>
            </w:r>
          </w:p>
        </w:tc>
        <w:tc>
          <w:tcPr>
            <w:tcW w:w="56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DBDBDB"/>
            </w:tcBorders>
            <w:shd w:val="clear" w:color="auto" w:fill="DBDBDB"/>
          </w:tcPr>
          <w:p>
            <w:pPr>
              <w:jc w:val="right"/>
              <w:ind w:right="89"/>
              <w:spacing w:after="0"/>
              <w:rPr>
                <w:sz w:val="20"/>
                <w:szCs w:val="20"/>
                <w:color w:val="auto"/>
              </w:rPr>
            </w:pPr>
            <w:r>
              <w:rPr>
                <w:rFonts w:ascii="Arial" w:cs="Arial" w:eastAsia="Arial" w:hAnsi="Arial"/>
                <w:sz w:val="18"/>
                <w:szCs w:val="18"/>
                <w:color w:val="auto"/>
              </w:rPr>
              <w:t>6.50</w:t>
            </w:r>
          </w:p>
        </w:tc>
        <w:tc>
          <w:tcPr>
            <w:tcW w:w="24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DBDBDB"/>
              <w:right w:val="single" w:sz="8" w:color="auto"/>
            </w:tcBorders>
            <w:shd w:val="clear" w:color="auto" w:fill="DBDBDB"/>
          </w:tcPr>
          <w:p>
            <w:pPr>
              <w:jc w:val="right"/>
              <w:ind w:right="129"/>
              <w:spacing w:after="0"/>
              <w:rPr>
                <w:sz w:val="20"/>
                <w:szCs w:val="20"/>
                <w:color w:val="auto"/>
              </w:rPr>
            </w:pPr>
            <w:r>
              <w:rPr>
                <w:rFonts w:ascii="Arial" w:cs="Arial" w:eastAsia="Arial" w:hAnsi="Arial"/>
                <w:sz w:val="18"/>
                <w:szCs w:val="18"/>
                <w:color w:val="auto"/>
              </w:rPr>
              <w:t>7.20</w:t>
            </w:r>
          </w:p>
        </w:tc>
      </w:tr>
      <w:tr>
        <w:trPr>
          <w:trHeight w:val="162"/>
        </w:trPr>
        <w:tc>
          <w:tcPr>
            <w:tcW w:w="4080" w:type="dxa"/>
            <w:vAlign w:val="bottom"/>
            <w:tcBorders>
              <w:lef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r>
      <w:tr>
        <w:trPr>
          <w:trHeight w:val="270"/>
        </w:trPr>
        <w:tc>
          <w:tcPr>
            <w:tcW w:w="4080" w:type="dxa"/>
            <w:vAlign w:val="bottom"/>
            <w:tcBorders>
              <w:left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 xml:space="preserve">Adjusted Earnings per Common Share, Diluted </w:t>
            </w:r>
            <w:r>
              <w:rPr>
                <w:rFonts w:ascii="Arial" w:cs="Arial" w:eastAsia="Arial" w:hAnsi="Arial"/>
                <w:sz w:val="23"/>
                <w:szCs w:val="23"/>
                <w:color w:val="auto"/>
                <w:vertAlign w:val="superscript"/>
              </w:rPr>
              <w:t>(1)</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ind w:right="109"/>
              <w:spacing w:after="0"/>
              <w:rPr>
                <w:sz w:val="20"/>
                <w:szCs w:val="20"/>
                <w:color w:val="auto"/>
              </w:rPr>
            </w:pPr>
            <w:r>
              <w:rPr>
                <w:rFonts w:ascii="Arial" w:cs="Arial" w:eastAsia="Arial" w:hAnsi="Arial"/>
                <w:sz w:val="18"/>
                <w:szCs w:val="18"/>
                <w:color w:val="auto"/>
              </w:rPr>
              <w:t>7.00</w:t>
            </w:r>
          </w:p>
        </w:tc>
        <w:tc>
          <w:tcPr>
            <w:tcW w:w="24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DBDBDB"/>
          </w:tcPr>
          <w:p>
            <w:pPr>
              <w:jc w:val="right"/>
              <w:ind w:right="389"/>
              <w:spacing w:after="0"/>
              <w:rPr>
                <w:sz w:val="20"/>
                <w:szCs w:val="20"/>
                <w:color w:val="auto"/>
              </w:rPr>
            </w:pPr>
            <w:r>
              <w:rPr>
                <w:rFonts w:ascii="Arial" w:cs="Arial" w:eastAsia="Arial" w:hAnsi="Arial"/>
                <w:sz w:val="18"/>
                <w:szCs w:val="18"/>
                <w:color w:val="auto"/>
              </w:rPr>
              <w:t>7.75</w:t>
            </w:r>
          </w:p>
        </w:tc>
        <w:tc>
          <w:tcPr>
            <w:tcW w:w="5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BDBDB"/>
          </w:tcPr>
          <w:p>
            <w:pPr>
              <w:jc w:val="right"/>
              <w:ind w:right="89"/>
              <w:spacing w:after="0"/>
              <w:rPr>
                <w:sz w:val="20"/>
                <w:szCs w:val="20"/>
                <w:color w:val="auto"/>
              </w:rPr>
            </w:pPr>
            <w:r>
              <w:rPr>
                <w:rFonts w:ascii="Arial" w:cs="Arial" w:eastAsia="Arial" w:hAnsi="Arial"/>
                <w:sz w:val="18"/>
                <w:szCs w:val="18"/>
                <w:color w:val="auto"/>
              </w:rPr>
              <w:t>6.80</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right w:val="single" w:sz="8" w:color="auto"/>
            </w:tcBorders>
            <w:shd w:val="clear" w:color="auto" w:fill="DBDBDB"/>
          </w:tcPr>
          <w:p>
            <w:pPr>
              <w:jc w:val="right"/>
              <w:ind w:right="129"/>
              <w:spacing w:after="0"/>
              <w:rPr>
                <w:sz w:val="20"/>
                <w:szCs w:val="20"/>
                <w:color w:val="auto"/>
              </w:rPr>
            </w:pPr>
            <w:r>
              <w:rPr>
                <w:rFonts w:ascii="Arial" w:cs="Arial" w:eastAsia="Arial" w:hAnsi="Arial"/>
                <w:sz w:val="18"/>
                <w:szCs w:val="18"/>
                <w:color w:val="auto"/>
              </w:rPr>
              <w:t>7.50</w:t>
            </w:r>
          </w:p>
        </w:tc>
      </w:tr>
      <w:tr>
        <w:trPr>
          <w:trHeight w:val="162"/>
        </w:trPr>
        <w:tc>
          <w:tcPr>
            <w:tcW w:w="4080" w:type="dxa"/>
            <w:vAlign w:val="bottom"/>
            <w:tcBorders>
              <w:lef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r>
      <w:tr>
        <w:trPr>
          <w:trHeight w:val="211"/>
        </w:trPr>
        <w:tc>
          <w:tcPr>
            <w:tcW w:w="4080" w:type="dxa"/>
            <w:vAlign w:val="bottom"/>
            <w:tcBorders>
              <w:left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Diluted Weighted Average Common Shares</w:t>
            </w:r>
          </w:p>
        </w:tc>
        <w:tc>
          <w:tcPr>
            <w:tcW w:w="2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54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260" w:type="dxa"/>
            <w:vAlign w:val="bottom"/>
            <w:tcBorders>
              <w:right w:val="single" w:sz="8" w:color="auto"/>
            </w:tcBorders>
            <w:shd w:val="clear" w:color="auto" w:fill="DBDBDB"/>
          </w:tcPr>
          <w:p>
            <w:pPr>
              <w:spacing w:after="0"/>
              <w:rPr>
                <w:sz w:val="18"/>
                <w:szCs w:val="18"/>
                <w:color w:val="auto"/>
              </w:rPr>
            </w:pPr>
          </w:p>
        </w:tc>
      </w:tr>
      <w:tr>
        <w:trPr>
          <w:trHeight w:val="255"/>
        </w:trPr>
        <w:tc>
          <w:tcPr>
            <w:tcW w:w="4080" w:type="dxa"/>
            <w:vAlign w:val="bottom"/>
            <w:tcBorders>
              <w:left w:val="single" w:sz="8" w:color="auto"/>
              <w:bottom w:val="single" w:sz="8" w:color="DBDBDB"/>
            </w:tcBorders>
            <w:shd w:val="clear" w:color="auto" w:fill="DBDBDB"/>
          </w:tcPr>
          <w:p>
            <w:pPr>
              <w:ind w:left="40"/>
              <w:spacing w:after="0"/>
              <w:rPr>
                <w:sz w:val="20"/>
                <w:szCs w:val="20"/>
                <w:color w:val="auto"/>
              </w:rPr>
            </w:pPr>
            <w:r>
              <w:rPr>
                <w:rFonts w:ascii="Arial" w:cs="Arial" w:eastAsia="Arial" w:hAnsi="Arial"/>
                <w:sz w:val="18"/>
                <w:szCs w:val="18"/>
                <w:color w:val="auto"/>
              </w:rPr>
              <w:t>Outstanding</w:t>
            </w:r>
          </w:p>
        </w:tc>
        <w:tc>
          <w:tcPr>
            <w:tcW w:w="260" w:type="dxa"/>
            <w:vAlign w:val="bottom"/>
            <w:tcBorders>
              <w:bottom w:val="single" w:sz="8" w:color="DBDBDB"/>
            </w:tcBorders>
            <w:shd w:val="clear" w:color="auto" w:fill="DBDBDB"/>
          </w:tcPr>
          <w:p>
            <w:pPr>
              <w:spacing w:after="0"/>
              <w:rPr>
                <w:sz w:val="22"/>
                <w:szCs w:val="22"/>
                <w:color w:val="auto"/>
              </w:rPr>
            </w:pPr>
          </w:p>
        </w:tc>
        <w:tc>
          <w:tcPr>
            <w:tcW w:w="1220" w:type="dxa"/>
            <w:vAlign w:val="bottom"/>
            <w:tcBorders>
              <w:bottom w:val="single" w:sz="8" w:color="DBDBDB"/>
            </w:tcBorders>
            <w:shd w:val="clear" w:color="auto" w:fill="DBDBDB"/>
          </w:tcPr>
          <w:p>
            <w:pPr>
              <w:jc w:val="right"/>
              <w:ind w:right="109"/>
              <w:spacing w:after="0"/>
              <w:rPr>
                <w:sz w:val="20"/>
                <w:szCs w:val="20"/>
                <w:color w:val="auto"/>
              </w:rPr>
            </w:pPr>
            <w:r>
              <w:rPr>
                <w:rFonts w:ascii="Arial" w:cs="Arial" w:eastAsia="Arial" w:hAnsi="Arial"/>
                <w:sz w:val="18"/>
                <w:szCs w:val="18"/>
                <w:color w:val="auto"/>
              </w:rPr>
              <w:t>80.2</w:t>
            </w:r>
          </w:p>
        </w:tc>
        <w:tc>
          <w:tcPr>
            <w:tcW w:w="240" w:type="dxa"/>
            <w:vAlign w:val="bottom"/>
            <w:tcBorders>
              <w:bottom w:val="single" w:sz="8" w:color="DBDBDB"/>
            </w:tcBorders>
            <w:shd w:val="clear" w:color="auto" w:fill="DBDBDB"/>
          </w:tcPr>
          <w:p>
            <w:pPr>
              <w:spacing w:after="0"/>
              <w:rPr>
                <w:sz w:val="22"/>
                <w:szCs w:val="22"/>
                <w:color w:val="auto"/>
              </w:rPr>
            </w:pPr>
          </w:p>
        </w:tc>
        <w:tc>
          <w:tcPr>
            <w:tcW w:w="1540" w:type="dxa"/>
            <w:vAlign w:val="bottom"/>
            <w:tcBorders>
              <w:bottom w:val="single" w:sz="8" w:color="DBDBDB"/>
            </w:tcBorders>
            <w:shd w:val="clear" w:color="auto" w:fill="DBDBDB"/>
          </w:tcPr>
          <w:p>
            <w:pPr>
              <w:jc w:val="right"/>
              <w:ind w:right="389"/>
              <w:spacing w:after="0"/>
              <w:rPr>
                <w:sz w:val="20"/>
                <w:szCs w:val="20"/>
                <w:color w:val="auto"/>
              </w:rPr>
            </w:pPr>
            <w:r>
              <w:rPr>
                <w:rFonts w:ascii="Arial" w:cs="Arial" w:eastAsia="Arial" w:hAnsi="Arial"/>
                <w:sz w:val="18"/>
                <w:szCs w:val="18"/>
                <w:color w:val="auto"/>
              </w:rPr>
              <w:t>80.2</w:t>
            </w:r>
          </w:p>
        </w:tc>
        <w:tc>
          <w:tcPr>
            <w:tcW w:w="560" w:type="dxa"/>
            <w:vAlign w:val="bottom"/>
            <w:tcBorders>
              <w:bottom w:val="single" w:sz="8" w:color="DBDBDB"/>
            </w:tcBorders>
            <w:shd w:val="clear" w:color="auto" w:fill="DBDBDB"/>
          </w:tcPr>
          <w:p>
            <w:pPr>
              <w:spacing w:after="0"/>
              <w:rPr>
                <w:sz w:val="22"/>
                <w:szCs w:val="22"/>
                <w:color w:val="auto"/>
              </w:rPr>
            </w:pPr>
          </w:p>
        </w:tc>
        <w:tc>
          <w:tcPr>
            <w:tcW w:w="1220" w:type="dxa"/>
            <w:vAlign w:val="bottom"/>
            <w:tcBorders>
              <w:bottom w:val="single" w:sz="8" w:color="DBDBDB"/>
            </w:tcBorders>
            <w:shd w:val="clear" w:color="auto" w:fill="DBDBDB"/>
          </w:tcPr>
          <w:p>
            <w:pPr>
              <w:jc w:val="right"/>
              <w:ind w:right="89"/>
              <w:spacing w:after="0"/>
              <w:rPr>
                <w:sz w:val="20"/>
                <w:szCs w:val="20"/>
                <w:color w:val="auto"/>
              </w:rPr>
            </w:pPr>
            <w:r>
              <w:rPr>
                <w:rFonts w:ascii="Arial" w:cs="Arial" w:eastAsia="Arial" w:hAnsi="Arial"/>
                <w:sz w:val="18"/>
                <w:szCs w:val="18"/>
                <w:color w:val="auto"/>
              </w:rPr>
              <w:t>79.7</w:t>
            </w:r>
          </w:p>
        </w:tc>
        <w:tc>
          <w:tcPr>
            <w:tcW w:w="240" w:type="dxa"/>
            <w:vAlign w:val="bottom"/>
            <w:tcBorders>
              <w:bottom w:val="single" w:sz="8" w:color="DBDBDB"/>
            </w:tcBorders>
            <w:shd w:val="clear" w:color="auto" w:fill="DBDBDB"/>
          </w:tcPr>
          <w:p>
            <w:pPr>
              <w:spacing w:after="0"/>
              <w:rPr>
                <w:sz w:val="22"/>
                <w:szCs w:val="22"/>
                <w:color w:val="auto"/>
              </w:rPr>
            </w:pPr>
          </w:p>
        </w:tc>
        <w:tc>
          <w:tcPr>
            <w:tcW w:w="1260" w:type="dxa"/>
            <w:vAlign w:val="bottom"/>
            <w:tcBorders>
              <w:bottom w:val="single" w:sz="8" w:color="DBDBDB"/>
              <w:right w:val="single" w:sz="8" w:color="auto"/>
            </w:tcBorders>
            <w:shd w:val="clear" w:color="auto" w:fill="DBDBDB"/>
          </w:tcPr>
          <w:p>
            <w:pPr>
              <w:jc w:val="right"/>
              <w:ind w:right="129"/>
              <w:spacing w:after="0"/>
              <w:rPr>
                <w:sz w:val="20"/>
                <w:szCs w:val="20"/>
                <w:color w:val="auto"/>
              </w:rPr>
            </w:pPr>
            <w:r>
              <w:rPr>
                <w:rFonts w:ascii="Arial" w:cs="Arial" w:eastAsia="Arial" w:hAnsi="Arial"/>
                <w:sz w:val="18"/>
                <w:szCs w:val="18"/>
                <w:color w:val="auto"/>
              </w:rPr>
              <w:t>79.7</w:t>
            </w:r>
          </w:p>
        </w:tc>
      </w:tr>
      <w:tr>
        <w:trPr>
          <w:trHeight w:val="162"/>
        </w:trPr>
        <w:tc>
          <w:tcPr>
            <w:tcW w:w="4080" w:type="dxa"/>
            <w:vAlign w:val="bottom"/>
            <w:tcBorders>
              <w:lef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r>
      <w:tr>
        <w:trPr>
          <w:trHeight w:val="250"/>
        </w:trPr>
        <w:tc>
          <w:tcPr>
            <w:tcW w:w="4080" w:type="dxa"/>
            <w:vAlign w:val="bottom"/>
            <w:tcBorders>
              <w:left w:val="single" w:sz="8" w:color="auto"/>
              <w:bottom w:val="single" w:sz="8" w:color="DBDBDB"/>
            </w:tcBorders>
            <w:shd w:val="clear" w:color="auto" w:fill="DBDBDB"/>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DBDBDB"/>
            </w:tcBorders>
            <w:shd w:val="clear" w:color="auto" w:fill="DBDBDB"/>
          </w:tcPr>
          <w:p>
            <w:pPr>
              <w:jc w:val="right"/>
              <w:ind w:right="109"/>
              <w:spacing w:after="0"/>
              <w:rPr>
                <w:sz w:val="20"/>
                <w:szCs w:val="20"/>
                <w:color w:val="auto"/>
              </w:rPr>
            </w:pPr>
            <w:r>
              <w:rPr>
                <w:rFonts w:ascii="Arial" w:cs="Arial" w:eastAsia="Arial" w:hAnsi="Arial"/>
                <w:sz w:val="18"/>
                <w:szCs w:val="18"/>
                <w:color w:val="auto"/>
              </w:rPr>
              <w:t>200</w:t>
            </w:r>
          </w:p>
        </w:tc>
        <w:tc>
          <w:tcPr>
            <w:tcW w:w="24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DBDBDB"/>
            </w:tcBorders>
            <w:shd w:val="clear" w:color="auto" w:fill="DBDBDB"/>
          </w:tcPr>
          <w:p>
            <w:pPr>
              <w:jc w:val="right"/>
              <w:ind w:right="389"/>
              <w:spacing w:after="0"/>
              <w:rPr>
                <w:sz w:val="20"/>
                <w:szCs w:val="20"/>
                <w:color w:val="auto"/>
              </w:rPr>
            </w:pPr>
            <w:r>
              <w:rPr>
                <w:rFonts w:ascii="Arial" w:cs="Arial" w:eastAsia="Arial" w:hAnsi="Arial"/>
                <w:sz w:val="18"/>
                <w:szCs w:val="18"/>
                <w:color w:val="auto"/>
              </w:rPr>
              <w:t>250</w:t>
            </w:r>
          </w:p>
        </w:tc>
        <w:tc>
          <w:tcPr>
            <w:tcW w:w="56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DBDBDB"/>
            </w:tcBorders>
            <w:shd w:val="clear" w:color="auto" w:fill="DBDBDB"/>
          </w:tcPr>
          <w:p>
            <w:pPr>
              <w:jc w:val="right"/>
              <w:ind w:right="89"/>
              <w:spacing w:after="0"/>
              <w:rPr>
                <w:sz w:val="20"/>
                <w:szCs w:val="20"/>
                <w:color w:val="auto"/>
              </w:rPr>
            </w:pPr>
            <w:r>
              <w:rPr>
                <w:rFonts w:ascii="Arial" w:cs="Arial" w:eastAsia="Arial" w:hAnsi="Arial"/>
                <w:sz w:val="18"/>
                <w:szCs w:val="18"/>
                <w:color w:val="auto"/>
              </w:rPr>
              <w:t>200</w:t>
            </w:r>
          </w:p>
        </w:tc>
        <w:tc>
          <w:tcPr>
            <w:tcW w:w="24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DBDBDB"/>
              <w:right w:val="single" w:sz="8" w:color="auto"/>
            </w:tcBorders>
            <w:shd w:val="clear" w:color="auto" w:fill="DBDBDB"/>
          </w:tcPr>
          <w:p>
            <w:pPr>
              <w:jc w:val="right"/>
              <w:ind w:right="129"/>
              <w:spacing w:after="0"/>
              <w:rPr>
                <w:sz w:val="20"/>
                <w:szCs w:val="20"/>
                <w:color w:val="auto"/>
              </w:rPr>
            </w:pPr>
            <w:r>
              <w:rPr>
                <w:rFonts w:ascii="Arial" w:cs="Arial" w:eastAsia="Arial" w:hAnsi="Arial"/>
                <w:sz w:val="18"/>
                <w:szCs w:val="18"/>
                <w:color w:val="auto"/>
              </w:rPr>
              <w:t>250</w:t>
            </w:r>
          </w:p>
        </w:tc>
      </w:tr>
      <w:tr>
        <w:trPr>
          <w:trHeight w:val="135"/>
        </w:trPr>
        <w:tc>
          <w:tcPr>
            <w:tcW w:w="4080" w:type="dxa"/>
            <w:vAlign w:val="bottom"/>
            <w:tcBorders>
              <w:lef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r>
      <w:tr>
        <w:trPr>
          <w:trHeight w:val="270"/>
        </w:trPr>
        <w:tc>
          <w:tcPr>
            <w:tcW w:w="4080" w:type="dxa"/>
            <w:vAlign w:val="bottom"/>
            <w:tcBorders>
              <w:left w:val="single" w:sz="8" w:color="auto"/>
              <w:bottom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 xml:space="preserve">Adjusted Free Cash Flow </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BDBDB"/>
          </w:tcPr>
          <w:p>
            <w:pPr>
              <w:jc w:val="right"/>
              <w:ind w:right="109"/>
              <w:spacing w:after="0"/>
              <w:rPr>
                <w:sz w:val="20"/>
                <w:szCs w:val="20"/>
                <w:color w:val="auto"/>
              </w:rPr>
            </w:pPr>
            <w:r>
              <w:rPr>
                <w:rFonts w:ascii="Arial" w:cs="Arial" w:eastAsia="Arial" w:hAnsi="Arial"/>
                <w:sz w:val="18"/>
                <w:szCs w:val="18"/>
                <w:color w:val="auto"/>
              </w:rPr>
              <w:t>450</w:t>
            </w:r>
          </w:p>
        </w:tc>
        <w:tc>
          <w:tcPr>
            <w:tcW w:w="24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DBDBDB"/>
          </w:tcPr>
          <w:p>
            <w:pPr>
              <w:jc w:val="right"/>
              <w:ind w:right="389"/>
              <w:spacing w:after="0"/>
              <w:rPr>
                <w:sz w:val="20"/>
                <w:szCs w:val="20"/>
                <w:color w:val="auto"/>
              </w:rPr>
            </w:pPr>
            <w:r>
              <w:rPr>
                <w:rFonts w:ascii="Arial" w:cs="Arial" w:eastAsia="Arial" w:hAnsi="Arial"/>
                <w:sz w:val="18"/>
                <w:szCs w:val="18"/>
                <w:color w:val="auto"/>
              </w:rPr>
              <w:t>500</w:t>
            </w:r>
          </w:p>
        </w:tc>
        <w:tc>
          <w:tcPr>
            <w:tcW w:w="5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DBDBDB"/>
          </w:tcPr>
          <w:p>
            <w:pPr>
              <w:jc w:val="right"/>
              <w:ind w:right="89"/>
              <w:spacing w:after="0"/>
              <w:rPr>
                <w:sz w:val="20"/>
                <w:szCs w:val="20"/>
                <w:color w:val="auto"/>
              </w:rPr>
            </w:pPr>
            <w:r>
              <w:rPr>
                <w:rFonts w:ascii="Arial" w:cs="Arial" w:eastAsia="Arial" w:hAnsi="Arial"/>
                <w:sz w:val="18"/>
                <w:szCs w:val="18"/>
                <w:color w:val="auto"/>
              </w:rPr>
              <w:t>400</w:t>
            </w: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right w:val="single" w:sz="8" w:color="auto"/>
            </w:tcBorders>
            <w:shd w:val="clear" w:color="auto" w:fill="DBDBDB"/>
          </w:tcPr>
          <w:p>
            <w:pPr>
              <w:jc w:val="right"/>
              <w:ind w:right="129"/>
              <w:spacing w:after="0"/>
              <w:rPr>
                <w:sz w:val="20"/>
                <w:szCs w:val="20"/>
                <w:color w:val="auto"/>
              </w:rPr>
            </w:pPr>
            <w:r>
              <w:rPr>
                <w:rFonts w:ascii="Arial" w:cs="Arial" w:eastAsia="Arial" w:hAnsi="Arial"/>
                <w:sz w:val="18"/>
                <w:szCs w:val="18"/>
                <w:color w:val="auto"/>
              </w:rPr>
              <w:t>450</w:t>
            </w:r>
          </w:p>
        </w:tc>
      </w:tr>
    </w:tbl>
    <w:p>
      <w:pPr>
        <w:spacing w:after="0" w:line="70" w:lineRule="exact"/>
        <w:rPr>
          <w:sz w:val="20"/>
          <w:szCs w:val="20"/>
          <w:color w:val="auto"/>
        </w:rPr>
      </w:pPr>
    </w:p>
    <w:p>
      <w:pPr>
        <w:ind w:left="340" w:right="720" w:firstLine="5"/>
        <w:spacing w:after="0" w:line="292" w:lineRule="auto"/>
        <w:tabs>
          <w:tab w:leader="none" w:pos="533" w:val="left"/>
        </w:tabs>
        <w:numPr>
          <w:ilvl w:val="0"/>
          <w:numId w:val="3"/>
        </w:numPr>
        <w:rPr>
          <w:rFonts w:ascii="Arial" w:cs="Arial" w:eastAsia="Arial" w:hAnsi="Arial"/>
          <w:sz w:val="14"/>
          <w:szCs w:val="14"/>
          <w:color w:val="auto"/>
        </w:rPr>
      </w:pPr>
      <w:r>
        <w:rPr>
          <w:rFonts w:ascii="Arial" w:cs="Arial" w:eastAsia="Arial" w:hAnsi="Arial"/>
          <w:sz w:val="14"/>
          <w:szCs w:val="14"/>
          <w:color w:val="auto"/>
        </w:rPr>
        <w:t>Adjusted earnings per common share, diluted, and adjusted free cash fow are non-GAAP measures. See "Non-GAAP Measures" and "Reconciliatons of Non-GAAP to GAAP Financial Measures" below for reconciliatons of non-GAAP fnancial measures to their most directly comparable GAAP fnancial measures.</w:t>
      </w:r>
    </w:p>
    <w:p>
      <w:pPr>
        <w:spacing w:after="0" w:line="9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earnings per common share guidance reflects a tax rate of approximately 23.0% and does not include any potential future share repurchases. Fiscal 2023 guidance includes a 53rd week in the fourth quarter. The Company estimates this week's sales contribution to be approximately $85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w:t>
      </w:r>
    </w:p>
    <w:p>
      <w:pPr>
        <w:spacing w:after="0" w:line="1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Academy will host a conference call today at 10:00 a.m. Eastern Time to discuss its financial results. Listeners may access the call by dialing 1-877-407-3982 (U.S.) or 1-201-493-6780 (International). The passcode is 13738834.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webcast of the call can be accessed at </w:t>
      </w:r>
      <w:r>
        <w:rPr>
          <w:rFonts w:ascii="Arial" w:cs="Arial" w:eastAsia="Arial" w:hAnsi="Arial"/>
          <w:sz w:val="18"/>
          <w:szCs w:val="18"/>
          <w:u w:val="single" w:color="auto"/>
          <w:color w:val="0E32E1"/>
        </w:rPr>
        <w:t>investors.academy.com</w:t>
      </w:r>
      <w:r>
        <w:rPr>
          <w:rFonts w:ascii="Arial" w:cs="Arial" w:eastAsia="Arial" w:hAnsi="Arial"/>
          <w:sz w:val="18"/>
          <w:szCs w:val="18"/>
          <w:color w:val="auto"/>
        </w:rPr>
        <w:t>.</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A telephonic replay of the conference call will be available for approximately 30 days, by dialing 1-844-512-2921 (U.S.) or 1-412-317-6671 (International) and entering passcode 13738834. An archive of the webcast will be available at </w:t>
      </w:r>
      <w:r>
        <w:rPr>
          <w:rFonts w:ascii="Arial" w:cs="Arial" w:eastAsia="Arial" w:hAnsi="Arial"/>
          <w:sz w:val="18"/>
          <w:szCs w:val="18"/>
          <w:u w:val="single" w:color="auto"/>
          <w:color w:val="0E32E1"/>
        </w:rPr>
        <w:t>investors.academy.com</w:t>
      </w:r>
      <w:r>
        <w:rPr>
          <w:rFonts w:ascii="Arial" w:cs="Arial" w:eastAsia="Arial" w:hAnsi="Arial"/>
          <w:sz w:val="18"/>
          <w:szCs w:val="18"/>
          <w:color w:val="auto"/>
        </w:rPr>
        <w:t xml:space="preserve"> for 30 days.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4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About Academy Sports + Outdoors</w:t>
      </w:r>
    </w:p>
    <w:p>
      <w:pPr>
        <w:spacing w:after="0" w:line="1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Academy is a leading full-line sporting goods and outdoor recreation retailer in the United States. Originally founded in 1938 as a family business in Texas, Academy has grown to 269 stores across 18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private label brands.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Adjusted EBITDA, Adjusted EBIT, Adjusted Net Income, Adjusted Earnings per Common Share, and Adjusted Free Cash Flow have been presented in this press release as supplemental measures of financial performance that are not required by, or presented in accordance with, generally accepted accounting principles (“GAAP”). The Company believes that the presentation of these non-GAAP measures is useful to investors as it provides additional information on comparisons between periods by excluding certain items that affect overall comparability. The Company uses these non-GAAP financial measures for business planning purposes, to consider underlying trends of its business, and in measuring its performance relative to others in the market, and believes presenting these measures also provides information to investors and others for understanding and evaluating trends in the Company’s operating results or measuring performance in the same manner as the Company’s management. Non-GAAP financial measures should be considered in addition to, and not as an alternative for, the Company’s reported results prepared in accordance with GAAP. The calculation of these non-GAAP financial measures may differ from similar measures reported by other companies and may not be comparable to other similarly titled measures. For additional information on these non-GAAP</w:t>
      </w:r>
    </w:p>
    <w:p>
      <w:pPr>
        <w:spacing w:after="0" w:line="7"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financial measures, please see our Annual Report for the fiscal year ended January 28, 2023 (the "Annual Report"), which may be updated from time to time in our periodic filings with the Securities and Exchange Commission (the "SEC"), which are accessible on the SEC's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website at </w:t>
      </w:r>
      <w:r>
        <w:rPr>
          <w:rFonts w:ascii="Arial" w:cs="Arial" w:eastAsia="Arial" w:hAnsi="Arial"/>
          <w:sz w:val="18"/>
          <w:szCs w:val="18"/>
          <w:u w:val="single" w:color="auto"/>
          <w:color w:val="0E32E1"/>
        </w:rPr>
        <w:t>www.sec.gov</w:t>
      </w:r>
      <w:r>
        <w:rPr>
          <w:rFonts w:ascii="Arial" w:cs="Arial" w:eastAsia="Arial" w:hAnsi="Arial"/>
          <w:sz w:val="18"/>
          <w:szCs w:val="18"/>
          <w:color w:val="auto"/>
        </w:rPr>
        <w:t>.</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See “Reconciliations of Non-GAAP to GAAP Financial Measures” below for reconciliations of non-GAAP financial measures used in this press release to their most directly comparable GAAP financial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forward-looking statements may incorporate words such as “believe,” “expect,” “forward,” “ahead,” “opportunities,” “plans,” “priorities,” “goals,” “future,” “short/long term,” “will,” “should,” or the negative version of these words or other comparable words. The forward-looking statements include, among other things, statements regarding the Company’s fiscal 2023 outlook, the Company’s strategic plans and financial objectives, growth of the Company’s business and operations, the Company’s payment of dividends and declaration of future dividends, including the timing and amount thereof, share repurchases by the Company, the Company's expectations regarding its future performance, and future financial condition, and other such matters, and are subject to various risks, uncertainties, assumptions, or changes in circumstances that are difficult to predict or quantify. Actual results may differ materially from</w:t>
      </w:r>
    </w:p>
    <w:p>
      <w:pPr>
        <w:spacing w:after="0" w:line="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these expectations due to changes in global, regional, or local economic, business, competitive, market, regulatory and other factors that could affect overall consumer spending or our industry, including the possible effects of ongoing macroeconomic challenges, inflation and</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increases in interest rates, or changes to the financial health of our customers, many of which are beyond Academy's control. These and other important factors that could cause actual results to differ materially from those in the forward-looking statements are set forth in Academy's filings with the SEC, including the Annual Report and the Company’s Quarterly Report for the quarter ended April 29, 2023, under the caption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Media Contact</w:t>
            </w:r>
          </w:p>
        </w:tc>
      </w:tr>
      <w:tr>
        <w:trPr>
          <w:trHeight w:val="284"/>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 Hodges</w:t>
            </w:r>
          </w:p>
        </w:tc>
        <w:tc>
          <w:tcPr>
            <w:tcW w:w="2860" w:type="dxa"/>
            <w:vAlign w:val="bottom"/>
          </w:tcPr>
          <w:p>
            <w:pPr>
              <w:spacing w:after="0"/>
              <w:rPr>
                <w:sz w:val="24"/>
                <w:szCs w:val="24"/>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Elise Hasbrook</w:t>
            </w:r>
          </w:p>
        </w:tc>
        <w:tc>
          <w:tcPr>
            <w:tcW w:w="1220" w:type="dxa"/>
            <w:vAlign w:val="bottom"/>
          </w:tcPr>
          <w:p>
            <w:pPr>
              <w:spacing w:after="0"/>
              <w:rPr>
                <w:sz w:val="24"/>
                <w:szCs w:val="24"/>
                <w:color w:val="auto"/>
              </w:rPr>
            </w:pPr>
          </w:p>
        </w:tc>
      </w:tr>
      <w:tr>
        <w:trPr>
          <w:trHeight w:val="270"/>
        </w:trPr>
        <w:tc>
          <w:tcPr>
            <w:tcW w:w="4280" w:type="dxa"/>
            <w:vAlign w:val="bottom"/>
            <w:gridSpan w:val="2"/>
          </w:tcPr>
          <w:p>
            <w:pPr>
              <w:spacing w:after="0"/>
              <w:rPr>
                <w:sz w:val="20"/>
                <w:szCs w:val="20"/>
                <w:color w:val="auto"/>
              </w:rPr>
            </w:pPr>
            <w:r>
              <w:rPr>
                <w:rFonts w:ascii="Arial" w:cs="Arial" w:eastAsia="Arial" w:hAnsi="Arial"/>
                <w:sz w:val="18"/>
                <w:szCs w:val="18"/>
                <w:color w:val="auto"/>
              </w:rPr>
              <w:t>VP, Investor Relations</w:t>
            </w:r>
          </w:p>
        </w:tc>
        <w:tc>
          <w:tcPr>
            <w:tcW w:w="2460" w:type="dxa"/>
            <w:vAlign w:val="bottom"/>
            <w:gridSpan w:val="2"/>
          </w:tcPr>
          <w:p>
            <w:pPr>
              <w:spacing w:after="0"/>
              <w:rPr>
                <w:sz w:val="20"/>
                <w:szCs w:val="20"/>
                <w:color w:val="auto"/>
              </w:rPr>
            </w:pPr>
            <w:r>
              <w:rPr>
                <w:rFonts w:ascii="Arial" w:cs="Arial" w:eastAsia="Arial" w:hAnsi="Arial"/>
                <w:sz w:val="18"/>
                <w:szCs w:val="18"/>
                <w:color w:val="auto"/>
              </w:rPr>
              <w:t>VP, Communications</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281-646-5362</w:t>
            </w:r>
          </w:p>
        </w:tc>
        <w:tc>
          <w:tcPr>
            <w:tcW w:w="286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281-944-6041</w:t>
            </w:r>
          </w:p>
        </w:tc>
        <w:tc>
          <w:tcPr>
            <w:tcW w:w="1220" w:type="dxa"/>
            <w:vAlign w:val="bottom"/>
          </w:tcPr>
          <w:p>
            <w:pPr>
              <w:spacing w:after="0"/>
              <w:rPr>
                <w:sz w:val="23"/>
                <w:szCs w:val="23"/>
                <w:color w:val="auto"/>
              </w:rPr>
            </w:pPr>
          </w:p>
        </w:tc>
      </w:tr>
      <w:tr>
        <w:trPr>
          <w:trHeight w:val="270"/>
        </w:trPr>
        <w:tc>
          <w:tcPr>
            <w:tcW w:w="4280" w:type="dxa"/>
            <w:vAlign w:val="bottom"/>
            <w:gridSpan w:val="2"/>
          </w:tcPr>
          <w:p>
            <w:pPr>
              <w:spacing w:after="0"/>
              <w:rPr>
                <w:sz w:val="20"/>
                <w:szCs w:val="20"/>
                <w:color w:val="auto"/>
              </w:rPr>
            </w:pPr>
            <w:r>
              <w:rPr>
                <w:rFonts w:ascii="Arial" w:cs="Arial" w:eastAsia="Arial" w:hAnsi="Arial"/>
                <w:sz w:val="18"/>
                <w:szCs w:val="18"/>
                <w:color w:val="auto"/>
              </w:rPr>
              <w:t>matt.hodges@academy.com</w:t>
            </w:r>
          </w:p>
        </w:tc>
        <w:tc>
          <w:tcPr>
            <w:tcW w:w="2460" w:type="dxa"/>
            <w:vAlign w:val="bottom"/>
            <w:gridSpan w:val="2"/>
          </w:tcPr>
          <w:p>
            <w:pPr>
              <w:spacing w:after="0"/>
              <w:rPr>
                <w:sz w:val="20"/>
                <w:szCs w:val="20"/>
                <w:color w:val="auto"/>
              </w:rPr>
            </w:pPr>
            <w:r>
              <w:rPr>
                <w:rFonts w:ascii="Arial" w:cs="Arial" w:eastAsia="Arial" w:hAnsi="Arial"/>
                <w:sz w:val="18"/>
                <w:szCs w:val="18"/>
                <w:color w:val="auto"/>
                <w:w w:val="99"/>
              </w:rPr>
              <w:t>elise.hasbrook@academy.com</w:t>
            </w:r>
          </w:p>
        </w:tc>
      </w:tr>
      <w:tr>
        <w:trPr>
          <w:trHeight w:val="528"/>
        </w:trPr>
        <w:tc>
          <w:tcPr>
            <w:tcW w:w="14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60" w:type="dxa"/>
            <w:vAlign w:val="bottom"/>
            <w:gridSpan w:val="2"/>
          </w:tcPr>
          <w:p>
            <w:pPr>
              <w:ind w:left="1280"/>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240"/>
          </w:cols>
          <w:pgMar w:left="320" w:top="44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 and percentages)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080" w:type="dxa"/>
            <w:vAlign w:val="bottom"/>
          </w:tcPr>
          <w:p>
            <w:pPr>
              <w:spacing w:after="0"/>
              <w:rPr>
                <w:sz w:val="24"/>
                <w:szCs w:val="24"/>
                <w:color w:val="auto"/>
              </w:rPr>
            </w:pPr>
          </w:p>
        </w:tc>
        <w:tc>
          <w:tcPr>
            <w:tcW w:w="200" w:type="dxa"/>
            <w:vAlign w:val="bottom"/>
            <w:tcBorders>
              <w:bottom w:val="single" w:sz="8" w:color="1928A0"/>
            </w:tcBorders>
            <w:shd w:val="clear" w:color="auto" w:fill="1928A0"/>
          </w:tcPr>
          <w:p>
            <w:pPr>
              <w:spacing w:after="0"/>
              <w:rPr>
                <w:sz w:val="24"/>
                <w:szCs w:val="24"/>
                <w:color w:val="auto"/>
              </w:rPr>
            </w:pPr>
          </w:p>
        </w:tc>
        <w:tc>
          <w:tcPr>
            <w:tcW w:w="1540" w:type="dxa"/>
            <w:vAlign w:val="bottom"/>
            <w:tcBorders>
              <w:bottom w:val="single" w:sz="8" w:color="1928A0"/>
            </w:tcBorders>
            <w:shd w:val="clear" w:color="auto" w:fill="1928A0"/>
          </w:tcPr>
          <w:p>
            <w:pPr>
              <w:spacing w:after="0"/>
              <w:rPr>
                <w:sz w:val="24"/>
                <w:szCs w:val="24"/>
                <w:color w:val="auto"/>
              </w:rPr>
            </w:pPr>
          </w:p>
        </w:tc>
        <w:tc>
          <w:tcPr>
            <w:tcW w:w="3660" w:type="dxa"/>
            <w:vAlign w:val="bottom"/>
            <w:tcBorders>
              <w:bottom w:val="single" w:sz="8" w:color="1928A0"/>
            </w:tcBorders>
            <w:gridSpan w:val="3"/>
            <w:shd w:val="clear" w:color="auto" w:fill="1928A0"/>
          </w:tcPr>
          <w:p>
            <w:pPr>
              <w:jc w:val="right"/>
              <w:ind w:right="810"/>
              <w:spacing w:after="0"/>
              <w:rPr>
                <w:sz w:val="20"/>
                <w:szCs w:val="20"/>
                <w:color w:val="auto"/>
              </w:rPr>
            </w:pPr>
            <w:r>
              <w:rPr>
                <w:rFonts w:ascii="Arial" w:cs="Arial" w:eastAsia="Arial" w:hAnsi="Arial"/>
                <w:sz w:val="20"/>
                <w:szCs w:val="20"/>
                <w:b w:val="1"/>
                <w:bCs w:val="1"/>
                <w:color w:val="FFFFFF"/>
              </w:rPr>
              <w:t>Thirteen Weeks Ended</w:t>
            </w:r>
          </w:p>
        </w:tc>
        <w:tc>
          <w:tcPr>
            <w:tcW w:w="1760" w:type="dxa"/>
            <w:vAlign w:val="bottom"/>
            <w:tcBorders>
              <w:bottom w:val="single" w:sz="8" w:color="1928A0"/>
            </w:tcBorders>
            <w:shd w:val="clear" w:color="auto" w:fill="1928A0"/>
          </w:tcPr>
          <w:p>
            <w:pPr>
              <w:spacing w:after="0"/>
              <w:rPr>
                <w:sz w:val="24"/>
                <w:szCs w:val="24"/>
                <w:color w:val="auto"/>
              </w:rPr>
            </w:pPr>
          </w:p>
        </w:tc>
      </w:tr>
      <w:tr>
        <w:trPr>
          <w:trHeight w:val="231"/>
        </w:trPr>
        <w:tc>
          <w:tcPr>
            <w:tcW w:w="4080" w:type="dxa"/>
            <w:vAlign w:val="bottom"/>
          </w:tcPr>
          <w:p>
            <w:pPr>
              <w:spacing w:after="0"/>
              <w:rPr>
                <w:sz w:val="20"/>
                <w:szCs w:val="20"/>
                <w:color w:val="auto"/>
              </w:rPr>
            </w:pPr>
          </w:p>
        </w:tc>
        <w:tc>
          <w:tcPr>
            <w:tcW w:w="200" w:type="dxa"/>
            <w:vAlign w:val="bottom"/>
            <w:shd w:val="clear" w:color="auto" w:fill="0A2299"/>
          </w:tcPr>
          <w:p>
            <w:pPr>
              <w:spacing w:after="0"/>
              <w:rPr>
                <w:sz w:val="20"/>
                <w:szCs w:val="20"/>
                <w:color w:val="auto"/>
              </w:rPr>
            </w:pPr>
          </w:p>
        </w:tc>
        <w:tc>
          <w:tcPr>
            <w:tcW w:w="1540" w:type="dxa"/>
            <w:vAlign w:val="bottom"/>
            <w:shd w:val="clear" w:color="auto" w:fill="0A2299"/>
          </w:tcPr>
          <w:p>
            <w:pPr>
              <w:spacing w:after="0"/>
              <w:rPr>
                <w:sz w:val="20"/>
                <w:szCs w:val="20"/>
                <w:color w:val="auto"/>
              </w:rPr>
            </w:pPr>
          </w:p>
        </w:tc>
        <w:tc>
          <w:tcPr>
            <w:tcW w:w="1900" w:type="dxa"/>
            <w:vAlign w:val="bottom"/>
            <w:shd w:val="clear" w:color="auto" w:fill="0A2299"/>
          </w:tcPr>
          <w:p>
            <w:pPr>
              <w:jc w:val="right"/>
              <w:ind w:right="269"/>
              <w:spacing w:after="0"/>
              <w:rPr>
                <w:sz w:val="20"/>
                <w:szCs w:val="20"/>
                <w:color w:val="auto"/>
              </w:rPr>
            </w:pPr>
            <w:r>
              <w:rPr>
                <w:rFonts w:ascii="Arial" w:cs="Arial" w:eastAsia="Arial" w:hAnsi="Arial"/>
                <w:sz w:val="18"/>
                <w:szCs w:val="18"/>
                <w:b w:val="1"/>
                <w:bCs w:val="1"/>
                <w:color w:val="FFFFFF"/>
              </w:rPr>
              <w:t>Percentage of</w:t>
            </w:r>
          </w:p>
        </w:tc>
        <w:tc>
          <w:tcPr>
            <w:tcW w:w="220" w:type="dxa"/>
            <w:vAlign w:val="bottom"/>
            <w:shd w:val="clear" w:color="auto" w:fill="0A2299"/>
          </w:tcPr>
          <w:p>
            <w:pPr>
              <w:spacing w:after="0"/>
              <w:rPr>
                <w:sz w:val="20"/>
                <w:szCs w:val="20"/>
                <w:color w:val="auto"/>
              </w:rPr>
            </w:pPr>
          </w:p>
        </w:tc>
        <w:tc>
          <w:tcPr>
            <w:tcW w:w="1540" w:type="dxa"/>
            <w:vAlign w:val="bottom"/>
            <w:shd w:val="clear" w:color="auto" w:fill="0A2299"/>
          </w:tcPr>
          <w:p>
            <w:pPr>
              <w:spacing w:after="0"/>
              <w:rPr>
                <w:sz w:val="20"/>
                <w:szCs w:val="20"/>
                <w:color w:val="auto"/>
              </w:rPr>
            </w:pPr>
          </w:p>
        </w:tc>
        <w:tc>
          <w:tcPr>
            <w:tcW w:w="1760" w:type="dxa"/>
            <w:vAlign w:val="bottom"/>
            <w:shd w:val="clear" w:color="auto" w:fill="0A2299"/>
          </w:tcPr>
          <w:p>
            <w:pPr>
              <w:jc w:val="right"/>
              <w:ind w:right="150"/>
              <w:spacing w:after="0"/>
              <w:rPr>
                <w:sz w:val="20"/>
                <w:szCs w:val="20"/>
                <w:color w:val="auto"/>
              </w:rPr>
            </w:pPr>
            <w:r>
              <w:rPr>
                <w:rFonts w:ascii="Arial" w:cs="Arial" w:eastAsia="Arial" w:hAnsi="Arial"/>
                <w:sz w:val="18"/>
                <w:szCs w:val="18"/>
                <w:b w:val="1"/>
                <w:bCs w:val="1"/>
                <w:color w:val="FFFFFF"/>
              </w:rPr>
              <w:t>Percentage of</w:t>
            </w:r>
          </w:p>
        </w:tc>
      </w:tr>
      <w:tr>
        <w:trPr>
          <w:trHeight w:val="268"/>
        </w:trPr>
        <w:tc>
          <w:tcPr>
            <w:tcW w:w="4080" w:type="dxa"/>
            <w:vAlign w:val="bottom"/>
          </w:tcPr>
          <w:p>
            <w:pPr>
              <w:spacing w:after="0"/>
              <w:rPr>
                <w:sz w:val="23"/>
                <w:szCs w:val="23"/>
                <w:color w:val="auto"/>
              </w:rPr>
            </w:pPr>
          </w:p>
        </w:tc>
        <w:tc>
          <w:tcPr>
            <w:tcW w:w="200" w:type="dxa"/>
            <w:vAlign w:val="bottom"/>
            <w:shd w:val="clear" w:color="auto" w:fill="0A2299"/>
          </w:tcPr>
          <w:p>
            <w:pPr>
              <w:spacing w:after="0"/>
              <w:rPr>
                <w:sz w:val="23"/>
                <w:szCs w:val="23"/>
                <w:color w:val="auto"/>
              </w:rPr>
            </w:pPr>
          </w:p>
        </w:tc>
        <w:tc>
          <w:tcPr>
            <w:tcW w:w="1540" w:type="dxa"/>
            <w:vAlign w:val="bottom"/>
            <w:shd w:val="clear" w:color="auto" w:fill="0A2299"/>
          </w:tcPr>
          <w:p>
            <w:pPr>
              <w:jc w:val="right"/>
              <w:ind w:right="210"/>
              <w:spacing w:after="0"/>
              <w:rPr>
                <w:sz w:val="20"/>
                <w:szCs w:val="20"/>
                <w:color w:val="auto"/>
              </w:rPr>
            </w:pPr>
            <w:r>
              <w:rPr>
                <w:rFonts w:ascii="Arial" w:cs="Arial" w:eastAsia="Arial" w:hAnsi="Arial"/>
                <w:sz w:val="18"/>
                <w:szCs w:val="18"/>
                <w:b w:val="1"/>
                <w:bCs w:val="1"/>
                <w:color w:val="FFFFFF"/>
              </w:rPr>
              <w:t>April 29, 2023</w:t>
            </w:r>
          </w:p>
        </w:tc>
        <w:tc>
          <w:tcPr>
            <w:tcW w:w="1900" w:type="dxa"/>
            <w:vAlign w:val="bottom"/>
            <w:shd w:val="clear" w:color="auto" w:fill="0A2299"/>
          </w:tcPr>
          <w:p>
            <w:pPr>
              <w:jc w:val="right"/>
              <w:ind w:right="529"/>
              <w:spacing w:after="0"/>
              <w:rPr>
                <w:sz w:val="20"/>
                <w:szCs w:val="20"/>
                <w:color w:val="auto"/>
              </w:rPr>
            </w:pPr>
            <w:r>
              <w:rPr>
                <w:rFonts w:ascii="Arial" w:cs="Arial" w:eastAsia="Arial" w:hAnsi="Arial"/>
                <w:sz w:val="18"/>
                <w:szCs w:val="18"/>
                <w:b w:val="1"/>
                <w:bCs w:val="1"/>
                <w:color w:val="FFFFFF"/>
              </w:rPr>
              <w:t xml:space="preserve">Sales </w:t>
            </w:r>
            <w:r>
              <w:rPr>
                <w:rFonts w:ascii="Arial" w:cs="Arial" w:eastAsia="Arial" w:hAnsi="Arial"/>
                <w:sz w:val="23"/>
                <w:szCs w:val="23"/>
                <w:b w:val="1"/>
                <w:bCs w:val="1"/>
                <w:color w:val="FFFFFF"/>
                <w:vertAlign w:val="superscript"/>
              </w:rPr>
              <w:t>(1)</w:t>
            </w:r>
          </w:p>
        </w:tc>
        <w:tc>
          <w:tcPr>
            <w:tcW w:w="220" w:type="dxa"/>
            <w:vAlign w:val="bottom"/>
            <w:shd w:val="clear" w:color="auto" w:fill="0A2299"/>
          </w:tcPr>
          <w:p>
            <w:pPr>
              <w:spacing w:after="0"/>
              <w:rPr>
                <w:sz w:val="23"/>
                <w:szCs w:val="23"/>
                <w:color w:val="auto"/>
              </w:rPr>
            </w:pPr>
          </w:p>
        </w:tc>
        <w:tc>
          <w:tcPr>
            <w:tcW w:w="1540" w:type="dxa"/>
            <w:vAlign w:val="bottom"/>
            <w:shd w:val="clear" w:color="auto" w:fill="0A2299"/>
          </w:tcPr>
          <w:p>
            <w:pPr>
              <w:jc w:val="right"/>
              <w:ind w:right="210"/>
              <w:spacing w:after="0"/>
              <w:rPr>
                <w:sz w:val="20"/>
                <w:szCs w:val="20"/>
                <w:color w:val="auto"/>
              </w:rPr>
            </w:pPr>
            <w:r>
              <w:rPr>
                <w:rFonts w:ascii="Arial" w:cs="Arial" w:eastAsia="Arial" w:hAnsi="Arial"/>
                <w:sz w:val="18"/>
                <w:szCs w:val="18"/>
                <w:b w:val="1"/>
                <w:bCs w:val="1"/>
                <w:color w:val="FFFFFF"/>
              </w:rPr>
              <w:t>April 30, 2022</w:t>
            </w:r>
          </w:p>
        </w:tc>
        <w:tc>
          <w:tcPr>
            <w:tcW w:w="1760" w:type="dxa"/>
            <w:vAlign w:val="bottom"/>
            <w:shd w:val="clear" w:color="auto" w:fill="0A2299"/>
          </w:tcPr>
          <w:p>
            <w:pPr>
              <w:jc w:val="right"/>
              <w:ind w:right="410"/>
              <w:spacing w:after="0"/>
              <w:rPr>
                <w:sz w:val="20"/>
                <w:szCs w:val="20"/>
                <w:color w:val="auto"/>
              </w:rPr>
            </w:pPr>
            <w:r>
              <w:rPr>
                <w:rFonts w:ascii="Arial" w:cs="Arial" w:eastAsia="Arial" w:hAnsi="Arial"/>
                <w:sz w:val="18"/>
                <w:szCs w:val="18"/>
                <w:b w:val="1"/>
                <w:bCs w:val="1"/>
                <w:color w:val="FFFFFF"/>
              </w:rPr>
              <w:t xml:space="preserve">Sales </w:t>
            </w:r>
            <w:r>
              <w:rPr>
                <w:rFonts w:ascii="Arial" w:cs="Arial" w:eastAsia="Arial" w:hAnsi="Arial"/>
                <w:sz w:val="23"/>
                <w:szCs w:val="23"/>
                <w:b w:val="1"/>
                <w:bCs w:val="1"/>
                <w:color w:val="FFFFFF"/>
                <w:vertAlign w:val="superscript"/>
              </w:rPr>
              <w:t>(1)</w:t>
            </w:r>
          </w:p>
        </w:tc>
      </w:tr>
      <w:tr>
        <w:trPr>
          <w:trHeight w:val="283"/>
        </w:trPr>
        <w:tc>
          <w:tcPr>
            <w:tcW w:w="4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1,383,609</w:t>
            </w:r>
          </w:p>
        </w:tc>
        <w:tc>
          <w:tcPr>
            <w:tcW w:w="1900" w:type="dxa"/>
            <w:vAlign w:val="bottom"/>
            <w:shd w:val="clear" w:color="auto" w:fill="DBDBDB"/>
          </w:tcPr>
          <w:p>
            <w:pPr>
              <w:jc w:val="right"/>
              <w:ind w:right="9"/>
              <w:spacing w:after="0"/>
              <w:rPr>
                <w:sz w:val="20"/>
                <w:szCs w:val="20"/>
                <w:color w:val="auto"/>
              </w:rPr>
            </w:pPr>
            <w:r>
              <w:rPr>
                <w:rFonts w:ascii="Arial" w:cs="Arial" w:eastAsia="Arial" w:hAnsi="Arial"/>
                <w:sz w:val="18"/>
                <w:szCs w:val="18"/>
                <w:b w:val="1"/>
                <w:bCs w:val="1"/>
                <w:color w:val="auto"/>
              </w:rPr>
              <w:t>100.0 %</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1,467,730</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100.0 %</w:t>
            </w:r>
          </w:p>
        </w:tc>
      </w:tr>
      <w:tr>
        <w:trPr>
          <w:trHeight w:val="264"/>
        </w:trPr>
        <w:tc>
          <w:tcPr>
            <w:tcW w:w="40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916,494</w:t>
            </w:r>
          </w:p>
        </w:tc>
        <w:tc>
          <w:tcPr>
            <w:tcW w:w="1900" w:type="dxa"/>
            <w:vAlign w:val="bottom"/>
            <w:tcBorders>
              <w:bottom w:val="single" w:sz="8" w:color="DBDBDB"/>
            </w:tcBorders>
          </w:tcPr>
          <w:p>
            <w:pPr>
              <w:jc w:val="right"/>
              <w:ind w:right="9"/>
              <w:spacing w:after="0"/>
              <w:rPr>
                <w:sz w:val="20"/>
                <w:szCs w:val="20"/>
                <w:color w:val="auto"/>
              </w:rPr>
            </w:pPr>
            <w:r>
              <w:rPr>
                <w:rFonts w:ascii="Arial" w:cs="Arial" w:eastAsia="Arial" w:hAnsi="Arial"/>
                <w:sz w:val="18"/>
                <w:szCs w:val="18"/>
                <w:b w:val="1"/>
                <w:bCs w:val="1"/>
                <w:color w:val="auto"/>
              </w:rPr>
              <w:t>66.2 %</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946,306</w:t>
            </w:r>
          </w:p>
        </w:tc>
        <w:tc>
          <w:tcPr>
            <w:tcW w:w="17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64.5 %</w:t>
            </w:r>
          </w:p>
        </w:tc>
      </w:tr>
      <w:tr>
        <w:trPr>
          <w:trHeight w:val="270"/>
        </w:trPr>
        <w:tc>
          <w:tcPr>
            <w:tcW w:w="40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DBDBDB"/>
          </w:tcPr>
          <w:p>
            <w:pPr>
              <w:spacing w:after="0"/>
              <w:rPr>
                <w:sz w:val="23"/>
                <w:szCs w:val="2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467,115</w:t>
            </w:r>
          </w:p>
        </w:tc>
        <w:tc>
          <w:tcPr>
            <w:tcW w:w="1900" w:type="dxa"/>
            <w:vAlign w:val="bottom"/>
            <w:shd w:val="clear" w:color="auto" w:fill="DBDBDB"/>
          </w:tcPr>
          <w:p>
            <w:pPr>
              <w:jc w:val="right"/>
              <w:ind w:right="9"/>
              <w:spacing w:after="0"/>
              <w:rPr>
                <w:sz w:val="20"/>
                <w:szCs w:val="20"/>
                <w:color w:val="auto"/>
              </w:rPr>
            </w:pPr>
            <w:r>
              <w:rPr>
                <w:rFonts w:ascii="Arial" w:cs="Arial" w:eastAsia="Arial" w:hAnsi="Arial"/>
                <w:sz w:val="18"/>
                <w:szCs w:val="18"/>
                <w:b w:val="1"/>
                <w:bCs w:val="1"/>
                <w:color w:val="auto"/>
              </w:rPr>
              <w:t>33.8 %</w:t>
            </w:r>
          </w:p>
        </w:tc>
        <w:tc>
          <w:tcPr>
            <w:tcW w:w="220" w:type="dxa"/>
            <w:vAlign w:val="bottom"/>
            <w:shd w:val="clear" w:color="auto" w:fill="DBDBDB"/>
          </w:tcPr>
          <w:p>
            <w:pPr>
              <w:spacing w:after="0"/>
              <w:rPr>
                <w:sz w:val="23"/>
                <w:szCs w:val="2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521,424</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35.5 %</w:t>
            </w:r>
          </w:p>
        </w:tc>
      </w:tr>
      <w:tr>
        <w:trPr>
          <w:trHeight w:val="264"/>
        </w:trPr>
        <w:tc>
          <w:tcPr>
            <w:tcW w:w="40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340,919</w:t>
            </w:r>
          </w:p>
        </w:tc>
        <w:tc>
          <w:tcPr>
            <w:tcW w:w="1900" w:type="dxa"/>
            <w:vAlign w:val="bottom"/>
            <w:tcBorders>
              <w:bottom w:val="single" w:sz="8" w:color="DBDBDB"/>
            </w:tcBorders>
          </w:tcPr>
          <w:p>
            <w:pPr>
              <w:jc w:val="right"/>
              <w:ind w:right="9"/>
              <w:spacing w:after="0"/>
              <w:rPr>
                <w:sz w:val="20"/>
                <w:szCs w:val="20"/>
                <w:color w:val="auto"/>
              </w:rPr>
            </w:pPr>
            <w:r>
              <w:rPr>
                <w:rFonts w:ascii="Arial" w:cs="Arial" w:eastAsia="Arial" w:hAnsi="Arial"/>
                <w:sz w:val="18"/>
                <w:szCs w:val="18"/>
                <w:b w:val="1"/>
                <w:bCs w:val="1"/>
                <w:color w:val="auto"/>
              </w:rPr>
              <w:t>24.6 %</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315,931</w:t>
            </w:r>
          </w:p>
        </w:tc>
        <w:tc>
          <w:tcPr>
            <w:tcW w:w="17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21.5 %</w:t>
            </w:r>
          </w:p>
        </w:tc>
      </w:tr>
      <w:tr>
        <w:trPr>
          <w:trHeight w:val="270"/>
        </w:trPr>
        <w:tc>
          <w:tcPr>
            <w:tcW w:w="40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DBDBDB"/>
          </w:tcPr>
          <w:p>
            <w:pPr>
              <w:spacing w:after="0"/>
              <w:rPr>
                <w:sz w:val="23"/>
                <w:szCs w:val="2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126,196</w:t>
            </w:r>
          </w:p>
        </w:tc>
        <w:tc>
          <w:tcPr>
            <w:tcW w:w="1900" w:type="dxa"/>
            <w:vAlign w:val="bottom"/>
            <w:shd w:val="clear" w:color="auto" w:fill="DBDBDB"/>
          </w:tcPr>
          <w:p>
            <w:pPr>
              <w:jc w:val="right"/>
              <w:ind w:right="9"/>
              <w:spacing w:after="0"/>
              <w:rPr>
                <w:sz w:val="20"/>
                <w:szCs w:val="20"/>
                <w:color w:val="auto"/>
              </w:rPr>
            </w:pPr>
            <w:r>
              <w:rPr>
                <w:rFonts w:ascii="Arial" w:cs="Arial" w:eastAsia="Arial" w:hAnsi="Arial"/>
                <w:sz w:val="18"/>
                <w:szCs w:val="18"/>
                <w:b w:val="1"/>
                <w:bCs w:val="1"/>
                <w:color w:val="auto"/>
              </w:rPr>
              <w:t>9.1 %</w:t>
            </w:r>
          </w:p>
        </w:tc>
        <w:tc>
          <w:tcPr>
            <w:tcW w:w="220" w:type="dxa"/>
            <w:vAlign w:val="bottom"/>
            <w:shd w:val="clear" w:color="auto" w:fill="DBDBDB"/>
          </w:tcPr>
          <w:p>
            <w:pPr>
              <w:spacing w:after="0"/>
              <w:rPr>
                <w:sz w:val="23"/>
                <w:szCs w:val="2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205,493</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14.0 %</w:t>
            </w:r>
          </w:p>
        </w:tc>
      </w:tr>
      <w:tr>
        <w:trPr>
          <w:trHeight w:val="262"/>
        </w:trPr>
        <w:tc>
          <w:tcPr>
            <w:tcW w:w="40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11,230</w:t>
            </w:r>
          </w:p>
        </w:tc>
        <w:tc>
          <w:tcPr>
            <w:tcW w:w="1900" w:type="dxa"/>
            <w:vAlign w:val="bottom"/>
          </w:tcPr>
          <w:p>
            <w:pPr>
              <w:jc w:val="right"/>
              <w:ind w:right="9"/>
              <w:spacing w:after="0"/>
              <w:rPr>
                <w:sz w:val="20"/>
                <w:szCs w:val="20"/>
                <w:color w:val="auto"/>
              </w:rPr>
            </w:pPr>
            <w:r>
              <w:rPr>
                <w:rFonts w:ascii="Arial" w:cs="Arial" w:eastAsia="Arial" w:hAnsi="Arial"/>
                <w:sz w:val="18"/>
                <w:szCs w:val="18"/>
                <w:b w:val="1"/>
                <w:bCs w:val="1"/>
                <w:color w:val="auto"/>
              </w:rPr>
              <w:t>0.8 %</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10,920</w:t>
            </w:r>
          </w:p>
        </w:tc>
        <w:tc>
          <w:tcPr>
            <w:tcW w:w="176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78"/>
        </w:trPr>
        <w:tc>
          <w:tcPr>
            <w:tcW w:w="4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shd w:val="clear" w:color="auto" w:fill="DBDBDB"/>
          </w:tcPr>
          <w:p>
            <w:pPr>
              <w:spacing w:after="0"/>
              <w:rPr>
                <w:sz w:val="24"/>
                <w:szCs w:val="24"/>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(3,713)</w:t>
            </w:r>
          </w:p>
        </w:tc>
        <w:tc>
          <w:tcPr>
            <w:tcW w:w="1900" w:type="dxa"/>
            <w:vAlign w:val="bottom"/>
            <w:shd w:val="clear" w:color="auto" w:fill="DBDBDB"/>
          </w:tcPr>
          <w:p>
            <w:pPr>
              <w:jc w:val="right"/>
              <w:ind w:right="9"/>
              <w:spacing w:after="0"/>
              <w:rPr>
                <w:sz w:val="20"/>
                <w:szCs w:val="20"/>
                <w:color w:val="auto"/>
              </w:rPr>
            </w:pPr>
            <w:r>
              <w:rPr>
                <w:rFonts w:ascii="Arial" w:cs="Arial" w:eastAsia="Arial" w:hAnsi="Arial"/>
                <w:sz w:val="18"/>
                <w:szCs w:val="18"/>
                <w:b w:val="1"/>
                <w:bCs w:val="1"/>
                <w:color w:val="auto"/>
              </w:rPr>
              <w:t>(0.3)%</w:t>
            </w:r>
          </w:p>
        </w:tc>
        <w:tc>
          <w:tcPr>
            <w:tcW w:w="220" w:type="dxa"/>
            <w:vAlign w:val="bottom"/>
            <w:tcBorders>
              <w:bottom w:val="single" w:sz="8" w:color="auto"/>
            </w:tcBorders>
            <w:shd w:val="clear" w:color="auto" w:fill="DBDBDB"/>
          </w:tcPr>
          <w:p>
            <w:pPr>
              <w:spacing w:after="0"/>
              <w:rPr>
                <w:sz w:val="24"/>
                <w:szCs w:val="24"/>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(697)</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(0.0)%</w:t>
            </w:r>
          </w:p>
        </w:tc>
      </w:tr>
      <w:tr>
        <w:trPr>
          <w:trHeight w:val="256"/>
        </w:trPr>
        <w:tc>
          <w:tcPr>
            <w:tcW w:w="408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118,679</w:t>
            </w:r>
          </w:p>
        </w:tc>
        <w:tc>
          <w:tcPr>
            <w:tcW w:w="1900" w:type="dxa"/>
            <w:vAlign w:val="bottom"/>
          </w:tcPr>
          <w:p>
            <w:pPr>
              <w:jc w:val="right"/>
              <w:ind w:right="9"/>
              <w:spacing w:after="0"/>
              <w:rPr>
                <w:sz w:val="20"/>
                <w:szCs w:val="20"/>
                <w:color w:val="auto"/>
              </w:rPr>
            </w:pPr>
            <w:r>
              <w:rPr>
                <w:rFonts w:ascii="Arial" w:cs="Arial" w:eastAsia="Arial" w:hAnsi="Arial"/>
                <w:sz w:val="18"/>
                <w:szCs w:val="18"/>
                <w:b w:val="1"/>
                <w:bCs w:val="1"/>
                <w:color w:val="auto"/>
              </w:rPr>
              <w:t>8.6 %</w:t>
            </w: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195,270</w:t>
            </w:r>
          </w:p>
        </w:tc>
        <w:tc>
          <w:tcPr>
            <w:tcW w:w="1760" w:type="dxa"/>
            <w:vAlign w:val="bottom"/>
          </w:tcPr>
          <w:p>
            <w:pPr>
              <w:jc w:val="right"/>
              <w:spacing w:after="0"/>
              <w:rPr>
                <w:sz w:val="20"/>
                <w:szCs w:val="20"/>
                <w:color w:val="auto"/>
              </w:rPr>
            </w:pPr>
            <w:r>
              <w:rPr>
                <w:rFonts w:ascii="Arial" w:cs="Arial" w:eastAsia="Arial" w:hAnsi="Arial"/>
                <w:sz w:val="18"/>
                <w:szCs w:val="18"/>
                <w:color w:val="auto"/>
              </w:rPr>
              <w:t>13.3 %</w:t>
            </w:r>
          </w:p>
        </w:tc>
      </w:tr>
      <w:tr>
        <w:trPr>
          <w:trHeight w:val="271"/>
        </w:trPr>
        <w:tc>
          <w:tcPr>
            <w:tcW w:w="4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DBDBDB"/>
          </w:tcPr>
          <w:p>
            <w:pPr>
              <w:spacing w:after="0"/>
              <w:rPr>
                <w:sz w:val="23"/>
                <w:szCs w:val="23"/>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24,709</w:t>
            </w:r>
          </w:p>
        </w:tc>
        <w:tc>
          <w:tcPr>
            <w:tcW w:w="1900" w:type="dxa"/>
            <w:vAlign w:val="bottom"/>
            <w:shd w:val="clear" w:color="auto" w:fill="DBDBDB"/>
          </w:tcPr>
          <w:p>
            <w:pPr>
              <w:jc w:val="right"/>
              <w:ind w:right="9"/>
              <w:spacing w:after="0"/>
              <w:rPr>
                <w:sz w:val="20"/>
                <w:szCs w:val="20"/>
                <w:color w:val="auto"/>
              </w:rPr>
            </w:pPr>
            <w:r>
              <w:rPr>
                <w:rFonts w:ascii="Arial" w:cs="Arial" w:eastAsia="Arial" w:hAnsi="Arial"/>
                <w:sz w:val="18"/>
                <w:szCs w:val="18"/>
                <w:b w:val="1"/>
                <w:bCs w:val="1"/>
                <w:color w:val="auto"/>
              </w:rPr>
              <w:t>1.8 %</w:t>
            </w:r>
          </w:p>
        </w:tc>
        <w:tc>
          <w:tcPr>
            <w:tcW w:w="220" w:type="dxa"/>
            <w:vAlign w:val="bottom"/>
            <w:tcBorders>
              <w:bottom w:val="single" w:sz="8" w:color="auto"/>
            </w:tcBorders>
            <w:shd w:val="clear" w:color="auto" w:fill="DBDBDB"/>
          </w:tcPr>
          <w:p>
            <w:pPr>
              <w:spacing w:after="0"/>
              <w:rPr>
                <w:sz w:val="23"/>
                <w:szCs w:val="23"/>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45,464</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3.1 %</w:t>
            </w: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93,970</w:t>
            </w:r>
          </w:p>
        </w:tc>
        <w:tc>
          <w:tcPr>
            <w:tcW w:w="1900" w:type="dxa"/>
            <w:vAlign w:val="bottom"/>
          </w:tcPr>
          <w:p>
            <w:pPr>
              <w:jc w:val="right"/>
              <w:ind w:right="9"/>
              <w:spacing w:after="0"/>
              <w:rPr>
                <w:sz w:val="20"/>
                <w:szCs w:val="20"/>
                <w:color w:val="auto"/>
              </w:rPr>
            </w:pPr>
            <w:r>
              <w:rPr>
                <w:rFonts w:ascii="Arial" w:cs="Arial" w:eastAsia="Arial" w:hAnsi="Arial"/>
                <w:sz w:val="18"/>
                <w:szCs w:val="18"/>
                <w:b w:val="1"/>
                <w:bCs w:val="1"/>
                <w:color w:val="auto"/>
              </w:rPr>
              <w:t>6.8 %</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149,806</w:t>
            </w:r>
          </w:p>
        </w:tc>
        <w:tc>
          <w:tcPr>
            <w:tcW w:w="1760" w:type="dxa"/>
            <w:vAlign w:val="bottom"/>
          </w:tcPr>
          <w:p>
            <w:pPr>
              <w:jc w:val="right"/>
              <w:spacing w:after="0"/>
              <w:rPr>
                <w:sz w:val="20"/>
                <w:szCs w:val="20"/>
                <w:color w:val="auto"/>
              </w:rPr>
            </w:pPr>
            <w:r>
              <w:rPr>
                <w:rFonts w:ascii="Arial" w:cs="Arial" w:eastAsia="Arial" w:hAnsi="Arial"/>
                <w:sz w:val="18"/>
                <w:szCs w:val="18"/>
                <w:color w:val="auto"/>
              </w:rPr>
              <w:t>10.2 %</w:t>
            </w:r>
          </w:p>
        </w:tc>
      </w:tr>
      <w:tr>
        <w:trPr>
          <w:trHeight w:val="20"/>
        </w:trPr>
        <w:tc>
          <w:tcPr>
            <w:tcW w:w="40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DBDBDB"/>
            </w:tcBorders>
          </w:tcPr>
          <w:p>
            <w:pPr>
              <w:spacing w:after="0" w:line="20" w:lineRule="exact"/>
              <w:rPr>
                <w:sz w:val="1"/>
                <w:szCs w:val="1"/>
                <w:color w:val="auto"/>
              </w:rPr>
            </w:pPr>
          </w:p>
        </w:tc>
      </w:tr>
      <w:tr>
        <w:trPr>
          <w:trHeight w:val="210"/>
        </w:trPr>
        <w:tc>
          <w:tcPr>
            <w:tcW w:w="40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540" w:type="dxa"/>
            <w:vAlign w:val="bottom"/>
            <w:shd w:val="clear" w:color="auto" w:fill="DBDBDB"/>
          </w:tcPr>
          <w:p>
            <w:pPr>
              <w:spacing w:after="0"/>
              <w:rPr>
                <w:sz w:val="18"/>
                <w:szCs w:val="18"/>
                <w:color w:val="auto"/>
              </w:rPr>
            </w:pPr>
          </w:p>
        </w:tc>
        <w:tc>
          <w:tcPr>
            <w:tcW w:w="19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540" w:type="dxa"/>
            <w:vAlign w:val="bottom"/>
            <w:shd w:val="clear" w:color="auto" w:fill="DBDBDB"/>
          </w:tcPr>
          <w:p>
            <w:pPr>
              <w:spacing w:after="0"/>
              <w:rPr>
                <w:sz w:val="18"/>
                <w:szCs w:val="18"/>
                <w:color w:val="auto"/>
              </w:rPr>
            </w:pPr>
          </w:p>
        </w:tc>
        <w:tc>
          <w:tcPr>
            <w:tcW w:w="1760" w:type="dxa"/>
            <w:vAlign w:val="bottom"/>
            <w:shd w:val="clear" w:color="auto" w:fill="DBDBDB"/>
          </w:tcPr>
          <w:p>
            <w:pPr>
              <w:spacing w:after="0"/>
              <w:rPr>
                <w:sz w:val="18"/>
                <w:szCs w:val="18"/>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40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1.22</w:t>
            </w:r>
          </w:p>
        </w:tc>
        <w:tc>
          <w:tcPr>
            <w:tcW w:w="1900" w:type="dxa"/>
            <w:vAlign w:val="bottom"/>
            <w:shd w:val="clear" w:color="auto" w:fill="DBDBDB"/>
          </w:tcPr>
          <w:p>
            <w:pPr>
              <w:spacing w:after="0"/>
              <w:rPr>
                <w:sz w:val="23"/>
                <w:szCs w:val="23"/>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1.73</w:t>
            </w:r>
          </w:p>
        </w:tc>
        <w:tc>
          <w:tcPr>
            <w:tcW w:w="1760" w:type="dxa"/>
            <w:vAlign w:val="bottom"/>
            <w:shd w:val="clear" w:color="auto" w:fill="DBDBDB"/>
          </w:tcPr>
          <w:p>
            <w:pPr>
              <w:spacing w:after="0"/>
              <w:rPr>
                <w:sz w:val="23"/>
                <w:szCs w:val="23"/>
                <w:color w:val="auto"/>
              </w:rPr>
            </w:pPr>
          </w:p>
        </w:tc>
      </w:tr>
      <w:tr>
        <w:trPr>
          <w:trHeight w:val="263"/>
        </w:trPr>
        <w:tc>
          <w:tcPr>
            <w:tcW w:w="4080" w:type="dxa"/>
            <w:vAlign w:val="bottom"/>
          </w:tcPr>
          <w:p>
            <w:pPr>
              <w:ind w:left="24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19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1.69</w:t>
            </w:r>
          </w:p>
        </w:tc>
        <w:tc>
          <w:tcPr>
            <w:tcW w:w="1760" w:type="dxa"/>
            <w:vAlign w:val="bottom"/>
          </w:tcPr>
          <w:p>
            <w:pPr>
              <w:spacing w:after="0"/>
              <w:rPr>
                <w:sz w:val="22"/>
                <w:szCs w:val="22"/>
                <w:color w:val="auto"/>
              </w:rPr>
            </w:pPr>
          </w:p>
        </w:tc>
      </w:tr>
      <w:tr>
        <w:trPr>
          <w:trHeight w:val="264"/>
        </w:trPr>
        <w:tc>
          <w:tcPr>
            <w:tcW w:w="4080" w:type="dxa"/>
            <w:vAlign w:val="bottom"/>
            <w:shd w:val="clear" w:color="auto" w:fill="DBDBDB"/>
          </w:tcPr>
          <w:p>
            <w:pPr>
              <w:spacing w:after="0"/>
              <w:rPr>
                <w:sz w:val="22"/>
                <w:szCs w:val="22"/>
                <w:color w:val="auto"/>
              </w:rPr>
            </w:pPr>
          </w:p>
        </w:tc>
        <w:tc>
          <w:tcPr>
            <w:tcW w:w="200" w:type="dxa"/>
            <w:vAlign w:val="bottom"/>
            <w:shd w:val="clear" w:color="auto" w:fill="DBDBDB"/>
          </w:tcPr>
          <w:p>
            <w:pPr>
              <w:spacing w:after="0"/>
              <w:rPr>
                <w:sz w:val="22"/>
                <w:szCs w:val="22"/>
                <w:color w:val="auto"/>
              </w:rPr>
            </w:pPr>
          </w:p>
        </w:tc>
        <w:tc>
          <w:tcPr>
            <w:tcW w:w="1540" w:type="dxa"/>
            <w:vAlign w:val="bottom"/>
            <w:shd w:val="clear" w:color="auto" w:fill="DBDBDB"/>
          </w:tcPr>
          <w:p>
            <w:pPr>
              <w:spacing w:after="0"/>
              <w:rPr>
                <w:sz w:val="22"/>
                <w:szCs w:val="22"/>
                <w:color w:val="auto"/>
              </w:rPr>
            </w:pPr>
          </w:p>
        </w:tc>
        <w:tc>
          <w:tcPr>
            <w:tcW w:w="190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540" w:type="dxa"/>
            <w:vAlign w:val="bottom"/>
            <w:shd w:val="clear" w:color="auto" w:fill="DBDBDB"/>
          </w:tcPr>
          <w:p>
            <w:pPr>
              <w:spacing w:after="0"/>
              <w:rPr>
                <w:sz w:val="22"/>
                <w:szCs w:val="22"/>
                <w:color w:val="auto"/>
              </w:rPr>
            </w:pPr>
          </w:p>
        </w:tc>
        <w:tc>
          <w:tcPr>
            <w:tcW w:w="1760" w:type="dxa"/>
            <w:vAlign w:val="bottom"/>
            <w:shd w:val="clear" w:color="auto" w:fill="DBDBDB"/>
          </w:tcPr>
          <w:p>
            <w:pPr>
              <w:spacing w:after="0"/>
              <w:rPr>
                <w:sz w:val="22"/>
                <w:szCs w:val="22"/>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40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DBDBDB"/>
          </w:tcPr>
          <w:p>
            <w:pPr>
              <w:spacing w:after="0"/>
              <w:rPr>
                <w:sz w:val="23"/>
                <w:szCs w:val="2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76,862</w:t>
            </w:r>
          </w:p>
        </w:tc>
        <w:tc>
          <w:tcPr>
            <w:tcW w:w="190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86,658</w:t>
            </w:r>
          </w:p>
        </w:tc>
        <w:tc>
          <w:tcPr>
            <w:tcW w:w="1760" w:type="dxa"/>
            <w:vAlign w:val="bottom"/>
            <w:shd w:val="clear" w:color="auto" w:fill="DBDBDB"/>
          </w:tcPr>
          <w:p>
            <w:pPr>
              <w:spacing w:after="0"/>
              <w:rPr>
                <w:sz w:val="23"/>
                <w:szCs w:val="23"/>
                <w:color w:val="auto"/>
              </w:rPr>
            </w:pPr>
          </w:p>
        </w:tc>
      </w:tr>
      <w:tr>
        <w:trPr>
          <w:trHeight w:val="255"/>
        </w:trPr>
        <w:tc>
          <w:tcPr>
            <w:tcW w:w="4080" w:type="dxa"/>
            <w:vAlign w:val="bottom"/>
          </w:tcPr>
          <w:p>
            <w:pPr>
              <w:ind w:left="24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79,288</w:t>
            </w:r>
          </w:p>
        </w:tc>
        <w:tc>
          <w:tcPr>
            <w:tcW w:w="1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88,614</w:t>
            </w:r>
          </w:p>
        </w:tc>
        <w:tc>
          <w:tcPr>
            <w:tcW w:w="1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-3427095</wp:posOffset>
            </wp:positionV>
            <wp:extent cx="45516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-3110230</wp:posOffset>
            </wp:positionV>
            <wp:extent cx="45516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29"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1"/>
          <w:szCs w:val="11"/>
          <w:color w:val="auto"/>
        </w:rPr>
        <w:t>Column may not add due to rounding</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00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580" w:type="dxa"/>
            <w:vAlign w:val="bottom"/>
          </w:tcPr>
          <w:p>
            <w:pPr>
              <w:spacing w:after="0"/>
              <w:rPr>
                <w:sz w:val="24"/>
                <w:szCs w:val="24"/>
                <w:color w:val="auto"/>
              </w:rPr>
            </w:pPr>
          </w:p>
        </w:tc>
        <w:tc>
          <w:tcPr>
            <w:tcW w:w="220" w:type="dxa"/>
            <w:vAlign w:val="bottom"/>
            <w:shd w:val="clear" w:color="auto" w:fill="0A2299"/>
          </w:tcPr>
          <w:p>
            <w:pPr>
              <w:spacing w:after="0"/>
              <w:rPr>
                <w:sz w:val="24"/>
                <w:szCs w:val="24"/>
                <w:color w:val="auto"/>
              </w:rPr>
            </w:pPr>
          </w:p>
        </w:tc>
        <w:tc>
          <w:tcPr>
            <w:tcW w:w="1580" w:type="dxa"/>
            <w:vAlign w:val="bottom"/>
            <w:shd w:val="clear" w:color="auto" w:fill="0A2299"/>
          </w:tcPr>
          <w:p>
            <w:pPr>
              <w:jc w:val="right"/>
              <w:ind w:right="230"/>
              <w:spacing w:after="0"/>
              <w:rPr>
                <w:sz w:val="20"/>
                <w:szCs w:val="20"/>
                <w:color w:val="auto"/>
              </w:rPr>
            </w:pPr>
            <w:r>
              <w:rPr>
                <w:rFonts w:ascii="Arial" w:cs="Arial" w:eastAsia="Arial" w:hAnsi="Arial"/>
                <w:sz w:val="18"/>
                <w:szCs w:val="18"/>
                <w:b w:val="1"/>
                <w:bCs w:val="1"/>
                <w:color w:val="FFFFFF"/>
              </w:rPr>
              <w:t>April 29, 2023</w:t>
            </w:r>
          </w:p>
        </w:tc>
        <w:tc>
          <w:tcPr>
            <w:tcW w:w="100" w:type="dxa"/>
            <w:vAlign w:val="bottom"/>
            <w:shd w:val="clear" w:color="auto" w:fill="0A2299"/>
          </w:tcPr>
          <w:p>
            <w:pPr>
              <w:spacing w:after="0"/>
              <w:rPr>
                <w:sz w:val="24"/>
                <w:szCs w:val="24"/>
                <w:color w:val="auto"/>
              </w:rPr>
            </w:pPr>
          </w:p>
        </w:tc>
        <w:tc>
          <w:tcPr>
            <w:tcW w:w="140" w:type="dxa"/>
            <w:vAlign w:val="bottom"/>
            <w:shd w:val="clear" w:color="auto" w:fill="0A2299"/>
          </w:tcPr>
          <w:p>
            <w:pPr>
              <w:spacing w:after="0"/>
              <w:rPr>
                <w:sz w:val="24"/>
                <w:szCs w:val="24"/>
                <w:color w:val="auto"/>
              </w:rPr>
            </w:pPr>
          </w:p>
        </w:tc>
        <w:tc>
          <w:tcPr>
            <w:tcW w:w="1640" w:type="dxa"/>
            <w:vAlign w:val="bottom"/>
            <w:shd w:val="clear" w:color="auto" w:fill="0A2299"/>
          </w:tcPr>
          <w:p>
            <w:pPr>
              <w:jc w:val="right"/>
              <w:ind w:right="90"/>
              <w:spacing w:after="0"/>
              <w:rPr>
                <w:sz w:val="20"/>
                <w:szCs w:val="20"/>
                <w:color w:val="auto"/>
              </w:rPr>
            </w:pPr>
            <w:r>
              <w:rPr>
                <w:rFonts w:ascii="Arial" w:cs="Arial" w:eastAsia="Arial" w:hAnsi="Arial"/>
                <w:sz w:val="18"/>
                <w:szCs w:val="18"/>
                <w:b w:val="1"/>
                <w:bCs w:val="1"/>
                <w:color w:val="FFFFFF"/>
                <w:w w:val="99"/>
              </w:rPr>
              <w:t>January 28, 2023</w:t>
            </w:r>
          </w:p>
        </w:tc>
        <w:tc>
          <w:tcPr>
            <w:tcW w:w="100" w:type="dxa"/>
            <w:vAlign w:val="bottom"/>
            <w:shd w:val="clear" w:color="auto" w:fill="0A2299"/>
          </w:tcPr>
          <w:p>
            <w:pPr>
              <w:spacing w:after="0"/>
              <w:rPr>
                <w:sz w:val="24"/>
                <w:szCs w:val="24"/>
                <w:color w:val="auto"/>
              </w:rPr>
            </w:pPr>
          </w:p>
        </w:tc>
        <w:tc>
          <w:tcPr>
            <w:tcW w:w="220" w:type="dxa"/>
            <w:vAlign w:val="bottom"/>
            <w:shd w:val="clear" w:color="auto" w:fill="0A2299"/>
          </w:tcPr>
          <w:p>
            <w:pPr>
              <w:spacing w:after="0"/>
              <w:rPr>
                <w:sz w:val="24"/>
                <w:szCs w:val="24"/>
                <w:color w:val="auto"/>
              </w:rPr>
            </w:pPr>
          </w:p>
        </w:tc>
        <w:tc>
          <w:tcPr>
            <w:tcW w:w="1580" w:type="dxa"/>
            <w:vAlign w:val="bottom"/>
            <w:shd w:val="clear" w:color="auto" w:fill="0A2299"/>
          </w:tcPr>
          <w:p>
            <w:pPr>
              <w:jc w:val="right"/>
              <w:ind w:right="230"/>
              <w:spacing w:after="0"/>
              <w:rPr>
                <w:sz w:val="20"/>
                <w:szCs w:val="20"/>
                <w:color w:val="auto"/>
              </w:rPr>
            </w:pPr>
            <w:r>
              <w:rPr>
                <w:rFonts w:ascii="Arial" w:cs="Arial" w:eastAsia="Arial" w:hAnsi="Arial"/>
                <w:sz w:val="18"/>
                <w:szCs w:val="18"/>
                <w:b w:val="1"/>
                <w:bCs w:val="1"/>
                <w:color w:val="FFFFFF"/>
              </w:rPr>
              <w:t>April 30, 2022</w:t>
            </w:r>
          </w:p>
        </w:tc>
        <w:tc>
          <w:tcPr>
            <w:tcW w:w="0" w:type="dxa"/>
            <w:vAlign w:val="bottom"/>
          </w:tcPr>
          <w:p>
            <w:pPr>
              <w:spacing w:after="0"/>
              <w:rPr>
                <w:sz w:val="1"/>
                <w:szCs w:val="1"/>
                <w:color w:val="auto"/>
              </w:rPr>
            </w:pPr>
          </w:p>
        </w:tc>
      </w:tr>
      <w:tr>
        <w:trPr>
          <w:trHeight w:val="270"/>
        </w:trPr>
        <w:tc>
          <w:tcPr>
            <w:tcW w:w="5580" w:type="dxa"/>
            <w:vAlign w:val="bottom"/>
            <w:shd w:val="clear" w:color="auto" w:fill="DBDBDB"/>
          </w:tcPr>
          <w:p>
            <w:pPr>
              <w:ind w:left="240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5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295,536</w:t>
            </w:r>
          </w:p>
        </w:tc>
        <w:tc>
          <w:tcPr>
            <w:tcW w:w="24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337,145</w:t>
            </w:r>
          </w:p>
        </w:tc>
        <w:tc>
          <w:tcPr>
            <w:tcW w:w="32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472,395</w:t>
            </w:r>
          </w:p>
        </w:tc>
        <w:tc>
          <w:tcPr>
            <w:tcW w:w="0" w:type="dxa"/>
            <w:vAlign w:val="bottom"/>
          </w:tcPr>
          <w:p>
            <w:pPr>
              <w:spacing w:after="0"/>
              <w:rPr>
                <w:sz w:val="1"/>
                <w:szCs w:val="1"/>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Accounts receivable - less allowance for doubtful accounts of</w:t>
            </w:r>
          </w:p>
        </w:tc>
        <w:tc>
          <w:tcPr>
            <w:tcW w:w="220" w:type="dxa"/>
            <w:vAlign w:val="bottom"/>
          </w:tcPr>
          <w:p>
            <w:pPr>
              <w:spacing w:after="0"/>
              <w:rPr>
                <w:sz w:val="20"/>
                <w:szCs w:val="20"/>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10,412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580" w:type="dxa"/>
            <w:vAlign w:val="bottom"/>
          </w:tcPr>
          <w:p>
            <w:pPr>
              <w:ind w:left="240"/>
              <w:spacing w:after="0"/>
              <w:rPr>
                <w:sz w:val="20"/>
                <w:szCs w:val="20"/>
                <w:color w:val="auto"/>
              </w:rPr>
            </w:pPr>
            <w:r>
              <w:rPr>
                <w:rFonts w:ascii="Arial" w:cs="Arial" w:eastAsia="Arial" w:hAnsi="Arial"/>
                <w:sz w:val="18"/>
                <w:szCs w:val="18"/>
                <w:color w:val="auto"/>
              </w:rPr>
              <w:t>$2,286, $2,004 and $808, respectively</w:t>
            </w:r>
          </w:p>
        </w:tc>
        <w:tc>
          <w:tcPr>
            <w:tcW w:w="22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16,503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12,666</w:t>
            </w:r>
          </w:p>
        </w:tc>
        <w:tc>
          <w:tcPr>
            <w:tcW w:w="0" w:type="dxa"/>
            <w:vAlign w:val="bottom"/>
          </w:tcPr>
          <w:p>
            <w:pPr>
              <w:spacing w:after="0"/>
              <w:rPr>
                <w:sz w:val="1"/>
                <w:szCs w:val="1"/>
                <w:color w:val="auto"/>
              </w:rPr>
            </w:pPr>
          </w:p>
        </w:tc>
      </w:tr>
      <w:tr>
        <w:trPr>
          <w:trHeight w:val="278"/>
        </w:trPr>
        <w:tc>
          <w:tcPr>
            <w:tcW w:w="55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Merchandise inventories, net</w:t>
            </w: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1,386,457</w:t>
            </w:r>
          </w:p>
        </w:tc>
        <w:tc>
          <w:tcPr>
            <w:tcW w:w="10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1,283,517</w:t>
            </w:r>
          </w:p>
        </w:tc>
        <w:tc>
          <w:tcPr>
            <w:tcW w:w="10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1,323,886</w:t>
            </w:r>
          </w:p>
        </w:tc>
        <w:tc>
          <w:tcPr>
            <w:tcW w:w="0" w:type="dxa"/>
            <w:vAlign w:val="bottom"/>
          </w:tcPr>
          <w:p>
            <w:pPr>
              <w:spacing w:after="0"/>
              <w:rPr>
                <w:sz w:val="1"/>
                <w:szCs w:val="1"/>
                <w:color w:val="auto"/>
              </w:rPr>
            </w:pPr>
          </w:p>
        </w:tc>
      </w:tr>
      <w:tr>
        <w:trPr>
          <w:trHeight w:val="263"/>
        </w:trPr>
        <w:tc>
          <w:tcPr>
            <w:tcW w:w="558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34,622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47,747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39,578</w:t>
            </w:r>
          </w:p>
        </w:tc>
        <w:tc>
          <w:tcPr>
            <w:tcW w:w="0" w:type="dxa"/>
            <w:vAlign w:val="bottom"/>
          </w:tcPr>
          <w:p>
            <w:pPr>
              <w:spacing w:after="0"/>
              <w:rPr>
                <w:sz w:val="1"/>
                <w:szCs w:val="1"/>
                <w:color w:val="auto"/>
              </w:rPr>
            </w:pPr>
          </w:p>
        </w:tc>
      </w:tr>
      <w:tr>
        <w:trPr>
          <w:trHeight w:val="278"/>
        </w:trPr>
        <w:tc>
          <w:tcPr>
            <w:tcW w:w="55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Assets held for sale</w:t>
            </w:r>
          </w:p>
        </w:tc>
        <w:tc>
          <w:tcPr>
            <w:tcW w:w="220" w:type="dxa"/>
            <w:vAlign w:val="bottom"/>
            <w:tcBorders>
              <w:bottom w:val="single" w:sz="8" w:color="auto"/>
            </w:tcBorders>
            <w:shd w:val="clear" w:color="auto" w:fill="DBDBDB"/>
          </w:tcPr>
          <w:p>
            <w:pPr>
              <w:spacing w:after="0"/>
              <w:rPr>
                <w:sz w:val="24"/>
                <w:szCs w:val="24"/>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1,763</w:t>
            </w:r>
          </w:p>
        </w:tc>
        <w:tc>
          <w:tcPr>
            <w:tcW w:w="100" w:type="dxa"/>
            <w:vAlign w:val="bottom"/>
            <w:shd w:val="clear" w:color="auto" w:fill="DBDBDB"/>
          </w:tcPr>
          <w:p>
            <w:pPr>
              <w:spacing w:after="0"/>
              <w:rPr>
                <w:sz w:val="24"/>
                <w:szCs w:val="24"/>
                <w:color w:val="auto"/>
              </w:rPr>
            </w:pPr>
          </w:p>
        </w:tc>
        <w:tc>
          <w:tcPr>
            <w:tcW w:w="140" w:type="dxa"/>
            <w:vAlign w:val="bottom"/>
            <w:tcBorders>
              <w:bottom w:val="single" w:sz="8" w:color="auto"/>
            </w:tcBorders>
            <w:shd w:val="clear" w:color="auto" w:fill="DBDBDB"/>
          </w:tcPr>
          <w:p>
            <w:pPr>
              <w:spacing w:after="0"/>
              <w:rPr>
                <w:sz w:val="24"/>
                <w:szCs w:val="24"/>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DBDBDB"/>
          </w:tcPr>
          <w:p>
            <w:pPr>
              <w:spacing w:after="0"/>
              <w:rPr>
                <w:sz w:val="24"/>
                <w:szCs w:val="24"/>
                <w:color w:val="auto"/>
              </w:rPr>
            </w:pPr>
          </w:p>
        </w:tc>
        <w:tc>
          <w:tcPr>
            <w:tcW w:w="220" w:type="dxa"/>
            <w:vAlign w:val="bottom"/>
            <w:tcBorders>
              <w:bottom w:val="single" w:sz="8" w:color="auto"/>
            </w:tcBorders>
            <w:shd w:val="clear" w:color="auto" w:fill="DBDBDB"/>
          </w:tcPr>
          <w:p>
            <w:pPr>
              <w:spacing w:after="0"/>
              <w:rPr>
                <w:sz w:val="24"/>
                <w:szCs w:val="24"/>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56"/>
        </w:trPr>
        <w:tc>
          <w:tcPr>
            <w:tcW w:w="5580" w:type="dxa"/>
            <w:vAlign w:val="bottom"/>
          </w:tcPr>
          <w:p>
            <w:pPr>
              <w:ind w:left="46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1,728,790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1,686,675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1,850,288</w:t>
            </w:r>
          </w:p>
        </w:tc>
        <w:tc>
          <w:tcPr>
            <w:tcW w:w="0" w:type="dxa"/>
            <w:vAlign w:val="bottom"/>
          </w:tcPr>
          <w:p>
            <w:pPr>
              <w:spacing w:after="0"/>
              <w:rPr>
                <w:sz w:val="1"/>
                <w:szCs w:val="1"/>
                <w:color w:val="auto"/>
              </w:rPr>
            </w:pPr>
          </w:p>
        </w:tc>
      </w:tr>
      <w:tr>
        <w:trPr>
          <w:trHeight w:val="223"/>
        </w:trPr>
        <w:tc>
          <w:tcPr>
            <w:tcW w:w="55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5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5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365,024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351,424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339,529</w:t>
            </w:r>
          </w:p>
        </w:tc>
        <w:tc>
          <w:tcPr>
            <w:tcW w:w="0" w:type="dxa"/>
            <w:vAlign w:val="bottom"/>
          </w:tcPr>
          <w:p>
            <w:pPr>
              <w:spacing w:after="0"/>
              <w:rPr>
                <w:sz w:val="1"/>
                <w:szCs w:val="1"/>
                <w:color w:val="auto"/>
              </w:rPr>
            </w:pPr>
          </w:p>
        </w:tc>
      </w:tr>
      <w:tr>
        <w:trPr>
          <w:trHeight w:val="278"/>
        </w:trPr>
        <w:tc>
          <w:tcPr>
            <w:tcW w:w="5580" w:type="dxa"/>
            <w:vAlign w:val="bottom"/>
            <w:shd w:val="clear" w:color="auto" w:fill="DBDBDB"/>
          </w:tcPr>
          <w:p>
            <w:pPr>
              <w:ind w:left="40"/>
              <w:spacing w:after="0"/>
              <w:rPr>
                <w:sz w:val="20"/>
                <w:szCs w:val="20"/>
                <w:color w:val="auto"/>
              </w:rPr>
            </w:pPr>
            <w:r>
              <w:rPr>
                <w:rFonts w:ascii="Arial" w:cs="Arial" w:eastAsia="Arial" w:hAnsi="Arial"/>
                <w:sz w:val="18"/>
                <w:szCs w:val="18"/>
                <w:b w:val="1"/>
                <w:bCs w:val="1"/>
                <w:color w:val="auto"/>
              </w:rPr>
              <w:t>RIGHT-OF-USE ASSETS</w:t>
            </w: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1,087,854</w:t>
            </w:r>
          </w:p>
        </w:tc>
        <w:tc>
          <w:tcPr>
            <w:tcW w:w="10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1,100,085</w:t>
            </w:r>
          </w:p>
        </w:tc>
        <w:tc>
          <w:tcPr>
            <w:tcW w:w="10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1,085,805</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TRADE NAME</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577,799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577,716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577,246</w:t>
            </w:r>
          </w:p>
        </w:tc>
        <w:tc>
          <w:tcPr>
            <w:tcW w:w="0" w:type="dxa"/>
            <w:vAlign w:val="bottom"/>
          </w:tcPr>
          <w:p>
            <w:pPr>
              <w:spacing w:after="0"/>
              <w:rPr>
                <w:sz w:val="1"/>
                <w:szCs w:val="1"/>
                <w:color w:val="auto"/>
              </w:rPr>
            </w:pPr>
          </w:p>
        </w:tc>
      </w:tr>
      <w:tr>
        <w:trPr>
          <w:trHeight w:val="278"/>
        </w:trPr>
        <w:tc>
          <w:tcPr>
            <w:tcW w:w="5580" w:type="dxa"/>
            <w:vAlign w:val="bottom"/>
            <w:shd w:val="clear" w:color="auto" w:fill="DBDBDB"/>
          </w:tcPr>
          <w:p>
            <w:pPr>
              <w:ind w:left="40"/>
              <w:spacing w:after="0"/>
              <w:rPr>
                <w:sz w:val="20"/>
                <w:szCs w:val="20"/>
                <w:color w:val="auto"/>
              </w:rPr>
            </w:pPr>
            <w:r>
              <w:rPr>
                <w:rFonts w:ascii="Arial" w:cs="Arial" w:eastAsia="Arial" w:hAnsi="Arial"/>
                <w:sz w:val="18"/>
                <w:szCs w:val="18"/>
                <w:b w:val="1"/>
                <w:bCs w:val="1"/>
                <w:color w:val="auto"/>
              </w:rPr>
              <w:t>GOODWILL</w:t>
            </w: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861,920</w:t>
            </w:r>
          </w:p>
        </w:tc>
        <w:tc>
          <w:tcPr>
            <w:tcW w:w="10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861,920</w:t>
            </w:r>
          </w:p>
        </w:tc>
        <w:tc>
          <w:tcPr>
            <w:tcW w:w="10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861,920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DBDBDB"/>
            </w:tcBorders>
          </w:tcPr>
          <w:p>
            <w:pPr>
              <w:ind w:left="40"/>
              <w:spacing w:after="0"/>
              <w:rPr>
                <w:sz w:val="20"/>
                <w:szCs w:val="20"/>
                <w:color w:val="auto"/>
              </w:rPr>
            </w:pPr>
            <w:r>
              <w:rPr>
                <w:rFonts w:ascii="Arial" w:cs="Arial" w:eastAsia="Arial" w:hAnsi="Arial"/>
                <w:sz w:val="18"/>
                <w:szCs w:val="18"/>
                <w:b w:val="1"/>
                <w:bCs w:val="1"/>
                <w:color w:val="auto"/>
              </w:rPr>
              <w:t>OTHER NONCURRENT ASSETS</w:t>
            </w: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20,547</w:t>
            </w:r>
          </w:p>
        </w:tc>
        <w:tc>
          <w:tcPr>
            <w:tcW w:w="10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17,619</w:t>
            </w:r>
          </w:p>
        </w:tc>
        <w:tc>
          <w:tcPr>
            <w:tcW w:w="100" w:type="dxa"/>
            <w:vAlign w:val="bottom"/>
            <w:tcBorders>
              <w:bottom w:val="single" w:sz="8" w:color="DBDBDB"/>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4,368</w:t>
            </w:r>
          </w:p>
        </w:tc>
        <w:tc>
          <w:tcPr>
            <w:tcW w:w="0" w:type="dxa"/>
            <w:vAlign w:val="bottom"/>
          </w:tcPr>
          <w:p>
            <w:pPr>
              <w:spacing w:after="0"/>
              <w:rPr>
                <w:sz w:val="1"/>
                <w:szCs w:val="1"/>
                <w:color w:val="auto"/>
              </w:rPr>
            </w:pPr>
          </w:p>
        </w:tc>
      </w:tr>
      <w:tr>
        <w:trPr>
          <w:trHeight w:val="290"/>
        </w:trPr>
        <w:tc>
          <w:tcPr>
            <w:tcW w:w="5580" w:type="dxa"/>
            <w:vAlign w:val="bottom"/>
            <w:shd w:val="clear" w:color="auto" w:fill="DBDBDB"/>
          </w:tcPr>
          <w:p>
            <w:pPr>
              <w:ind w:left="46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4,641,934</w:t>
            </w:r>
          </w:p>
        </w:tc>
        <w:tc>
          <w:tcPr>
            <w:tcW w:w="24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4,595,439</w:t>
            </w:r>
          </w:p>
        </w:tc>
        <w:tc>
          <w:tcPr>
            <w:tcW w:w="32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4,719,156</w:t>
            </w:r>
          </w:p>
        </w:tc>
        <w:tc>
          <w:tcPr>
            <w:tcW w:w="0" w:type="dxa"/>
            <w:vAlign w:val="bottom"/>
          </w:tcPr>
          <w:p>
            <w:pPr>
              <w:spacing w:after="0"/>
              <w:rPr>
                <w:sz w:val="1"/>
                <w:szCs w:val="1"/>
                <w:color w:val="auto"/>
              </w:rPr>
            </w:pPr>
          </w:p>
        </w:tc>
      </w:tr>
      <w:tr>
        <w:trPr>
          <w:trHeight w:val="20"/>
        </w:trPr>
        <w:tc>
          <w:tcPr>
            <w:tcW w:w="55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580" w:type="dxa"/>
            <w:vAlign w:val="bottom"/>
            <w:shd w:val="clear" w:color="auto" w:fill="DBDBDB"/>
          </w:tcPr>
          <w:p>
            <w:pPr>
              <w:ind w:left="86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5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712,643</w:t>
            </w:r>
          </w:p>
        </w:tc>
        <w:tc>
          <w:tcPr>
            <w:tcW w:w="24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686,472</w:t>
            </w:r>
          </w:p>
        </w:tc>
        <w:tc>
          <w:tcPr>
            <w:tcW w:w="32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825,456</w:t>
            </w:r>
          </w:p>
        </w:tc>
        <w:tc>
          <w:tcPr>
            <w:tcW w:w="0" w:type="dxa"/>
            <w:vAlign w:val="bottom"/>
          </w:tcPr>
          <w:p>
            <w:pPr>
              <w:spacing w:after="0"/>
              <w:rPr>
                <w:sz w:val="1"/>
                <w:szCs w:val="1"/>
                <w:color w:val="auto"/>
              </w:rPr>
            </w:pPr>
          </w:p>
        </w:tc>
      </w:tr>
      <w:tr>
        <w:trPr>
          <w:trHeight w:val="263"/>
        </w:trPr>
        <w:tc>
          <w:tcPr>
            <w:tcW w:w="558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221,388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240,169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274,399</w:t>
            </w:r>
          </w:p>
        </w:tc>
        <w:tc>
          <w:tcPr>
            <w:tcW w:w="0" w:type="dxa"/>
            <w:vAlign w:val="bottom"/>
          </w:tcPr>
          <w:p>
            <w:pPr>
              <w:spacing w:after="0"/>
              <w:rPr>
                <w:sz w:val="1"/>
                <w:szCs w:val="1"/>
                <w:color w:val="auto"/>
              </w:rPr>
            </w:pPr>
          </w:p>
        </w:tc>
      </w:tr>
      <w:tr>
        <w:trPr>
          <w:trHeight w:val="278"/>
        </w:trPr>
        <w:tc>
          <w:tcPr>
            <w:tcW w:w="55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Current lease liabilities</w:t>
            </w: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112,333</w:t>
            </w:r>
          </w:p>
        </w:tc>
        <w:tc>
          <w:tcPr>
            <w:tcW w:w="10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109,075</w:t>
            </w:r>
          </w:p>
        </w:tc>
        <w:tc>
          <w:tcPr>
            <w:tcW w:w="10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85,719</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3,000</w:t>
            </w:r>
          </w:p>
        </w:tc>
        <w:tc>
          <w:tcPr>
            <w:tcW w:w="10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DBDBDB"/>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0"/>
        </w:trPr>
        <w:tc>
          <w:tcPr>
            <w:tcW w:w="5580" w:type="dxa"/>
            <w:vAlign w:val="bottom"/>
            <w:shd w:val="clear" w:color="auto" w:fill="DBDBDB"/>
          </w:tcPr>
          <w:p>
            <w:pPr>
              <w:ind w:left="46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1,049,364</w:t>
            </w: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1,038,716</w:t>
            </w:r>
          </w:p>
        </w:tc>
        <w:tc>
          <w:tcPr>
            <w:tcW w:w="10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1,188,574</w:t>
            </w: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580" w:type="dxa"/>
            <w:vAlign w:val="bottom"/>
            <w:shd w:val="clear" w:color="auto" w:fill="DBDBDB"/>
          </w:tcPr>
          <w:p>
            <w:pPr>
              <w:ind w:left="40"/>
              <w:spacing w:after="0"/>
              <w:rPr>
                <w:sz w:val="20"/>
                <w:szCs w:val="20"/>
                <w:color w:val="auto"/>
              </w:rPr>
            </w:pPr>
            <w:r>
              <w:rPr>
                <w:rFonts w:ascii="Arial" w:cs="Arial" w:eastAsia="Arial" w:hAnsi="Arial"/>
                <w:sz w:val="18"/>
                <w:szCs w:val="18"/>
                <w:b w:val="1"/>
                <w:bCs w:val="1"/>
                <w:color w:val="auto"/>
              </w:rPr>
              <w:t>LONG-TERM DEBT, NET</w:t>
            </w: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584,093</w:t>
            </w: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584,456</w:t>
            </w:r>
          </w:p>
        </w:tc>
        <w:tc>
          <w:tcPr>
            <w:tcW w:w="10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683,325</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LONG-TERM LEASE LIABILITIES</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1,058,869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1,072,192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1,081,871</w:t>
            </w:r>
          </w:p>
        </w:tc>
        <w:tc>
          <w:tcPr>
            <w:tcW w:w="0" w:type="dxa"/>
            <w:vAlign w:val="bottom"/>
          </w:tcPr>
          <w:p>
            <w:pPr>
              <w:spacing w:after="0"/>
              <w:rPr>
                <w:sz w:val="1"/>
                <w:szCs w:val="1"/>
                <w:color w:val="auto"/>
              </w:rPr>
            </w:pPr>
          </w:p>
        </w:tc>
      </w:tr>
      <w:tr>
        <w:trPr>
          <w:trHeight w:val="278"/>
        </w:trPr>
        <w:tc>
          <w:tcPr>
            <w:tcW w:w="5580" w:type="dxa"/>
            <w:vAlign w:val="bottom"/>
            <w:shd w:val="clear" w:color="auto" w:fill="DBDBDB"/>
          </w:tcPr>
          <w:p>
            <w:pPr>
              <w:ind w:left="40"/>
              <w:spacing w:after="0"/>
              <w:rPr>
                <w:sz w:val="20"/>
                <w:szCs w:val="20"/>
                <w:color w:val="auto"/>
              </w:rPr>
            </w:pPr>
            <w:r>
              <w:rPr>
                <w:rFonts w:ascii="Arial" w:cs="Arial" w:eastAsia="Arial" w:hAnsi="Arial"/>
                <w:sz w:val="18"/>
                <w:szCs w:val="18"/>
                <w:b w:val="1"/>
                <w:bCs w:val="1"/>
                <w:color w:val="auto"/>
              </w:rPr>
              <w:t>DEFERRED TAX LIABILITIES, NET</w:t>
            </w: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257,120</w:t>
            </w:r>
          </w:p>
        </w:tc>
        <w:tc>
          <w:tcPr>
            <w:tcW w:w="10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259,043</w:t>
            </w:r>
          </w:p>
        </w:tc>
        <w:tc>
          <w:tcPr>
            <w:tcW w:w="10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224,366</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DBDBDB"/>
            </w:tcBorders>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11,526</w:t>
            </w:r>
          </w:p>
        </w:tc>
        <w:tc>
          <w:tcPr>
            <w:tcW w:w="10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12,726</w:t>
            </w:r>
          </w:p>
        </w:tc>
        <w:tc>
          <w:tcPr>
            <w:tcW w:w="100" w:type="dxa"/>
            <w:vAlign w:val="bottom"/>
            <w:tcBorders>
              <w:bottom w:val="single" w:sz="8" w:color="DBDBDB"/>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12,512</w:t>
            </w:r>
          </w:p>
        </w:tc>
        <w:tc>
          <w:tcPr>
            <w:tcW w:w="0" w:type="dxa"/>
            <w:vAlign w:val="bottom"/>
          </w:tcPr>
          <w:p>
            <w:pPr>
              <w:spacing w:after="0"/>
              <w:rPr>
                <w:sz w:val="1"/>
                <w:szCs w:val="1"/>
                <w:color w:val="auto"/>
              </w:rPr>
            </w:pPr>
          </w:p>
        </w:tc>
      </w:tr>
      <w:tr>
        <w:trPr>
          <w:trHeight w:val="263"/>
        </w:trPr>
        <w:tc>
          <w:tcPr>
            <w:tcW w:w="5580" w:type="dxa"/>
            <w:vAlign w:val="bottom"/>
            <w:shd w:val="clear" w:color="auto" w:fill="DBDBDB"/>
          </w:tcPr>
          <w:p>
            <w:pPr>
              <w:ind w:left="46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2,960,972</w:t>
            </w:r>
          </w:p>
        </w:tc>
        <w:tc>
          <w:tcPr>
            <w:tcW w:w="100" w:type="dxa"/>
            <w:vAlign w:val="bottom"/>
            <w:shd w:val="clear" w:color="auto" w:fill="DBDBDB"/>
          </w:tcPr>
          <w:p>
            <w:pPr>
              <w:spacing w:after="0"/>
              <w:rPr>
                <w:sz w:val="22"/>
                <w:szCs w:val="22"/>
                <w:color w:val="auto"/>
              </w:rPr>
            </w:pPr>
          </w:p>
        </w:tc>
        <w:tc>
          <w:tcPr>
            <w:tcW w:w="140" w:type="dxa"/>
            <w:vAlign w:val="bottom"/>
            <w:tcBorders>
              <w:bottom w:val="single" w:sz="8" w:color="auto"/>
            </w:tcBorders>
            <w:shd w:val="clear" w:color="auto" w:fill="DBDBDB"/>
          </w:tcPr>
          <w:p>
            <w:pPr>
              <w:spacing w:after="0"/>
              <w:rPr>
                <w:sz w:val="22"/>
                <w:szCs w:val="22"/>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2,967,133</w:t>
            </w:r>
          </w:p>
        </w:tc>
        <w:tc>
          <w:tcPr>
            <w:tcW w:w="100" w:type="dxa"/>
            <w:vAlign w:val="bottom"/>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3,190,648</w:t>
            </w:r>
          </w:p>
        </w:tc>
        <w:tc>
          <w:tcPr>
            <w:tcW w:w="0" w:type="dxa"/>
            <w:vAlign w:val="bottom"/>
          </w:tcPr>
          <w:p>
            <w:pPr>
              <w:spacing w:after="0"/>
              <w:rPr>
                <w:sz w:val="1"/>
                <w:szCs w:val="1"/>
                <w:color w:val="auto"/>
              </w:rPr>
            </w:pPr>
          </w:p>
        </w:tc>
      </w:tr>
      <w:tr>
        <w:trPr>
          <w:trHeight w:val="189"/>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580" w:type="dxa"/>
            <w:vAlign w:val="bottom"/>
            <w:shd w:val="clear" w:color="auto" w:fill="DBDBDB"/>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580" w:type="dxa"/>
            <w:vAlign w:val="bottom"/>
            <w:shd w:val="clear" w:color="auto" w:fill="DBDBDB"/>
          </w:tcPr>
          <w:p>
            <w:pPr>
              <w:ind w:left="40"/>
              <w:spacing w:after="0"/>
              <w:rPr>
                <w:sz w:val="20"/>
                <w:szCs w:val="20"/>
                <w:color w:val="auto"/>
              </w:rPr>
            </w:pPr>
            <w:r>
              <w:rPr>
                <w:rFonts w:ascii="Arial" w:cs="Arial" w:eastAsia="Arial" w:hAnsi="Arial"/>
                <w:sz w:val="18"/>
                <w:szCs w:val="18"/>
                <w:b w:val="1"/>
                <w:bCs w:val="1"/>
                <w:color w:val="auto"/>
              </w:rPr>
              <w:t>STOCKHOLDERS' EQUITY :</w:t>
            </w: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Preferred stock, $0.01 par value, authorized 50,000,000 shares;</w:t>
            </w:r>
          </w:p>
        </w:tc>
        <w:tc>
          <w:tcPr>
            <w:tcW w:w="220" w:type="dxa"/>
            <w:vAlign w:val="bottom"/>
          </w:tcPr>
          <w:p>
            <w:pPr>
              <w:spacing w:after="0"/>
              <w:rPr>
                <w:sz w:val="20"/>
                <w:szCs w:val="20"/>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580" w:type="dxa"/>
            <w:vAlign w:val="bottom"/>
          </w:tcPr>
          <w:p>
            <w:pPr>
              <w:ind w:left="240"/>
              <w:spacing w:after="0"/>
              <w:rPr>
                <w:sz w:val="20"/>
                <w:szCs w:val="20"/>
                <w:color w:val="auto"/>
              </w:rPr>
            </w:pPr>
            <w:r>
              <w:rPr>
                <w:rFonts w:ascii="Arial" w:cs="Arial" w:eastAsia="Arial" w:hAnsi="Arial"/>
                <w:sz w:val="18"/>
                <w:szCs w:val="18"/>
                <w:color w:val="auto"/>
              </w:rPr>
              <w:t>none issued and outstanding</w:t>
            </w:r>
          </w:p>
        </w:tc>
        <w:tc>
          <w:tcPr>
            <w:tcW w:w="22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55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Common stock, $0.01 par value, authorized 300,000,000 shares;</w:t>
            </w:r>
          </w:p>
        </w:tc>
        <w:tc>
          <w:tcPr>
            <w:tcW w:w="220" w:type="dxa"/>
            <w:vAlign w:val="bottom"/>
            <w:shd w:val="clear" w:color="auto" w:fill="DBDBDB"/>
          </w:tcPr>
          <w:p>
            <w:pPr>
              <w:spacing w:after="0"/>
              <w:rPr>
                <w:sz w:val="20"/>
                <w:szCs w:val="20"/>
                <w:color w:val="auto"/>
              </w:rPr>
            </w:pPr>
          </w:p>
        </w:tc>
        <w:tc>
          <w:tcPr>
            <w:tcW w:w="15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6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5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76,439,594; 76,711,720; and 85,071,234 issued and outstanding</w:t>
            </w:r>
          </w:p>
        </w:tc>
        <w:tc>
          <w:tcPr>
            <w:tcW w:w="22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as of April 29, 2023, January 28, 2023, and April 30, 2022,</w:t>
            </w:r>
          </w:p>
        </w:tc>
        <w:tc>
          <w:tcPr>
            <w:tcW w:w="220" w:type="dxa"/>
            <w:vAlign w:val="bottom"/>
            <w:shd w:val="clear" w:color="auto" w:fill="DBDBDB"/>
          </w:tcPr>
          <w:p>
            <w:pPr>
              <w:spacing w:after="0"/>
              <w:rPr>
                <w:sz w:val="18"/>
                <w:szCs w:val="18"/>
                <w:color w:val="auto"/>
              </w:rPr>
            </w:pPr>
          </w:p>
        </w:tc>
        <w:tc>
          <w:tcPr>
            <w:tcW w:w="158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764</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5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DBDBDB"/>
          </w:tcPr>
          <w:p>
            <w:pPr>
              <w:spacing w:after="0"/>
              <w:rPr>
                <w:sz w:val="22"/>
                <w:szCs w:val="22"/>
                <w:color w:val="auto"/>
              </w:rPr>
            </w:pPr>
          </w:p>
        </w:tc>
        <w:tc>
          <w:tcPr>
            <w:tcW w:w="1580" w:type="dxa"/>
            <w:vAlign w:val="bottom"/>
            <w:vMerge w:val="continue"/>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63"/>
        </w:trPr>
        <w:tc>
          <w:tcPr>
            <w:tcW w:w="558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229,633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216,209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199,559</w:t>
            </w:r>
          </w:p>
        </w:tc>
        <w:tc>
          <w:tcPr>
            <w:tcW w:w="0" w:type="dxa"/>
            <w:vAlign w:val="bottom"/>
          </w:tcPr>
          <w:p>
            <w:pPr>
              <w:spacing w:after="0"/>
              <w:rPr>
                <w:sz w:val="1"/>
                <w:szCs w:val="1"/>
                <w:color w:val="auto"/>
              </w:rPr>
            </w:pPr>
          </w:p>
        </w:tc>
      </w:tr>
      <w:tr>
        <w:trPr>
          <w:trHeight w:val="263"/>
        </w:trPr>
        <w:tc>
          <w:tcPr>
            <w:tcW w:w="558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1,450,565</w:t>
            </w:r>
          </w:p>
        </w:tc>
        <w:tc>
          <w:tcPr>
            <w:tcW w:w="100" w:type="dxa"/>
            <w:vAlign w:val="bottom"/>
            <w:tcBorders>
              <w:bottom w:val="single" w:sz="8" w:color="DBDBDB"/>
            </w:tcBorders>
            <w:shd w:val="clear" w:color="auto" w:fill="DBDBDB"/>
          </w:tcPr>
          <w:p>
            <w:pPr>
              <w:spacing w:after="0"/>
              <w:rPr>
                <w:sz w:val="22"/>
                <w:szCs w:val="22"/>
                <w:color w:val="auto"/>
              </w:rPr>
            </w:pPr>
          </w:p>
        </w:tc>
        <w:tc>
          <w:tcPr>
            <w:tcW w:w="140" w:type="dxa"/>
            <w:vAlign w:val="bottom"/>
            <w:tcBorders>
              <w:bottom w:val="single" w:sz="8" w:color="auto"/>
            </w:tcBorders>
            <w:shd w:val="clear" w:color="auto" w:fill="DBDBDB"/>
          </w:tcPr>
          <w:p>
            <w:pPr>
              <w:spacing w:after="0"/>
              <w:rPr>
                <w:sz w:val="22"/>
                <w:szCs w:val="22"/>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1,411,330</w:t>
            </w:r>
          </w:p>
        </w:tc>
        <w:tc>
          <w:tcPr>
            <w:tcW w:w="100" w:type="dxa"/>
            <w:vAlign w:val="bottom"/>
            <w:tcBorders>
              <w:bottom w:val="single" w:sz="8" w:color="DBDBDB"/>
            </w:tcBorders>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1,328,099</w:t>
            </w:r>
          </w:p>
        </w:tc>
        <w:tc>
          <w:tcPr>
            <w:tcW w:w="0" w:type="dxa"/>
            <w:vAlign w:val="bottom"/>
          </w:tcPr>
          <w:p>
            <w:pPr>
              <w:spacing w:after="0"/>
              <w:rPr>
                <w:sz w:val="1"/>
                <w:szCs w:val="1"/>
                <w:color w:val="auto"/>
              </w:rPr>
            </w:pPr>
          </w:p>
        </w:tc>
      </w:tr>
      <w:tr>
        <w:trPr>
          <w:trHeight w:val="263"/>
        </w:trPr>
        <w:tc>
          <w:tcPr>
            <w:tcW w:w="5580" w:type="dxa"/>
            <w:vAlign w:val="bottom"/>
          </w:tcPr>
          <w:p>
            <w:pPr>
              <w:ind w:left="46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1,680,962</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1,628,306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1,528,508</w:t>
            </w:r>
          </w:p>
        </w:tc>
        <w:tc>
          <w:tcPr>
            <w:tcW w:w="0" w:type="dxa"/>
            <w:vAlign w:val="bottom"/>
          </w:tcPr>
          <w:p>
            <w:pPr>
              <w:spacing w:after="0"/>
              <w:rPr>
                <w:sz w:val="1"/>
                <w:szCs w:val="1"/>
                <w:color w:val="auto"/>
              </w:rPr>
            </w:pPr>
          </w:p>
        </w:tc>
      </w:tr>
      <w:tr>
        <w:trPr>
          <w:trHeight w:val="284"/>
        </w:trPr>
        <w:tc>
          <w:tcPr>
            <w:tcW w:w="5580" w:type="dxa"/>
            <w:vAlign w:val="bottom"/>
            <w:shd w:val="clear" w:color="auto" w:fill="DBDBDB"/>
          </w:tcPr>
          <w:p>
            <w:pPr>
              <w:ind w:left="46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4,641,934</w:t>
            </w:r>
          </w:p>
        </w:tc>
        <w:tc>
          <w:tcPr>
            <w:tcW w:w="24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4,595,439</w:t>
            </w:r>
          </w:p>
        </w:tc>
        <w:tc>
          <w:tcPr>
            <w:tcW w:w="32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4,719,156</w:t>
            </w:r>
          </w:p>
        </w:tc>
        <w:tc>
          <w:tcPr>
            <w:tcW w:w="0" w:type="dxa"/>
            <w:vAlign w:val="bottom"/>
          </w:tcPr>
          <w:p>
            <w:pPr>
              <w:spacing w:after="0"/>
              <w:rPr>
                <w:sz w:val="1"/>
                <w:szCs w:val="1"/>
                <w:color w:val="auto"/>
              </w:rPr>
            </w:pPr>
          </w:p>
        </w:tc>
      </w:tr>
      <w:tr>
        <w:trPr>
          <w:trHeight w:val="20"/>
        </w:trPr>
        <w:tc>
          <w:tcPr>
            <w:tcW w:w="55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-7225665</wp:posOffset>
            </wp:positionV>
            <wp:extent cx="3540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ectPr>
          <w:pgSz w:w="11900" w:h="16838" w:orient="portrait"/>
          <w:cols w:equalWidth="0" w:num="1">
            <w:col w:w="11160"/>
          </w:cols>
          <w:pgMar w:left="360" w:top="765" w:right="37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160"/>
          </w:cols>
          <w:pgMar w:left="360" w:top="765" w:right="37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520" w:type="dxa"/>
            <w:vAlign w:val="bottom"/>
          </w:tcPr>
          <w:p>
            <w:pPr>
              <w:spacing w:after="0"/>
              <w:rPr>
                <w:sz w:val="23"/>
                <w:szCs w:val="23"/>
                <w:color w:val="auto"/>
              </w:rPr>
            </w:pPr>
          </w:p>
        </w:tc>
        <w:tc>
          <w:tcPr>
            <w:tcW w:w="220" w:type="dxa"/>
            <w:vAlign w:val="bottom"/>
            <w:shd w:val="clear" w:color="auto" w:fill="0A2299"/>
          </w:tcPr>
          <w:p>
            <w:pPr>
              <w:spacing w:after="0"/>
              <w:rPr>
                <w:sz w:val="23"/>
                <w:szCs w:val="23"/>
                <w:color w:val="auto"/>
              </w:rPr>
            </w:pPr>
          </w:p>
        </w:tc>
        <w:tc>
          <w:tcPr>
            <w:tcW w:w="3460" w:type="dxa"/>
            <w:vAlign w:val="bottom"/>
            <w:gridSpan w:val="4"/>
            <w:shd w:val="clear" w:color="auto" w:fill="0A2299"/>
          </w:tcPr>
          <w:p>
            <w:pPr>
              <w:jc w:val="right"/>
              <w:ind w:right="790"/>
              <w:spacing w:after="0"/>
              <w:rPr>
                <w:sz w:val="20"/>
                <w:szCs w:val="20"/>
                <w:color w:val="auto"/>
              </w:rPr>
            </w:pPr>
            <w:r>
              <w:rPr>
                <w:rFonts w:ascii="Arial" w:cs="Arial" w:eastAsia="Arial" w:hAnsi="Arial"/>
                <w:sz w:val="18"/>
                <w:szCs w:val="18"/>
                <w:b w:val="1"/>
                <w:bCs w:val="1"/>
                <w:color w:val="FFFFFF"/>
              </w:rPr>
              <w:t>Thirteen Weeks Ended</w:t>
            </w:r>
          </w:p>
        </w:tc>
        <w:tc>
          <w:tcPr>
            <w:tcW w:w="0" w:type="dxa"/>
            <w:vAlign w:val="bottom"/>
          </w:tcPr>
          <w:p>
            <w:pPr>
              <w:spacing w:after="0"/>
              <w:rPr>
                <w:sz w:val="1"/>
                <w:szCs w:val="1"/>
                <w:color w:val="auto"/>
              </w:rPr>
            </w:pPr>
          </w:p>
        </w:tc>
      </w:tr>
      <w:tr>
        <w:trPr>
          <w:trHeight w:val="276"/>
        </w:trPr>
        <w:tc>
          <w:tcPr>
            <w:tcW w:w="7520" w:type="dxa"/>
            <w:vAlign w:val="bottom"/>
          </w:tcPr>
          <w:p>
            <w:pPr>
              <w:spacing w:after="0"/>
              <w:rPr>
                <w:sz w:val="24"/>
                <w:szCs w:val="24"/>
                <w:color w:val="auto"/>
              </w:rPr>
            </w:pPr>
          </w:p>
        </w:tc>
        <w:tc>
          <w:tcPr>
            <w:tcW w:w="220" w:type="dxa"/>
            <w:vAlign w:val="bottom"/>
            <w:tcBorders>
              <w:bottom w:val="single" w:sz="8" w:color="0A2299"/>
            </w:tcBorders>
            <w:shd w:val="clear" w:color="auto" w:fill="0A2299"/>
          </w:tcPr>
          <w:p>
            <w:pPr>
              <w:spacing w:after="0"/>
              <w:rPr>
                <w:sz w:val="24"/>
                <w:szCs w:val="24"/>
                <w:color w:val="auto"/>
              </w:rPr>
            </w:pPr>
          </w:p>
        </w:tc>
        <w:tc>
          <w:tcPr>
            <w:tcW w:w="1580" w:type="dxa"/>
            <w:vAlign w:val="bottom"/>
            <w:tcBorders>
              <w:bottom w:val="single" w:sz="8" w:color="0A2299"/>
            </w:tcBorders>
            <w:shd w:val="clear" w:color="auto" w:fill="0A2299"/>
          </w:tcPr>
          <w:p>
            <w:pPr>
              <w:jc w:val="right"/>
              <w:ind w:right="230"/>
              <w:spacing w:after="0"/>
              <w:rPr>
                <w:sz w:val="20"/>
                <w:szCs w:val="20"/>
                <w:color w:val="auto"/>
              </w:rPr>
            </w:pPr>
            <w:r>
              <w:rPr>
                <w:rFonts w:ascii="Arial" w:cs="Arial" w:eastAsia="Arial" w:hAnsi="Arial"/>
                <w:sz w:val="18"/>
                <w:szCs w:val="18"/>
                <w:b w:val="1"/>
                <w:bCs w:val="1"/>
                <w:color w:val="FFFFFF"/>
              </w:rPr>
              <w:t>April 29, 2023</w:t>
            </w:r>
          </w:p>
        </w:tc>
        <w:tc>
          <w:tcPr>
            <w:tcW w:w="80" w:type="dxa"/>
            <w:vAlign w:val="bottom"/>
            <w:tcBorders>
              <w:bottom w:val="single" w:sz="8" w:color="0A2299"/>
            </w:tcBorders>
            <w:shd w:val="clear" w:color="auto" w:fill="0A2299"/>
          </w:tcPr>
          <w:p>
            <w:pPr>
              <w:spacing w:after="0"/>
              <w:rPr>
                <w:sz w:val="24"/>
                <w:szCs w:val="24"/>
                <w:color w:val="auto"/>
              </w:rPr>
            </w:pPr>
          </w:p>
        </w:tc>
        <w:tc>
          <w:tcPr>
            <w:tcW w:w="220" w:type="dxa"/>
            <w:vAlign w:val="bottom"/>
            <w:tcBorders>
              <w:bottom w:val="single" w:sz="8" w:color="0A2299"/>
            </w:tcBorders>
            <w:shd w:val="clear" w:color="auto" w:fill="0A2299"/>
          </w:tcPr>
          <w:p>
            <w:pPr>
              <w:spacing w:after="0"/>
              <w:rPr>
                <w:sz w:val="24"/>
                <w:szCs w:val="24"/>
                <w:color w:val="auto"/>
              </w:rPr>
            </w:pPr>
          </w:p>
        </w:tc>
        <w:tc>
          <w:tcPr>
            <w:tcW w:w="1580" w:type="dxa"/>
            <w:vAlign w:val="bottom"/>
            <w:tcBorders>
              <w:bottom w:val="single" w:sz="8" w:color="0A2299"/>
            </w:tcBorders>
            <w:shd w:val="clear" w:color="auto" w:fill="0A2299"/>
          </w:tcPr>
          <w:p>
            <w:pPr>
              <w:jc w:val="right"/>
              <w:ind w:right="230"/>
              <w:spacing w:after="0"/>
              <w:rPr>
                <w:sz w:val="20"/>
                <w:szCs w:val="20"/>
                <w:color w:val="auto"/>
              </w:rPr>
            </w:pPr>
            <w:r>
              <w:rPr>
                <w:rFonts w:ascii="Arial" w:cs="Arial" w:eastAsia="Arial" w:hAnsi="Arial"/>
                <w:sz w:val="18"/>
                <w:szCs w:val="18"/>
                <w:b w:val="1"/>
                <w:bCs w:val="1"/>
                <w:color w:val="FFFFFF"/>
              </w:rPr>
              <w:t>April 30, 2022</w:t>
            </w:r>
          </w:p>
        </w:tc>
        <w:tc>
          <w:tcPr>
            <w:tcW w:w="0" w:type="dxa"/>
            <w:vAlign w:val="bottom"/>
          </w:tcPr>
          <w:p>
            <w:pPr>
              <w:spacing w:after="0"/>
              <w:rPr>
                <w:sz w:val="1"/>
                <w:szCs w:val="1"/>
                <w:color w:val="auto"/>
              </w:rPr>
            </w:pPr>
          </w:p>
        </w:tc>
      </w:tr>
      <w:tr>
        <w:trPr>
          <w:trHeight w:val="270"/>
        </w:trPr>
        <w:tc>
          <w:tcPr>
            <w:tcW w:w="75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5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93,970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149,806</w:t>
            </w:r>
          </w:p>
        </w:tc>
        <w:tc>
          <w:tcPr>
            <w:tcW w:w="0" w:type="dxa"/>
            <w:vAlign w:val="bottom"/>
          </w:tcPr>
          <w:p>
            <w:pPr>
              <w:spacing w:after="0"/>
              <w:rPr>
                <w:sz w:val="1"/>
                <w:szCs w:val="1"/>
                <w:color w:val="auto"/>
              </w:rPr>
            </w:pPr>
          </w:p>
        </w:tc>
      </w:tr>
      <w:tr>
        <w:trPr>
          <w:trHeight w:val="258"/>
        </w:trPr>
        <w:tc>
          <w:tcPr>
            <w:tcW w:w="75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Borders>
              <w:bottom w:val="single" w:sz="8" w:color="DBDBDB"/>
            </w:tcBorders>
            <w:shd w:val="clear" w:color="auto" w:fill="DBDBDB"/>
          </w:tcPr>
          <w:p>
            <w:pPr>
              <w:spacing w:after="0"/>
              <w:rPr>
                <w:sz w:val="22"/>
                <w:szCs w:val="22"/>
                <w:color w:val="auto"/>
              </w:rPr>
            </w:pPr>
          </w:p>
        </w:tc>
        <w:tc>
          <w:tcPr>
            <w:tcW w:w="1580" w:type="dxa"/>
            <w:vAlign w:val="bottom"/>
            <w:tcBorders>
              <w:bottom w:val="single" w:sz="8" w:color="DBDBDB"/>
            </w:tcBorders>
            <w:shd w:val="clear" w:color="auto" w:fill="DBDBDB"/>
          </w:tcPr>
          <w:p>
            <w:pPr>
              <w:spacing w:after="0"/>
              <w:rPr>
                <w:sz w:val="22"/>
                <w:szCs w:val="22"/>
                <w:color w:val="auto"/>
              </w:rPr>
            </w:pPr>
          </w:p>
        </w:tc>
        <w:tc>
          <w:tcPr>
            <w:tcW w:w="80" w:type="dxa"/>
            <w:vAlign w:val="bottom"/>
            <w:tcBorders>
              <w:bottom w:val="single" w:sz="8" w:color="DBDBDB"/>
            </w:tcBorders>
            <w:shd w:val="clear" w:color="auto" w:fill="DBDBDB"/>
          </w:tcPr>
          <w:p>
            <w:pPr>
              <w:spacing w:after="0"/>
              <w:rPr>
                <w:sz w:val="22"/>
                <w:szCs w:val="22"/>
                <w:color w:val="auto"/>
              </w:rPr>
            </w:pPr>
          </w:p>
        </w:tc>
        <w:tc>
          <w:tcPr>
            <w:tcW w:w="220" w:type="dxa"/>
            <w:vAlign w:val="bottom"/>
            <w:tcBorders>
              <w:bottom w:val="single" w:sz="8" w:color="DBDBDB"/>
            </w:tcBorders>
            <w:shd w:val="clear" w:color="auto" w:fill="DBDBDB"/>
          </w:tcPr>
          <w:p>
            <w:pPr>
              <w:spacing w:after="0"/>
              <w:rPr>
                <w:sz w:val="22"/>
                <w:szCs w:val="22"/>
                <w:color w:val="auto"/>
              </w:rPr>
            </w:pPr>
          </w:p>
        </w:tc>
        <w:tc>
          <w:tcPr>
            <w:tcW w:w="1580" w:type="dxa"/>
            <w:vAlign w:val="bottom"/>
            <w:tcBorders>
              <w:bottom w:val="single" w:sz="8" w:color="DBDBDB"/>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52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26,261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25,578</w:t>
            </w:r>
          </w:p>
        </w:tc>
        <w:tc>
          <w:tcPr>
            <w:tcW w:w="0" w:type="dxa"/>
            <w:vAlign w:val="bottom"/>
          </w:tcPr>
          <w:p>
            <w:pPr>
              <w:spacing w:after="0"/>
              <w:rPr>
                <w:sz w:val="1"/>
                <w:szCs w:val="1"/>
                <w:color w:val="auto"/>
              </w:rPr>
            </w:pPr>
          </w:p>
        </w:tc>
      </w:tr>
      <w:tr>
        <w:trPr>
          <w:trHeight w:val="278"/>
        </w:trPr>
        <w:tc>
          <w:tcPr>
            <w:tcW w:w="7520" w:type="dxa"/>
            <w:vAlign w:val="bottom"/>
            <w:shd w:val="clear" w:color="auto" w:fill="DBDBDB"/>
          </w:tcPr>
          <w:p>
            <w:pPr>
              <w:ind w:left="460"/>
              <w:spacing w:after="0"/>
              <w:rPr>
                <w:sz w:val="20"/>
                <w:szCs w:val="20"/>
                <w:color w:val="auto"/>
              </w:rPr>
            </w:pPr>
            <w:r>
              <w:rPr>
                <w:rFonts w:ascii="Arial" w:cs="Arial" w:eastAsia="Arial" w:hAnsi="Arial"/>
                <w:sz w:val="18"/>
                <w:szCs w:val="18"/>
                <w:color w:val="auto"/>
              </w:rPr>
              <w:t>Non-cash lease expense</w:t>
            </w: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2,165</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63"/>
        </w:trPr>
        <w:tc>
          <w:tcPr>
            <w:tcW w:w="7520" w:type="dxa"/>
            <w:vAlign w:val="bottom"/>
          </w:tcPr>
          <w:p>
            <w:pPr>
              <w:ind w:left="460"/>
              <w:spacing w:after="0"/>
              <w:rPr>
                <w:sz w:val="20"/>
                <w:szCs w:val="20"/>
                <w:color w:val="auto"/>
              </w:rPr>
            </w:pPr>
            <w:r>
              <w:rPr>
                <w:rFonts w:ascii="Arial" w:cs="Arial" w:eastAsia="Arial" w:hAnsi="Arial"/>
                <w:sz w:val="18"/>
                <w:szCs w:val="18"/>
                <w:color w:val="auto"/>
              </w:rPr>
              <w:t>Equity compensation</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11,382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78"/>
        </w:trPr>
        <w:tc>
          <w:tcPr>
            <w:tcW w:w="7520" w:type="dxa"/>
            <w:vAlign w:val="bottom"/>
            <w:shd w:val="clear" w:color="auto" w:fill="DBDBDB"/>
          </w:tcPr>
          <w:p>
            <w:pPr>
              <w:ind w:left="460"/>
              <w:spacing w:after="0"/>
              <w:rPr>
                <w:sz w:val="20"/>
                <w:szCs w:val="20"/>
                <w:color w:val="auto"/>
              </w:rPr>
            </w:pPr>
            <w:r>
              <w:rPr>
                <w:rFonts w:ascii="Arial" w:cs="Arial" w:eastAsia="Arial" w:hAnsi="Arial"/>
                <w:sz w:val="18"/>
                <w:szCs w:val="18"/>
                <w:color w:val="auto"/>
              </w:rPr>
              <w:t>Amortization of deferred loan and other costs</w:t>
            </w: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674</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63"/>
        </w:trPr>
        <w:tc>
          <w:tcPr>
            <w:tcW w:w="7520" w:type="dxa"/>
            <w:vAlign w:val="bottom"/>
          </w:tcPr>
          <w:p>
            <w:pPr>
              <w:ind w:left="46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(1,923)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7,154</w:t>
            </w:r>
          </w:p>
        </w:tc>
        <w:tc>
          <w:tcPr>
            <w:tcW w:w="0" w:type="dxa"/>
            <w:vAlign w:val="bottom"/>
          </w:tcPr>
          <w:p>
            <w:pPr>
              <w:spacing w:after="0"/>
              <w:rPr>
                <w:sz w:val="1"/>
                <w:szCs w:val="1"/>
                <w:color w:val="auto"/>
              </w:rPr>
            </w:pPr>
          </w:p>
        </w:tc>
      </w:tr>
      <w:tr>
        <w:trPr>
          <w:trHeight w:val="258"/>
        </w:trPr>
        <w:tc>
          <w:tcPr>
            <w:tcW w:w="752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Borders>
              <w:bottom w:val="single" w:sz="8" w:color="DBDBDB"/>
            </w:tcBorders>
            <w:shd w:val="clear" w:color="auto" w:fill="DBDBDB"/>
          </w:tcPr>
          <w:p>
            <w:pPr>
              <w:spacing w:after="0"/>
              <w:rPr>
                <w:sz w:val="22"/>
                <w:szCs w:val="22"/>
                <w:color w:val="auto"/>
              </w:rPr>
            </w:pPr>
          </w:p>
        </w:tc>
        <w:tc>
          <w:tcPr>
            <w:tcW w:w="1580" w:type="dxa"/>
            <w:vAlign w:val="bottom"/>
            <w:tcBorders>
              <w:bottom w:val="single" w:sz="8" w:color="DBDBDB"/>
            </w:tcBorders>
            <w:shd w:val="clear" w:color="auto" w:fill="DBDBDB"/>
          </w:tcPr>
          <w:p>
            <w:pPr>
              <w:spacing w:after="0"/>
              <w:rPr>
                <w:sz w:val="22"/>
                <w:szCs w:val="22"/>
                <w:color w:val="auto"/>
              </w:rPr>
            </w:pPr>
          </w:p>
        </w:tc>
        <w:tc>
          <w:tcPr>
            <w:tcW w:w="80" w:type="dxa"/>
            <w:vAlign w:val="bottom"/>
            <w:tcBorders>
              <w:bottom w:val="single" w:sz="8" w:color="DBDBDB"/>
            </w:tcBorders>
            <w:shd w:val="clear" w:color="auto" w:fill="DBDBDB"/>
          </w:tcPr>
          <w:p>
            <w:pPr>
              <w:spacing w:after="0"/>
              <w:rPr>
                <w:sz w:val="22"/>
                <w:szCs w:val="22"/>
                <w:color w:val="auto"/>
              </w:rPr>
            </w:pPr>
          </w:p>
        </w:tc>
        <w:tc>
          <w:tcPr>
            <w:tcW w:w="220" w:type="dxa"/>
            <w:vAlign w:val="bottom"/>
            <w:tcBorders>
              <w:bottom w:val="single" w:sz="8" w:color="DBDBDB"/>
            </w:tcBorders>
            <w:shd w:val="clear" w:color="auto" w:fill="DBDBDB"/>
          </w:tcPr>
          <w:p>
            <w:pPr>
              <w:spacing w:after="0"/>
              <w:rPr>
                <w:sz w:val="22"/>
                <w:szCs w:val="22"/>
                <w:color w:val="auto"/>
              </w:rPr>
            </w:pPr>
          </w:p>
        </w:tc>
        <w:tc>
          <w:tcPr>
            <w:tcW w:w="1580" w:type="dxa"/>
            <w:vAlign w:val="bottom"/>
            <w:tcBorders>
              <w:bottom w:val="single" w:sz="8" w:color="DBDBDB"/>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520" w:type="dxa"/>
            <w:vAlign w:val="bottom"/>
          </w:tcPr>
          <w:p>
            <w:pPr>
              <w:ind w:left="66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6,091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7,052</w:t>
            </w:r>
          </w:p>
        </w:tc>
        <w:tc>
          <w:tcPr>
            <w:tcW w:w="0" w:type="dxa"/>
            <w:vAlign w:val="bottom"/>
          </w:tcPr>
          <w:p>
            <w:pPr>
              <w:spacing w:after="0"/>
              <w:rPr>
                <w:sz w:val="1"/>
                <w:szCs w:val="1"/>
                <w:color w:val="auto"/>
              </w:rPr>
            </w:pPr>
          </w:p>
        </w:tc>
      </w:tr>
      <w:tr>
        <w:trPr>
          <w:trHeight w:val="278"/>
        </w:trPr>
        <w:tc>
          <w:tcPr>
            <w:tcW w:w="75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Merchandise inventories, net</w:t>
            </w: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(102,940)</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(152,078)</w:t>
            </w:r>
          </w:p>
        </w:tc>
        <w:tc>
          <w:tcPr>
            <w:tcW w:w="0" w:type="dxa"/>
            <w:vAlign w:val="bottom"/>
          </w:tcPr>
          <w:p>
            <w:pPr>
              <w:spacing w:after="0"/>
              <w:rPr>
                <w:sz w:val="1"/>
                <w:szCs w:val="1"/>
                <w:color w:val="auto"/>
              </w:rPr>
            </w:pPr>
          </w:p>
        </w:tc>
      </w:tr>
      <w:tr>
        <w:trPr>
          <w:trHeight w:val="263"/>
        </w:trPr>
        <w:tc>
          <w:tcPr>
            <w:tcW w:w="7520" w:type="dxa"/>
            <w:vAlign w:val="bottom"/>
          </w:tcPr>
          <w:p>
            <w:pPr>
              <w:ind w:left="6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13,125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78"/>
        </w:trPr>
        <w:tc>
          <w:tcPr>
            <w:tcW w:w="75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(3,215)</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3"/>
        </w:trPr>
        <w:tc>
          <w:tcPr>
            <w:tcW w:w="752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26,776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85,640</w:t>
            </w:r>
          </w:p>
        </w:tc>
        <w:tc>
          <w:tcPr>
            <w:tcW w:w="0" w:type="dxa"/>
            <w:vAlign w:val="bottom"/>
          </w:tcPr>
          <w:p>
            <w:pPr>
              <w:spacing w:after="0"/>
              <w:rPr>
                <w:sz w:val="1"/>
                <w:szCs w:val="1"/>
                <w:color w:val="auto"/>
              </w:rPr>
            </w:pPr>
          </w:p>
        </w:tc>
      </w:tr>
      <w:tr>
        <w:trPr>
          <w:trHeight w:val="278"/>
        </w:trPr>
        <w:tc>
          <w:tcPr>
            <w:tcW w:w="75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(31,673)</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(66,475)</w:t>
            </w:r>
          </w:p>
        </w:tc>
        <w:tc>
          <w:tcPr>
            <w:tcW w:w="0" w:type="dxa"/>
            <w:vAlign w:val="bottom"/>
          </w:tcPr>
          <w:p>
            <w:pPr>
              <w:spacing w:after="0"/>
              <w:rPr>
                <w:sz w:val="1"/>
                <w:szCs w:val="1"/>
                <w:color w:val="auto"/>
              </w:rPr>
            </w:pPr>
          </w:p>
        </w:tc>
      </w:tr>
      <w:tr>
        <w:trPr>
          <w:trHeight w:val="263"/>
        </w:trPr>
        <w:tc>
          <w:tcPr>
            <w:tcW w:w="7520" w:type="dxa"/>
            <w:vAlign w:val="bottom"/>
          </w:tcPr>
          <w:p>
            <w:pPr>
              <w:ind w:left="66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12,642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38,561</w:t>
            </w:r>
          </w:p>
        </w:tc>
        <w:tc>
          <w:tcPr>
            <w:tcW w:w="0" w:type="dxa"/>
            <w:vAlign w:val="bottom"/>
          </w:tcPr>
          <w:p>
            <w:pPr>
              <w:spacing w:after="0"/>
              <w:rPr>
                <w:sz w:val="1"/>
                <w:szCs w:val="1"/>
                <w:color w:val="auto"/>
              </w:rPr>
            </w:pPr>
          </w:p>
        </w:tc>
      </w:tr>
      <w:tr>
        <w:trPr>
          <w:trHeight w:val="271"/>
        </w:trPr>
        <w:tc>
          <w:tcPr>
            <w:tcW w:w="75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DBDBDB"/>
          </w:tcPr>
          <w:p>
            <w:pPr>
              <w:spacing w:after="0"/>
              <w:rPr>
                <w:sz w:val="23"/>
                <w:szCs w:val="23"/>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(1,200)</w:t>
            </w:r>
          </w:p>
        </w:tc>
        <w:tc>
          <w:tcPr>
            <w:tcW w:w="80" w:type="dxa"/>
            <w:vAlign w:val="bottom"/>
            <w:shd w:val="clear" w:color="auto" w:fill="DBDBDB"/>
          </w:tcPr>
          <w:p>
            <w:pPr>
              <w:spacing w:after="0"/>
              <w:rPr>
                <w:sz w:val="23"/>
                <w:szCs w:val="23"/>
                <w:color w:val="auto"/>
              </w:rPr>
            </w:pPr>
          </w:p>
        </w:tc>
        <w:tc>
          <w:tcPr>
            <w:tcW w:w="220" w:type="dxa"/>
            <w:vAlign w:val="bottom"/>
            <w:tcBorders>
              <w:bottom w:val="single" w:sz="8" w:color="auto"/>
            </w:tcBorders>
            <w:shd w:val="clear" w:color="auto" w:fill="DBDBDB"/>
          </w:tcPr>
          <w:p>
            <w:pPr>
              <w:spacing w:after="0"/>
              <w:rPr>
                <w:sz w:val="23"/>
                <w:szCs w:val="23"/>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64"/>
        </w:trPr>
        <w:tc>
          <w:tcPr>
            <w:tcW w:w="7520" w:type="dxa"/>
            <w:vAlign w:val="bottom"/>
            <w:tcBorders>
              <w:bottom w:val="single" w:sz="8" w:color="DBDBDB"/>
            </w:tcBorders>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52,135</w:t>
            </w:r>
          </w:p>
        </w:tc>
        <w:tc>
          <w:tcPr>
            <w:tcW w:w="80" w:type="dxa"/>
            <w:vAlign w:val="bottom"/>
            <w:tcBorders>
              <w:bottom w:val="single" w:sz="8" w:color="DBDBDB"/>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97,097</w:t>
            </w:r>
          </w:p>
        </w:tc>
        <w:tc>
          <w:tcPr>
            <w:tcW w:w="0" w:type="dxa"/>
            <w:vAlign w:val="bottom"/>
          </w:tcPr>
          <w:p>
            <w:pPr>
              <w:spacing w:after="0"/>
              <w:rPr>
                <w:sz w:val="1"/>
                <w:szCs w:val="1"/>
                <w:color w:val="auto"/>
              </w:rPr>
            </w:pPr>
          </w:p>
        </w:tc>
      </w:tr>
      <w:tr>
        <w:trPr>
          <w:trHeight w:val="243"/>
        </w:trPr>
        <w:tc>
          <w:tcPr>
            <w:tcW w:w="752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58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5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5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(40,464)</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(17,280)</w:t>
            </w:r>
          </w:p>
        </w:tc>
        <w:tc>
          <w:tcPr>
            <w:tcW w:w="0" w:type="dxa"/>
            <w:vAlign w:val="bottom"/>
          </w:tcPr>
          <w:p>
            <w:pPr>
              <w:spacing w:after="0"/>
              <w:rPr>
                <w:sz w:val="1"/>
                <w:szCs w:val="1"/>
                <w:color w:val="auto"/>
              </w:rPr>
            </w:pPr>
          </w:p>
        </w:tc>
      </w:tr>
      <w:tr>
        <w:trPr>
          <w:trHeight w:val="263"/>
        </w:trPr>
        <w:tc>
          <w:tcPr>
            <w:tcW w:w="752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Purchases of intangible assets</w:t>
            </w: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80" w:type="dxa"/>
            <w:vAlign w:val="bottom"/>
            <w:tcBorders>
              <w:bottom w:val="single" w:sz="8" w:color="DBDBDB"/>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64"/>
        </w:trPr>
        <w:tc>
          <w:tcPr>
            <w:tcW w:w="7520" w:type="dxa"/>
            <w:vAlign w:val="bottom"/>
            <w:shd w:val="clear" w:color="auto" w:fill="DBDBDB"/>
          </w:tcPr>
          <w:p>
            <w:pPr>
              <w:ind w:left="8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auto"/>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(40,547)</w:t>
            </w:r>
          </w:p>
        </w:tc>
        <w:tc>
          <w:tcPr>
            <w:tcW w:w="80" w:type="dxa"/>
            <w:vAlign w:val="bottom"/>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(17,312)</w:t>
            </w:r>
          </w:p>
        </w:tc>
        <w:tc>
          <w:tcPr>
            <w:tcW w:w="0" w:type="dxa"/>
            <w:vAlign w:val="bottom"/>
          </w:tcPr>
          <w:p>
            <w:pPr>
              <w:spacing w:after="0"/>
              <w:rPr>
                <w:sz w:val="1"/>
                <w:szCs w:val="1"/>
                <w:color w:val="auto"/>
              </w:rPr>
            </w:pPr>
          </w:p>
        </w:tc>
      </w:tr>
      <w:tr>
        <w:trPr>
          <w:trHeight w:val="243"/>
        </w:trPr>
        <w:tc>
          <w:tcPr>
            <w:tcW w:w="7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520" w:type="dxa"/>
            <w:vAlign w:val="bottom"/>
          </w:tcPr>
          <w:p>
            <w:pPr>
              <w:ind w:left="240"/>
              <w:spacing w:after="0"/>
              <w:rPr>
                <w:sz w:val="20"/>
                <w:szCs w:val="20"/>
                <w:color w:val="auto"/>
              </w:rPr>
            </w:pPr>
            <w:r>
              <w:rPr>
                <w:rFonts w:ascii="Arial" w:cs="Arial" w:eastAsia="Arial" w:hAnsi="Arial"/>
                <w:sz w:val="18"/>
                <w:szCs w:val="18"/>
                <w:color w:val="auto"/>
              </w:rPr>
              <w:t>Repayment of Term Loan</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8"/>
        </w:trPr>
        <w:tc>
          <w:tcPr>
            <w:tcW w:w="75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7,090</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3,294</w:t>
            </w:r>
          </w:p>
        </w:tc>
        <w:tc>
          <w:tcPr>
            <w:tcW w:w="0" w:type="dxa"/>
            <w:vAlign w:val="bottom"/>
          </w:tcPr>
          <w:p>
            <w:pPr>
              <w:spacing w:after="0"/>
              <w:rPr>
                <w:sz w:val="1"/>
                <w:szCs w:val="1"/>
                <w:color w:val="auto"/>
              </w:rPr>
            </w:pPr>
          </w:p>
        </w:tc>
      </w:tr>
      <w:tr>
        <w:trPr>
          <w:trHeight w:val="263"/>
        </w:trPr>
        <w:tc>
          <w:tcPr>
            <w:tcW w:w="7520" w:type="dxa"/>
            <w:vAlign w:val="bottom"/>
          </w:tcPr>
          <w:p>
            <w:pPr>
              <w:ind w:left="240"/>
              <w:spacing w:after="0"/>
              <w:rPr>
                <w:sz w:val="20"/>
                <w:szCs w:val="20"/>
                <w:color w:val="auto"/>
              </w:rPr>
            </w:pPr>
            <w:r>
              <w:rPr>
                <w:rFonts w:ascii="Arial" w:cs="Arial" w:eastAsia="Arial" w:hAnsi="Arial"/>
                <w:sz w:val="18"/>
                <w:szCs w:val="18"/>
                <w:color w:val="auto"/>
              </w:rPr>
              <w:t>Taxes paid related to net share settlement of equity awards</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(2,593)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78"/>
        </w:trPr>
        <w:tc>
          <w:tcPr>
            <w:tcW w:w="75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Repurchase of common stock for retirement</w:t>
            </w: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(50,015)</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(88,501)</w:t>
            </w:r>
          </w:p>
        </w:tc>
        <w:tc>
          <w:tcPr>
            <w:tcW w:w="0" w:type="dxa"/>
            <w:vAlign w:val="bottom"/>
          </w:tcPr>
          <w:p>
            <w:pPr>
              <w:spacing w:after="0"/>
              <w:rPr>
                <w:sz w:val="1"/>
                <w:szCs w:val="1"/>
                <w:color w:val="auto"/>
              </w:rPr>
            </w:pPr>
          </w:p>
        </w:tc>
      </w:tr>
      <w:tr>
        <w:trPr>
          <w:trHeight w:val="263"/>
        </w:trPr>
        <w:tc>
          <w:tcPr>
            <w:tcW w:w="752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Dividends paid</w:t>
            </w: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(6,929)</w:t>
            </w:r>
          </w:p>
        </w:tc>
        <w:tc>
          <w:tcPr>
            <w:tcW w:w="80" w:type="dxa"/>
            <w:vAlign w:val="bottom"/>
            <w:tcBorders>
              <w:bottom w:val="single" w:sz="8" w:color="DBDBDB"/>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(6,536)</w:t>
            </w:r>
          </w:p>
        </w:tc>
        <w:tc>
          <w:tcPr>
            <w:tcW w:w="0" w:type="dxa"/>
            <w:vAlign w:val="bottom"/>
          </w:tcPr>
          <w:p>
            <w:pPr>
              <w:spacing w:after="0"/>
              <w:rPr>
                <w:sz w:val="1"/>
                <w:szCs w:val="1"/>
                <w:color w:val="auto"/>
              </w:rPr>
            </w:pPr>
          </w:p>
        </w:tc>
      </w:tr>
      <w:tr>
        <w:trPr>
          <w:trHeight w:val="264"/>
        </w:trPr>
        <w:tc>
          <w:tcPr>
            <w:tcW w:w="7520" w:type="dxa"/>
            <w:vAlign w:val="bottom"/>
            <w:shd w:val="clear" w:color="auto" w:fill="DBDBDB"/>
          </w:tcPr>
          <w:p>
            <w:pPr>
              <w:ind w:left="88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auto"/>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(53,197)</w:t>
            </w:r>
          </w:p>
        </w:tc>
        <w:tc>
          <w:tcPr>
            <w:tcW w:w="80" w:type="dxa"/>
            <w:vAlign w:val="bottom"/>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(93,388)</w:t>
            </w:r>
          </w:p>
        </w:tc>
        <w:tc>
          <w:tcPr>
            <w:tcW w:w="0" w:type="dxa"/>
            <w:vAlign w:val="bottom"/>
          </w:tcPr>
          <w:p>
            <w:pPr>
              <w:spacing w:after="0"/>
              <w:rPr>
                <w:sz w:val="1"/>
                <w:szCs w:val="1"/>
                <w:color w:val="auto"/>
              </w:rPr>
            </w:pPr>
          </w:p>
        </w:tc>
      </w:tr>
      <w:tr>
        <w:trPr>
          <w:trHeight w:val="243"/>
        </w:trPr>
        <w:tc>
          <w:tcPr>
            <w:tcW w:w="7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(41,609)</w:t>
            </w:r>
          </w:p>
        </w:tc>
        <w:tc>
          <w:tcPr>
            <w:tcW w:w="8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(13,603)</w:t>
            </w:r>
          </w:p>
        </w:tc>
        <w:tc>
          <w:tcPr>
            <w:tcW w:w="0" w:type="dxa"/>
            <w:vAlign w:val="bottom"/>
          </w:tcPr>
          <w:p>
            <w:pPr>
              <w:spacing w:after="0"/>
              <w:rPr>
                <w:sz w:val="1"/>
                <w:szCs w:val="1"/>
                <w:color w:val="auto"/>
              </w:rPr>
            </w:pPr>
          </w:p>
        </w:tc>
      </w:tr>
      <w:tr>
        <w:trPr>
          <w:trHeight w:val="263"/>
        </w:trPr>
        <w:tc>
          <w:tcPr>
            <w:tcW w:w="752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337,145</w:t>
            </w:r>
          </w:p>
        </w:tc>
        <w:tc>
          <w:tcPr>
            <w:tcW w:w="80" w:type="dxa"/>
            <w:vAlign w:val="bottom"/>
            <w:tcBorders>
              <w:bottom w:val="single" w:sz="8" w:color="DBDBDB"/>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485,998</w:t>
            </w:r>
          </w:p>
        </w:tc>
        <w:tc>
          <w:tcPr>
            <w:tcW w:w="0" w:type="dxa"/>
            <w:vAlign w:val="bottom"/>
          </w:tcPr>
          <w:p>
            <w:pPr>
              <w:spacing w:after="0"/>
              <w:rPr>
                <w:sz w:val="1"/>
                <w:szCs w:val="1"/>
                <w:color w:val="auto"/>
              </w:rPr>
            </w:pPr>
          </w:p>
        </w:tc>
      </w:tr>
      <w:tr>
        <w:trPr>
          <w:trHeight w:val="290"/>
        </w:trPr>
        <w:tc>
          <w:tcPr>
            <w:tcW w:w="75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295,536</w:t>
            </w:r>
          </w:p>
        </w:tc>
        <w:tc>
          <w:tcPr>
            <w:tcW w:w="30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472,395</w:t>
            </w:r>
          </w:p>
        </w:tc>
        <w:tc>
          <w:tcPr>
            <w:tcW w:w="0" w:type="dxa"/>
            <w:vAlign w:val="bottom"/>
          </w:tcPr>
          <w:p>
            <w:pPr>
              <w:spacing w:after="0"/>
              <w:rPr>
                <w:sz w:val="1"/>
                <w:szCs w:val="1"/>
                <w:color w:val="auto"/>
              </w:rPr>
            </w:pPr>
          </w:p>
        </w:tc>
      </w:tr>
      <w:tr>
        <w:trPr>
          <w:trHeight w:val="20"/>
        </w:trPr>
        <w:tc>
          <w:tcPr>
            <w:tcW w:w="7520" w:type="dxa"/>
            <w:vAlign w:val="bottom"/>
            <w:tcBorders>
              <w:top w:val="single" w:sz="8" w:color="DBDBDB"/>
              <w:bottom w:val="single" w:sz="8" w:color="DBDBDB"/>
            </w:tcBorders>
            <w:vMerge w:val="restart"/>
          </w:tcPr>
          <w:p>
            <w:pPr>
              <w:ind w:left="5560"/>
              <w:spacing w:after="0"/>
              <w:rPr>
                <w:sz w:val="20"/>
                <w:szCs w:val="20"/>
                <w:color w:val="auto"/>
              </w:rPr>
            </w:pPr>
            <w:r>
              <w:rPr>
                <w:rFonts w:ascii="Arial" w:cs="Arial" w:eastAsia="Arial" w:hAnsi="Arial"/>
                <w:sz w:val="14"/>
                <w:szCs w:val="14"/>
                <w:color w:val="auto"/>
              </w:rPr>
              <w:t>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8"/>
        </w:trPr>
        <w:tc>
          <w:tcPr>
            <w:tcW w:w="7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-6703695</wp:posOffset>
            </wp:positionV>
            <wp:extent cx="23399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39975" cy="8255"/>
                    </a:xfrm>
                    <a:prstGeom prst="rect">
                      <a:avLst/>
                    </a:prstGeom>
                    <a:noFill/>
                  </pic:spPr>
                </pic:pic>
              </a:graphicData>
            </a:graphic>
          </wp:anchor>
        </w:drawing>
        <w:drawing>
          <wp:anchor simplePos="0" relativeHeight="251657728" behindDoc="1" locked="0" layoutInCell="0" allowOverlap="1">
            <wp:simplePos x="0" y="0"/>
            <wp:positionH relativeFrom="column">
              <wp:posOffset>4775835</wp:posOffset>
            </wp:positionH>
            <wp:positionV relativeFrom="paragraph">
              <wp:posOffset>-6523990</wp:posOffset>
            </wp:positionV>
            <wp:extent cx="23399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sectPr>
      </w:pPr>
    </w:p>
    <w:bookmarkStart w:id="9" w:name="page10"/>
    <w:bookmarkEnd w:id="9"/>
    <w:p>
      <w:pPr>
        <w:jc w:val="center"/>
        <w:spacing w:after="0" w:line="287" w:lineRule="auto"/>
        <w:rPr>
          <w:sz w:val="20"/>
          <w:szCs w:val="20"/>
          <w:color w:val="auto"/>
        </w:rPr>
      </w:pPr>
      <w:r>
        <w:rPr>
          <w:rFonts w:ascii="Arial" w:cs="Arial" w:eastAsia="Arial" w:hAnsi="Arial"/>
          <w:sz w:val="18"/>
          <w:szCs w:val="18"/>
          <w:b w:val="1"/>
          <w:bCs w:val="1"/>
          <w:color w:val="auto"/>
        </w:rPr>
        <w:t>ACADEMY SPORTS AND OUTDOORS, INC. RECONCILIATIONS OF NON-GAAP TO GAAP FINANCIAL MEASURES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define “Adjusted EBITDA” as net income (loss) before interest expense, net, income tax expense and depreciation, amortization, and impairment, further adjusted to exclude costs such as equity compensation expense, (gain) loss on early retirement of debt, net, payroll taxes associated with a vesting event, as a result of a secondary offering, of certain time and performance-based equity awards, which occurred in May 2021 (the “2021 Vesting Event”) and other adjustments. We define “Adjusted EBIT” as net income (loss) before interest expense, net, and income tax expense, further adjusted to exclude costs such as equity compensation expense, (gain) loss on early retirement of debt, net, payroll taxes associated with the 2021 Vesting Event and other adjustments. We describe these adjustments reconciling net income (loss) to Adjusted EBITDA and Adjusted EBIT in the following table (amounts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800" w:type="dxa"/>
            <w:vAlign w:val="bottom"/>
          </w:tcPr>
          <w:p>
            <w:pPr>
              <w:spacing w:after="0"/>
              <w:rPr>
                <w:sz w:val="21"/>
                <w:szCs w:val="21"/>
                <w:color w:val="auto"/>
              </w:rPr>
            </w:pPr>
          </w:p>
        </w:tc>
        <w:tc>
          <w:tcPr>
            <w:tcW w:w="220" w:type="dxa"/>
            <w:vAlign w:val="bottom"/>
            <w:shd w:val="clear" w:color="auto" w:fill="0A2299"/>
          </w:tcPr>
          <w:p>
            <w:pPr>
              <w:spacing w:after="0"/>
              <w:rPr>
                <w:sz w:val="21"/>
                <w:szCs w:val="21"/>
                <w:color w:val="auto"/>
              </w:rPr>
            </w:pPr>
          </w:p>
        </w:tc>
        <w:tc>
          <w:tcPr>
            <w:tcW w:w="3220" w:type="dxa"/>
            <w:vAlign w:val="bottom"/>
            <w:gridSpan w:val="4"/>
            <w:shd w:val="clear" w:color="auto" w:fill="0A2299"/>
          </w:tcPr>
          <w:p>
            <w:pPr>
              <w:jc w:val="right"/>
              <w:ind w:right="779"/>
              <w:spacing w:after="0"/>
              <w:rPr>
                <w:sz w:val="20"/>
                <w:szCs w:val="20"/>
                <w:color w:val="auto"/>
              </w:rPr>
            </w:pPr>
            <w:r>
              <w:rPr>
                <w:rFonts w:ascii="Arial" w:cs="Arial" w:eastAsia="Arial" w:hAnsi="Arial"/>
                <w:sz w:val="16"/>
                <w:szCs w:val="16"/>
                <w:b w:val="1"/>
                <w:bCs w:val="1"/>
                <w:color w:val="FFFFFF"/>
              </w:rPr>
              <w:t>Thirteen Weeks Ended</w:t>
            </w:r>
          </w:p>
        </w:tc>
      </w:tr>
      <w:tr>
        <w:trPr>
          <w:trHeight w:val="260"/>
        </w:trPr>
        <w:tc>
          <w:tcPr>
            <w:tcW w:w="7800" w:type="dxa"/>
            <w:vAlign w:val="bottom"/>
          </w:tcPr>
          <w:p>
            <w:pPr>
              <w:spacing w:after="0"/>
              <w:rPr>
                <w:sz w:val="22"/>
                <w:szCs w:val="22"/>
                <w:color w:val="auto"/>
              </w:rPr>
            </w:pPr>
          </w:p>
        </w:tc>
        <w:tc>
          <w:tcPr>
            <w:tcW w:w="220" w:type="dxa"/>
            <w:vAlign w:val="bottom"/>
            <w:tcBorders>
              <w:bottom w:val="single" w:sz="8" w:color="0A2299"/>
            </w:tcBorders>
            <w:shd w:val="clear" w:color="auto" w:fill="0A2299"/>
          </w:tcPr>
          <w:p>
            <w:pPr>
              <w:spacing w:after="0"/>
              <w:rPr>
                <w:sz w:val="22"/>
                <w:szCs w:val="22"/>
                <w:color w:val="auto"/>
              </w:rPr>
            </w:pPr>
          </w:p>
        </w:tc>
        <w:tc>
          <w:tcPr>
            <w:tcW w:w="1460" w:type="dxa"/>
            <w:vAlign w:val="bottom"/>
            <w:tcBorders>
              <w:bottom w:val="single" w:sz="8" w:color="0A2299"/>
            </w:tcBorders>
            <w:shd w:val="clear" w:color="auto" w:fill="0A2299"/>
          </w:tcPr>
          <w:p>
            <w:pPr>
              <w:jc w:val="right"/>
              <w:ind w:right="239"/>
              <w:spacing w:after="0"/>
              <w:rPr>
                <w:sz w:val="20"/>
                <w:szCs w:val="20"/>
                <w:color w:val="auto"/>
              </w:rPr>
            </w:pPr>
            <w:r>
              <w:rPr>
                <w:rFonts w:ascii="Arial" w:cs="Arial" w:eastAsia="Arial" w:hAnsi="Arial"/>
                <w:sz w:val="16"/>
                <w:szCs w:val="16"/>
                <w:b w:val="1"/>
                <w:bCs w:val="1"/>
                <w:color w:val="FFFFFF"/>
              </w:rPr>
              <w:t>April 29, 2023</w:t>
            </w:r>
          </w:p>
        </w:tc>
        <w:tc>
          <w:tcPr>
            <w:tcW w:w="80" w:type="dxa"/>
            <w:vAlign w:val="bottom"/>
            <w:tcBorders>
              <w:bottom w:val="single" w:sz="8" w:color="0A2299"/>
            </w:tcBorders>
            <w:shd w:val="clear" w:color="auto" w:fill="0A2299"/>
          </w:tcPr>
          <w:p>
            <w:pPr>
              <w:spacing w:after="0"/>
              <w:rPr>
                <w:sz w:val="22"/>
                <w:szCs w:val="22"/>
                <w:color w:val="auto"/>
              </w:rPr>
            </w:pPr>
          </w:p>
        </w:tc>
        <w:tc>
          <w:tcPr>
            <w:tcW w:w="220" w:type="dxa"/>
            <w:vAlign w:val="bottom"/>
            <w:tcBorders>
              <w:bottom w:val="single" w:sz="8" w:color="0A2299"/>
            </w:tcBorders>
            <w:shd w:val="clear" w:color="auto" w:fill="0A2299"/>
          </w:tcPr>
          <w:p>
            <w:pPr>
              <w:spacing w:after="0"/>
              <w:rPr>
                <w:sz w:val="22"/>
                <w:szCs w:val="22"/>
                <w:color w:val="auto"/>
              </w:rPr>
            </w:pPr>
          </w:p>
        </w:tc>
        <w:tc>
          <w:tcPr>
            <w:tcW w:w="1460" w:type="dxa"/>
            <w:vAlign w:val="bottom"/>
            <w:tcBorders>
              <w:bottom w:val="single" w:sz="8" w:color="0A2299"/>
            </w:tcBorders>
            <w:shd w:val="clear" w:color="auto" w:fill="0A2299"/>
          </w:tcPr>
          <w:p>
            <w:pPr>
              <w:jc w:val="right"/>
              <w:ind w:right="239"/>
              <w:spacing w:after="0"/>
              <w:rPr>
                <w:sz w:val="20"/>
                <w:szCs w:val="20"/>
                <w:color w:val="auto"/>
              </w:rPr>
            </w:pPr>
            <w:r>
              <w:rPr>
                <w:rFonts w:ascii="Arial" w:cs="Arial" w:eastAsia="Arial" w:hAnsi="Arial"/>
                <w:sz w:val="16"/>
                <w:szCs w:val="16"/>
                <w:b w:val="1"/>
                <w:bCs w:val="1"/>
                <w:color w:val="FFFFFF"/>
              </w:rPr>
              <w:t>April 30, 2022</w:t>
            </w:r>
          </w:p>
        </w:tc>
      </w:tr>
      <w:tr>
        <w:trPr>
          <w:trHeight w:val="237"/>
        </w:trPr>
        <w:tc>
          <w:tcPr>
            <w:tcW w:w="7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DBDBDB"/>
            </w:tcBorders>
            <w:shd w:val="clear" w:color="auto" w:fill="DBDBDB"/>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93,970</w:t>
            </w:r>
          </w:p>
        </w:tc>
        <w:tc>
          <w:tcPr>
            <w:tcW w:w="300" w:type="dxa"/>
            <w:vAlign w:val="bottom"/>
            <w:tcBorders>
              <w:bottom w:val="single" w:sz="8" w:color="DBDBDB"/>
            </w:tcBorders>
            <w:gridSpan w:val="2"/>
            <w:shd w:val="clear" w:color="auto" w:fill="DBDBDB"/>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149,806</w:t>
            </w:r>
          </w:p>
        </w:tc>
      </w:tr>
      <w:tr>
        <w:trPr>
          <w:trHeight w:val="239"/>
        </w:trPr>
        <w:tc>
          <w:tcPr>
            <w:tcW w:w="78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11,230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10,920</w:t>
            </w:r>
          </w:p>
        </w:tc>
      </w:tr>
      <w:tr>
        <w:trPr>
          <w:trHeight w:val="247"/>
        </w:trPr>
        <w:tc>
          <w:tcPr>
            <w:tcW w:w="7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24,709</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45,464</w:t>
            </w:r>
          </w:p>
        </w:tc>
      </w:tr>
      <w:tr>
        <w:trPr>
          <w:trHeight w:val="236"/>
        </w:trPr>
        <w:tc>
          <w:tcPr>
            <w:tcW w:w="78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26,261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25,578</w:t>
            </w:r>
          </w:p>
        </w:tc>
      </w:tr>
      <w:tr>
        <w:trPr>
          <w:trHeight w:val="21"/>
        </w:trPr>
        <w:tc>
          <w:tcPr>
            <w:tcW w:w="7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39"/>
        </w:trPr>
        <w:tc>
          <w:tcPr>
            <w:tcW w:w="7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Equity compensation (a)</w:t>
            </w:r>
          </w:p>
        </w:tc>
        <w:tc>
          <w:tcPr>
            <w:tcW w:w="220" w:type="dxa"/>
            <w:vAlign w:val="bottom"/>
            <w:tcBorders>
              <w:bottom w:val="single" w:sz="8" w:color="auto"/>
            </w:tcBorders>
            <w:shd w:val="clear" w:color="auto" w:fill="DBDBDB"/>
          </w:tcPr>
          <w:p>
            <w:pPr>
              <w:spacing w:after="0"/>
              <w:rPr>
                <w:sz w:val="20"/>
                <w:szCs w:val="20"/>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11,382</w:t>
            </w:r>
          </w:p>
        </w:tc>
        <w:tc>
          <w:tcPr>
            <w:tcW w:w="80" w:type="dxa"/>
            <w:vAlign w:val="bottom"/>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3,499</w:t>
            </w:r>
          </w:p>
        </w:tc>
      </w:tr>
      <w:tr>
        <w:trPr>
          <w:trHeight w:val="236"/>
        </w:trPr>
        <w:tc>
          <w:tcPr>
            <w:tcW w:w="7800" w:type="dxa"/>
            <w:vAlign w:val="bottom"/>
          </w:tcPr>
          <w:p>
            <w:pPr>
              <w:ind w:left="240"/>
              <w:spacing w:after="0"/>
              <w:rPr>
                <w:sz w:val="20"/>
                <w:szCs w:val="20"/>
                <w:color w:val="auto"/>
              </w:rPr>
            </w:pPr>
            <w:r>
              <w:rPr>
                <w:rFonts w:ascii="Arial" w:cs="Arial" w:eastAsia="Arial" w:hAnsi="Arial"/>
                <w:sz w:val="16"/>
                <w:szCs w:val="16"/>
                <w:color w:val="auto"/>
              </w:rPr>
              <w:t>Adjusted EBITDA (b)</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167,552</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235,267</w:t>
            </w:r>
          </w:p>
        </w:tc>
      </w:tr>
      <w:tr>
        <w:trPr>
          <w:trHeight w:val="237"/>
        </w:trPr>
        <w:tc>
          <w:tcPr>
            <w:tcW w:w="7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Less: Depreciation and amortization</w:t>
            </w:r>
          </w:p>
        </w:tc>
        <w:tc>
          <w:tcPr>
            <w:tcW w:w="220" w:type="dxa"/>
            <w:vAlign w:val="bottom"/>
            <w:tcBorders>
              <w:top w:val="single" w:sz="8" w:color="auto"/>
              <w:bottom w:val="single" w:sz="8" w:color="auto"/>
            </w:tcBorders>
            <w:shd w:val="clear" w:color="auto" w:fill="DBDBDB"/>
          </w:tcPr>
          <w:p>
            <w:pPr>
              <w:spacing w:after="0"/>
              <w:rPr>
                <w:sz w:val="20"/>
                <w:szCs w:val="20"/>
                <w:color w:val="auto"/>
              </w:rPr>
            </w:pPr>
          </w:p>
        </w:tc>
        <w:tc>
          <w:tcPr>
            <w:tcW w:w="14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(26,261)</w:t>
            </w:r>
          </w:p>
        </w:tc>
        <w:tc>
          <w:tcPr>
            <w:tcW w:w="80" w:type="dxa"/>
            <w:vAlign w:val="bottom"/>
            <w:tcBorders>
              <w:bottom w:val="single" w:sz="8" w:color="DBDBDB"/>
            </w:tcBorders>
            <w:shd w:val="clear" w:color="auto" w:fill="DBDBDB"/>
          </w:tcPr>
          <w:p>
            <w:pPr>
              <w:spacing w:after="0"/>
              <w:rPr>
                <w:sz w:val="20"/>
                <w:szCs w:val="20"/>
                <w:color w:val="auto"/>
              </w:rPr>
            </w:pPr>
          </w:p>
        </w:tc>
        <w:tc>
          <w:tcPr>
            <w:tcW w:w="220" w:type="dxa"/>
            <w:vAlign w:val="bottom"/>
            <w:tcBorders>
              <w:top w:val="single" w:sz="8" w:color="auto"/>
              <w:bottom w:val="single" w:sz="8" w:color="auto"/>
            </w:tcBorders>
            <w:shd w:val="clear" w:color="auto" w:fill="DBDBDB"/>
          </w:tcPr>
          <w:p>
            <w:pPr>
              <w:spacing w:after="0"/>
              <w:rPr>
                <w:sz w:val="20"/>
                <w:szCs w:val="20"/>
                <w:color w:val="auto"/>
              </w:rPr>
            </w:pPr>
          </w:p>
        </w:tc>
        <w:tc>
          <w:tcPr>
            <w:tcW w:w="14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(25,578)</w:t>
            </w:r>
          </w:p>
        </w:tc>
      </w:tr>
      <w:tr>
        <w:trPr>
          <w:trHeight w:val="250"/>
        </w:trPr>
        <w:tc>
          <w:tcPr>
            <w:tcW w:w="7800" w:type="dxa"/>
            <w:vAlign w:val="bottom"/>
          </w:tcPr>
          <w:p>
            <w:pPr>
              <w:ind w:left="240"/>
              <w:spacing w:after="0"/>
              <w:rPr>
                <w:sz w:val="20"/>
                <w:szCs w:val="20"/>
                <w:color w:val="auto"/>
              </w:rPr>
            </w:pPr>
            <w:r>
              <w:rPr>
                <w:rFonts w:ascii="Arial" w:cs="Arial" w:eastAsia="Arial" w:hAnsi="Arial"/>
                <w:sz w:val="16"/>
                <w:szCs w:val="16"/>
                <w:color w:val="auto"/>
              </w:rPr>
              <w:t>Adjusted EBIT (b)</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141,291</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209,689</w:t>
            </w:r>
          </w:p>
        </w:tc>
      </w:tr>
      <w:tr>
        <w:trPr>
          <w:trHeight w:val="24"/>
        </w:trPr>
        <w:tc>
          <w:tcPr>
            <w:tcW w:w="78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-1490980</wp:posOffset>
            </wp:positionV>
            <wp:extent cx="21863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8630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-1328420</wp:posOffset>
            </wp:positionV>
            <wp:extent cx="21863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86305" cy="8255"/>
                    </a:xfrm>
                    <a:prstGeom prst="rect">
                      <a:avLst/>
                    </a:prstGeom>
                    <a:noFill/>
                  </pic:spPr>
                </pic:pic>
              </a:graphicData>
            </a:graphic>
          </wp:anchor>
        </w:drawing>
      </w:r>
    </w:p>
    <w:p>
      <w:pPr>
        <w:spacing w:after="0" w:line="61" w:lineRule="exact"/>
        <w:rPr>
          <w:sz w:val="20"/>
          <w:szCs w:val="20"/>
          <w:color w:val="auto"/>
        </w:rPr>
      </w:pPr>
    </w:p>
    <w:p>
      <w:pPr>
        <w:ind w:left="440" w:right="20" w:hanging="414"/>
        <w:spacing w:after="0" w:line="255" w:lineRule="auto"/>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33" w:lineRule="exact"/>
        <w:rPr>
          <w:rFonts w:ascii="Arial" w:cs="Arial" w:eastAsia="Arial" w:hAnsi="Arial"/>
          <w:sz w:val="13"/>
          <w:szCs w:val="13"/>
          <w:color w:val="auto"/>
        </w:rPr>
      </w:pPr>
    </w:p>
    <w:p>
      <w:pPr>
        <w:ind w:left="440" w:right="20" w:hanging="414"/>
        <w:spacing w:after="0" w:line="255" w:lineRule="auto"/>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Effective January 28, 2023, we no longer exclude pre-opening expenses from our computation of Adjusted EBITDA and Adjusted EBIT. Adjusted EBITDA and Adjusted EBIT for the thirteen weeks ended April 30, 2022 have been revised to the current period computation methodology.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0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Adjusted Net Income and Adjusted Earnings Per Common Share</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define “Adjusted Net Income (Loss)” as net income (loss), plus costs such as equity compensation expense, (gain) loss on early retirement of debt, net, payroll taxes associated with the 2021 Vesting Event and other adjustments, less the tax effect of these adjustments. We define “Adjusted Earnings per Common Share, Basic” as Adjusted Net Income divided by the basic weighted average common shares outstanding during the period and “Adjusted Earnings per Common Share, Diluted” as Adjusted Net Income divided by the diluted weighted average common shares outstanding during the period. We describe these adjustments reconciling net income (loss) to Adjusted Net Income, and Adjusted Earnings Per Common Share in the following table (amounts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800" w:type="dxa"/>
            <w:vAlign w:val="bottom"/>
          </w:tcPr>
          <w:p>
            <w:pPr>
              <w:spacing w:after="0"/>
              <w:rPr>
                <w:sz w:val="21"/>
                <w:szCs w:val="21"/>
                <w:color w:val="auto"/>
              </w:rPr>
            </w:pPr>
          </w:p>
        </w:tc>
        <w:tc>
          <w:tcPr>
            <w:tcW w:w="220" w:type="dxa"/>
            <w:vAlign w:val="bottom"/>
            <w:shd w:val="clear" w:color="auto" w:fill="0A2299"/>
          </w:tcPr>
          <w:p>
            <w:pPr>
              <w:spacing w:after="0"/>
              <w:rPr>
                <w:sz w:val="21"/>
                <w:szCs w:val="21"/>
                <w:color w:val="auto"/>
              </w:rPr>
            </w:pPr>
          </w:p>
        </w:tc>
        <w:tc>
          <w:tcPr>
            <w:tcW w:w="3220" w:type="dxa"/>
            <w:vAlign w:val="bottom"/>
            <w:gridSpan w:val="4"/>
            <w:shd w:val="clear" w:color="auto" w:fill="0A2299"/>
          </w:tcPr>
          <w:p>
            <w:pPr>
              <w:jc w:val="right"/>
              <w:ind w:right="779"/>
              <w:spacing w:after="0"/>
              <w:rPr>
                <w:sz w:val="20"/>
                <w:szCs w:val="20"/>
                <w:color w:val="auto"/>
              </w:rPr>
            </w:pPr>
            <w:r>
              <w:rPr>
                <w:rFonts w:ascii="Arial" w:cs="Arial" w:eastAsia="Arial" w:hAnsi="Arial"/>
                <w:sz w:val="16"/>
                <w:szCs w:val="16"/>
                <w:b w:val="1"/>
                <w:bCs w:val="1"/>
                <w:color w:val="FFFFFF"/>
              </w:rPr>
              <w:t>Thirteen Weeks Ended</w:t>
            </w:r>
          </w:p>
        </w:tc>
      </w:tr>
      <w:tr>
        <w:trPr>
          <w:trHeight w:val="260"/>
        </w:trPr>
        <w:tc>
          <w:tcPr>
            <w:tcW w:w="7800" w:type="dxa"/>
            <w:vAlign w:val="bottom"/>
          </w:tcPr>
          <w:p>
            <w:pPr>
              <w:spacing w:after="0"/>
              <w:rPr>
                <w:sz w:val="22"/>
                <w:szCs w:val="22"/>
                <w:color w:val="auto"/>
              </w:rPr>
            </w:pPr>
          </w:p>
        </w:tc>
        <w:tc>
          <w:tcPr>
            <w:tcW w:w="220" w:type="dxa"/>
            <w:vAlign w:val="bottom"/>
            <w:tcBorders>
              <w:bottom w:val="single" w:sz="8" w:color="0A2299"/>
            </w:tcBorders>
            <w:shd w:val="clear" w:color="auto" w:fill="0A2299"/>
          </w:tcPr>
          <w:p>
            <w:pPr>
              <w:spacing w:after="0"/>
              <w:rPr>
                <w:sz w:val="22"/>
                <w:szCs w:val="22"/>
                <w:color w:val="auto"/>
              </w:rPr>
            </w:pPr>
          </w:p>
        </w:tc>
        <w:tc>
          <w:tcPr>
            <w:tcW w:w="1460" w:type="dxa"/>
            <w:vAlign w:val="bottom"/>
            <w:tcBorders>
              <w:bottom w:val="single" w:sz="8" w:color="0A2299"/>
            </w:tcBorders>
            <w:shd w:val="clear" w:color="auto" w:fill="0A2299"/>
          </w:tcPr>
          <w:p>
            <w:pPr>
              <w:jc w:val="right"/>
              <w:ind w:right="239"/>
              <w:spacing w:after="0"/>
              <w:rPr>
                <w:sz w:val="20"/>
                <w:szCs w:val="20"/>
                <w:color w:val="auto"/>
              </w:rPr>
            </w:pPr>
            <w:r>
              <w:rPr>
                <w:rFonts w:ascii="Arial" w:cs="Arial" w:eastAsia="Arial" w:hAnsi="Arial"/>
                <w:sz w:val="16"/>
                <w:szCs w:val="16"/>
                <w:b w:val="1"/>
                <w:bCs w:val="1"/>
                <w:color w:val="FFFFFF"/>
              </w:rPr>
              <w:t>April 29, 2023</w:t>
            </w:r>
          </w:p>
        </w:tc>
        <w:tc>
          <w:tcPr>
            <w:tcW w:w="80" w:type="dxa"/>
            <w:vAlign w:val="bottom"/>
            <w:tcBorders>
              <w:bottom w:val="single" w:sz="8" w:color="0A2299"/>
            </w:tcBorders>
            <w:shd w:val="clear" w:color="auto" w:fill="0A2299"/>
          </w:tcPr>
          <w:p>
            <w:pPr>
              <w:spacing w:after="0"/>
              <w:rPr>
                <w:sz w:val="22"/>
                <w:szCs w:val="22"/>
                <w:color w:val="auto"/>
              </w:rPr>
            </w:pPr>
          </w:p>
        </w:tc>
        <w:tc>
          <w:tcPr>
            <w:tcW w:w="220" w:type="dxa"/>
            <w:vAlign w:val="bottom"/>
            <w:tcBorders>
              <w:bottom w:val="single" w:sz="8" w:color="0A2299"/>
            </w:tcBorders>
            <w:shd w:val="clear" w:color="auto" w:fill="0A2299"/>
          </w:tcPr>
          <w:p>
            <w:pPr>
              <w:spacing w:after="0"/>
              <w:rPr>
                <w:sz w:val="22"/>
                <w:szCs w:val="22"/>
                <w:color w:val="auto"/>
              </w:rPr>
            </w:pPr>
          </w:p>
        </w:tc>
        <w:tc>
          <w:tcPr>
            <w:tcW w:w="1460" w:type="dxa"/>
            <w:vAlign w:val="bottom"/>
            <w:tcBorders>
              <w:bottom w:val="single" w:sz="8" w:color="0A2299"/>
            </w:tcBorders>
            <w:shd w:val="clear" w:color="auto" w:fill="0A2299"/>
          </w:tcPr>
          <w:p>
            <w:pPr>
              <w:jc w:val="right"/>
              <w:ind w:right="239"/>
              <w:spacing w:after="0"/>
              <w:rPr>
                <w:sz w:val="20"/>
                <w:szCs w:val="20"/>
                <w:color w:val="auto"/>
              </w:rPr>
            </w:pPr>
            <w:r>
              <w:rPr>
                <w:rFonts w:ascii="Arial" w:cs="Arial" w:eastAsia="Arial" w:hAnsi="Arial"/>
                <w:sz w:val="16"/>
                <w:szCs w:val="16"/>
                <w:b w:val="1"/>
                <w:bCs w:val="1"/>
                <w:color w:val="FFFFFF"/>
              </w:rPr>
              <w:t>April 30, 2022</w:t>
            </w:r>
          </w:p>
        </w:tc>
      </w:tr>
      <w:tr>
        <w:trPr>
          <w:trHeight w:val="237"/>
        </w:trPr>
        <w:tc>
          <w:tcPr>
            <w:tcW w:w="7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DBDBDB"/>
            </w:tcBorders>
            <w:shd w:val="clear" w:color="auto" w:fill="DBDBDB"/>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93,970</w:t>
            </w:r>
          </w:p>
        </w:tc>
        <w:tc>
          <w:tcPr>
            <w:tcW w:w="300" w:type="dxa"/>
            <w:vAlign w:val="bottom"/>
            <w:tcBorders>
              <w:bottom w:val="single" w:sz="8" w:color="DBDBDB"/>
            </w:tcBorders>
            <w:gridSpan w:val="2"/>
            <w:shd w:val="clear" w:color="auto" w:fill="DBDBDB"/>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149,806</w:t>
            </w:r>
          </w:p>
        </w:tc>
      </w:tr>
      <w:tr>
        <w:trPr>
          <w:trHeight w:val="239"/>
        </w:trPr>
        <w:tc>
          <w:tcPr>
            <w:tcW w:w="7800" w:type="dxa"/>
            <w:vAlign w:val="bottom"/>
          </w:tcPr>
          <w:p>
            <w:pPr>
              <w:ind w:left="20"/>
              <w:spacing w:after="0"/>
              <w:rPr>
                <w:sz w:val="20"/>
                <w:szCs w:val="20"/>
                <w:color w:val="auto"/>
              </w:rPr>
            </w:pPr>
            <w:r>
              <w:rPr>
                <w:rFonts w:ascii="Arial" w:cs="Arial" w:eastAsia="Arial" w:hAnsi="Arial"/>
                <w:sz w:val="16"/>
                <w:szCs w:val="16"/>
                <w:color w:val="auto"/>
              </w:rPr>
              <w:t>Equity compensation (a)</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11,382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3,499</w:t>
            </w:r>
          </w:p>
        </w:tc>
      </w:tr>
      <w:tr>
        <w:trPr>
          <w:trHeight w:val="243"/>
        </w:trPr>
        <w:tc>
          <w:tcPr>
            <w:tcW w:w="7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Tax effects of these adjustments (b)</w:t>
            </w:r>
          </w:p>
        </w:tc>
        <w:tc>
          <w:tcPr>
            <w:tcW w:w="220" w:type="dxa"/>
            <w:vAlign w:val="bottom"/>
            <w:tcBorders>
              <w:bottom w:val="single" w:sz="8" w:color="auto"/>
            </w:tcBorders>
            <w:shd w:val="clear" w:color="auto" w:fill="DBDBDB"/>
          </w:tcPr>
          <w:p>
            <w:pPr>
              <w:spacing w:after="0"/>
              <w:rPr>
                <w:sz w:val="21"/>
                <w:szCs w:val="21"/>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(2,370)</w:t>
            </w:r>
          </w:p>
        </w:tc>
        <w:tc>
          <w:tcPr>
            <w:tcW w:w="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(816)</w:t>
            </w:r>
          </w:p>
        </w:tc>
      </w:tr>
      <w:tr>
        <w:trPr>
          <w:trHeight w:val="233"/>
        </w:trPr>
        <w:tc>
          <w:tcPr>
            <w:tcW w:w="7800" w:type="dxa"/>
            <w:vAlign w:val="bottom"/>
          </w:tcPr>
          <w:p>
            <w:pPr>
              <w:ind w:left="240"/>
              <w:spacing w:after="0"/>
              <w:rPr>
                <w:sz w:val="20"/>
                <w:szCs w:val="20"/>
                <w:color w:val="auto"/>
              </w:rPr>
            </w:pPr>
            <w:r>
              <w:rPr>
                <w:rFonts w:ascii="Arial" w:cs="Arial" w:eastAsia="Arial" w:hAnsi="Arial"/>
                <w:sz w:val="16"/>
                <w:szCs w:val="16"/>
                <w:color w:val="auto"/>
              </w:rPr>
              <w:t>Adjusted Net Income (c)</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102,982</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152,489</w:t>
            </w:r>
          </w:p>
        </w:tc>
      </w:tr>
      <w:tr>
        <w:trPr>
          <w:trHeight w:val="21"/>
        </w:trPr>
        <w:tc>
          <w:tcPr>
            <w:tcW w:w="7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35"/>
        </w:trPr>
        <w:tc>
          <w:tcPr>
            <w:tcW w:w="780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14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1460" w:type="dxa"/>
            <w:vAlign w:val="bottom"/>
            <w:shd w:val="clear" w:color="auto" w:fill="DBDBDB"/>
          </w:tcPr>
          <w:p>
            <w:pPr>
              <w:spacing w:after="0"/>
              <w:rPr>
                <w:sz w:val="11"/>
                <w:szCs w:val="11"/>
                <w:color w:val="auto"/>
              </w:rPr>
            </w:pPr>
          </w:p>
        </w:tc>
      </w:tr>
      <w:tr>
        <w:trPr>
          <w:trHeight w:val="224"/>
        </w:trPr>
        <w:tc>
          <w:tcPr>
            <w:tcW w:w="780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8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1.22</w:t>
            </w:r>
          </w:p>
        </w:tc>
        <w:tc>
          <w:tcPr>
            <w:tcW w:w="300" w:type="dxa"/>
            <w:vAlign w:val="bottom"/>
            <w:gridSpan w:val="2"/>
            <w:shd w:val="clear" w:color="auto" w:fill="DBDBDB"/>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1.73</w:t>
            </w:r>
          </w:p>
        </w:tc>
      </w:tr>
      <w:tr>
        <w:trPr>
          <w:trHeight w:val="235"/>
        </w:trPr>
        <w:tc>
          <w:tcPr>
            <w:tcW w:w="7800" w:type="dxa"/>
            <w:vAlign w:val="bottom"/>
          </w:tcPr>
          <w:p>
            <w:pPr>
              <w:ind w:left="240"/>
              <w:spacing w:after="0"/>
              <w:rPr>
                <w:sz w:val="20"/>
                <w:szCs w:val="20"/>
                <w:color w:val="auto"/>
              </w:rPr>
            </w:pPr>
            <w:r>
              <w:rPr>
                <w:rFonts w:ascii="Arial" w:cs="Arial" w:eastAsia="Arial" w:hAnsi="Arial"/>
                <w:sz w:val="16"/>
                <w:szCs w:val="16"/>
                <w:color w:val="auto"/>
              </w:rPr>
              <w:t>Diluted</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1.19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1"/>
        </w:trPr>
        <w:tc>
          <w:tcPr>
            <w:tcW w:w="7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43"/>
        </w:trPr>
        <w:tc>
          <w:tcPr>
            <w:tcW w:w="7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Earnings per Common Share:</w:t>
            </w:r>
          </w:p>
        </w:tc>
        <w:tc>
          <w:tcPr>
            <w:tcW w:w="220" w:type="dxa"/>
            <w:vAlign w:val="bottom"/>
            <w:shd w:val="clear" w:color="auto" w:fill="DBDBDB"/>
          </w:tcPr>
          <w:p>
            <w:pPr>
              <w:spacing w:after="0"/>
              <w:rPr>
                <w:sz w:val="21"/>
                <w:szCs w:val="21"/>
                <w:color w:val="auto"/>
              </w:rPr>
            </w:pPr>
          </w:p>
        </w:tc>
        <w:tc>
          <w:tcPr>
            <w:tcW w:w="146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460" w:type="dxa"/>
            <w:vAlign w:val="bottom"/>
            <w:shd w:val="clear" w:color="auto" w:fill="DBDBDB"/>
          </w:tcPr>
          <w:p>
            <w:pPr>
              <w:spacing w:after="0"/>
              <w:rPr>
                <w:sz w:val="21"/>
                <w:szCs w:val="21"/>
                <w:color w:val="auto"/>
              </w:rPr>
            </w:pPr>
          </w:p>
        </w:tc>
      </w:tr>
      <w:tr>
        <w:trPr>
          <w:trHeight w:val="239"/>
        </w:trPr>
        <w:tc>
          <w:tcPr>
            <w:tcW w:w="7800" w:type="dxa"/>
            <w:vAlign w:val="bottom"/>
          </w:tcPr>
          <w:p>
            <w:pPr>
              <w:ind w:left="24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1.34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40"/>
        </w:trPr>
        <w:tc>
          <w:tcPr>
            <w:tcW w:w="780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DBDBDB"/>
            </w:tcBorders>
            <w:shd w:val="clear" w:color="auto" w:fill="DBDBDB"/>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1.30</w:t>
            </w:r>
          </w:p>
        </w:tc>
        <w:tc>
          <w:tcPr>
            <w:tcW w:w="300" w:type="dxa"/>
            <w:vAlign w:val="bottom"/>
            <w:tcBorders>
              <w:bottom w:val="single" w:sz="8" w:color="DBDBDB"/>
            </w:tcBorders>
            <w:gridSpan w:val="2"/>
            <w:shd w:val="clear" w:color="auto" w:fill="DBDBDB"/>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1.72</w:t>
            </w:r>
          </w:p>
        </w:tc>
      </w:tr>
      <w:tr>
        <w:trPr>
          <w:trHeight w:val="233"/>
        </w:trPr>
        <w:tc>
          <w:tcPr>
            <w:tcW w:w="780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3"/>
        </w:trPr>
        <w:tc>
          <w:tcPr>
            <w:tcW w:w="78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76,862</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86,658</w:t>
            </w:r>
          </w:p>
        </w:tc>
      </w:tr>
      <w:tr>
        <w:trPr>
          <w:trHeight w:val="236"/>
        </w:trPr>
        <w:tc>
          <w:tcPr>
            <w:tcW w:w="7800" w:type="dxa"/>
            <w:vAlign w:val="bottom"/>
          </w:tcPr>
          <w:p>
            <w:pPr>
              <w:ind w:left="24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79,288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88,614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-2309495</wp:posOffset>
            </wp:positionV>
            <wp:extent cx="21863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8630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-2146300</wp:posOffset>
            </wp:positionV>
            <wp:extent cx="21863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86305" cy="8255"/>
                    </a:xfrm>
                    <a:prstGeom prst="rect">
                      <a:avLst/>
                    </a:prstGeom>
                    <a:noFill/>
                  </pic:spPr>
                </pic:pic>
              </a:graphicData>
            </a:graphic>
          </wp:anchor>
        </w:drawing>
      </w:r>
    </w:p>
    <w:p>
      <w:pPr>
        <w:spacing w:after="0" w:line="122" w:lineRule="exact"/>
        <w:rPr>
          <w:sz w:val="20"/>
          <w:szCs w:val="20"/>
          <w:color w:val="auto"/>
        </w:rPr>
      </w:pPr>
    </w:p>
    <w:p>
      <w:pPr>
        <w:ind w:left="460" w:right="20" w:hanging="434"/>
        <w:spacing w:after="0" w:line="255" w:lineRule="auto"/>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33" w:lineRule="exact"/>
        <w:rPr>
          <w:rFonts w:ascii="Arial" w:cs="Arial" w:eastAsia="Arial" w:hAnsi="Arial"/>
          <w:sz w:val="13"/>
          <w:szCs w:val="13"/>
          <w:color w:val="auto"/>
        </w:rPr>
      </w:pPr>
    </w:p>
    <w:p>
      <w:pPr>
        <w:ind w:left="460" w:right="20" w:hanging="434"/>
        <w:spacing w:after="0" w:line="255" w:lineRule="auto"/>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For the thirteen weeks ended April 29, 2023 and April 30, 2022, this represents the estimated tax effect (by using the projected full year tax rates for the respective years) of the total adjustments made to arrive at Adjusted Net Income.</w:t>
      </w:r>
    </w:p>
    <w:p>
      <w:pPr>
        <w:spacing w:after="0" w:line="46" w:lineRule="exact"/>
        <w:rPr>
          <w:rFonts w:ascii="Arial" w:cs="Arial" w:eastAsia="Arial" w:hAnsi="Arial"/>
          <w:sz w:val="13"/>
          <w:szCs w:val="13"/>
          <w:color w:val="auto"/>
        </w:rPr>
      </w:pPr>
    </w:p>
    <w:p>
      <w:pPr>
        <w:ind w:left="460" w:right="20" w:hanging="434"/>
        <w:spacing w:after="0" w:line="255" w:lineRule="auto"/>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Effective January 28, 2023, we no longer exclude pre-opening expenses from our computation of Adjusted Net Income. Adjusted Net Income for the thirteen weeks ended April 30, 2022 has been revised to the current period computation methodology.</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GAAP to Adjusted Earnings Per Common Share, Diluted, Guidance Reconciliation (amounts in millions, except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560" w:type="dxa"/>
            <w:vAlign w:val="bottom"/>
          </w:tcPr>
          <w:p>
            <w:pPr>
              <w:spacing w:after="0"/>
              <w:rPr>
                <w:sz w:val="21"/>
                <w:szCs w:val="21"/>
                <w:color w:val="auto"/>
              </w:rPr>
            </w:pPr>
          </w:p>
        </w:tc>
        <w:tc>
          <w:tcPr>
            <w:tcW w:w="260" w:type="dxa"/>
            <w:vAlign w:val="bottom"/>
            <w:shd w:val="clear" w:color="auto" w:fill="0A2299"/>
          </w:tcPr>
          <w:p>
            <w:pPr>
              <w:spacing w:after="0"/>
              <w:rPr>
                <w:sz w:val="21"/>
                <w:szCs w:val="21"/>
                <w:color w:val="auto"/>
              </w:rPr>
            </w:pPr>
          </w:p>
        </w:tc>
        <w:tc>
          <w:tcPr>
            <w:tcW w:w="2040" w:type="dxa"/>
            <w:vAlign w:val="bottom"/>
            <w:shd w:val="clear" w:color="auto" w:fill="0A2299"/>
          </w:tcPr>
          <w:p>
            <w:pPr>
              <w:jc w:val="center"/>
              <w:ind w:right="199"/>
              <w:spacing w:after="0"/>
              <w:rPr>
                <w:sz w:val="20"/>
                <w:szCs w:val="20"/>
                <w:color w:val="auto"/>
              </w:rPr>
            </w:pPr>
            <w:r>
              <w:rPr>
                <w:rFonts w:ascii="Arial" w:cs="Arial" w:eastAsia="Arial" w:hAnsi="Arial"/>
                <w:sz w:val="16"/>
                <w:szCs w:val="16"/>
                <w:b w:val="1"/>
                <w:bCs w:val="1"/>
                <w:color w:val="FFFFFF"/>
              </w:rPr>
              <w:t>Low Range*</w:t>
            </w:r>
          </w:p>
        </w:tc>
        <w:tc>
          <w:tcPr>
            <w:tcW w:w="80" w:type="dxa"/>
            <w:vAlign w:val="bottom"/>
            <w:shd w:val="clear" w:color="auto" w:fill="0A2299"/>
          </w:tcPr>
          <w:p>
            <w:pPr>
              <w:spacing w:after="0"/>
              <w:rPr>
                <w:sz w:val="21"/>
                <w:szCs w:val="21"/>
                <w:color w:val="auto"/>
              </w:rPr>
            </w:pPr>
          </w:p>
        </w:tc>
        <w:tc>
          <w:tcPr>
            <w:tcW w:w="280" w:type="dxa"/>
            <w:vAlign w:val="bottom"/>
            <w:shd w:val="clear" w:color="auto" w:fill="0A2299"/>
          </w:tcPr>
          <w:p>
            <w:pPr>
              <w:spacing w:after="0"/>
              <w:rPr>
                <w:sz w:val="21"/>
                <w:szCs w:val="21"/>
                <w:color w:val="auto"/>
              </w:rPr>
            </w:pPr>
          </w:p>
        </w:tc>
        <w:tc>
          <w:tcPr>
            <w:tcW w:w="2020" w:type="dxa"/>
            <w:vAlign w:val="bottom"/>
            <w:shd w:val="clear" w:color="auto" w:fill="0A2299"/>
          </w:tcPr>
          <w:p>
            <w:pPr>
              <w:jc w:val="center"/>
              <w:ind w:right="199"/>
              <w:spacing w:after="0"/>
              <w:rPr>
                <w:sz w:val="20"/>
                <w:szCs w:val="20"/>
                <w:color w:val="auto"/>
              </w:rPr>
            </w:pPr>
            <w:r>
              <w:rPr>
                <w:rFonts w:ascii="Arial" w:cs="Arial" w:eastAsia="Arial" w:hAnsi="Arial"/>
                <w:sz w:val="16"/>
                <w:szCs w:val="16"/>
                <w:b w:val="1"/>
                <w:bCs w:val="1"/>
                <w:color w:val="FFFFFF"/>
              </w:rPr>
              <w:t>High Range*</w:t>
            </w:r>
          </w:p>
        </w:tc>
      </w:tr>
      <w:tr>
        <w:trPr>
          <w:trHeight w:val="208"/>
        </w:trPr>
        <w:tc>
          <w:tcPr>
            <w:tcW w:w="6560" w:type="dxa"/>
            <w:vAlign w:val="bottom"/>
          </w:tcPr>
          <w:p>
            <w:pPr>
              <w:spacing w:after="0"/>
              <w:rPr>
                <w:sz w:val="18"/>
                <w:szCs w:val="18"/>
                <w:color w:val="auto"/>
              </w:rPr>
            </w:pPr>
          </w:p>
        </w:tc>
        <w:tc>
          <w:tcPr>
            <w:tcW w:w="260" w:type="dxa"/>
            <w:vAlign w:val="bottom"/>
            <w:shd w:val="clear" w:color="auto" w:fill="0A2299"/>
          </w:tcPr>
          <w:p>
            <w:pPr>
              <w:spacing w:after="0"/>
              <w:rPr>
                <w:sz w:val="18"/>
                <w:szCs w:val="18"/>
                <w:color w:val="auto"/>
              </w:rPr>
            </w:pPr>
          </w:p>
        </w:tc>
        <w:tc>
          <w:tcPr>
            <w:tcW w:w="2040" w:type="dxa"/>
            <w:vAlign w:val="bottom"/>
            <w:shd w:val="clear" w:color="auto" w:fill="0A2299"/>
          </w:tcPr>
          <w:p>
            <w:pPr>
              <w:jc w:val="center"/>
              <w:ind w:right="199"/>
              <w:spacing w:after="0"/>
              <w:rPr>
                <w:sz w:val="20"/>
                <w:szCs w:val="20"/>
                <w:color w:val="auto"/>
              </w:rPr>
            </w:pPr>
            <w:r>
              <w:rPr>
                <w:rFonts w:ascii="Arial" w:cs="Arial" w:eastAsia="Arial" w:hAnsi="Arial"/>
                <w:sz w:val="16"/>
                <w:szCs w:val="16"/>
                <w:b w:val="1"/>
                <w:bCs w:val="1"/>
                <w:color w:val="FFFFFF"/>
              </w:rPr>
              <w:t>Fiscal Year Ending</w:t>
            </w:r>
          </w:p>
        </w:tc>
        <w:tc>
          <w:tcPr>
            <w:tcW w:w="80" w:type="dxa"/>
            <w:vAlign w:val="bottom"/>
            <w:shd w:val="clear" w:color="auto" w:fill="0A2299"/>
          </w:tcPr>
          <w:p>
            <w:pPr>
              <w:spacing w:after="0"/>
              <w:rPr>
                <w:sz w:val="18"/>
                <w:szCs w:val="18"/>
                <w:color w:val="auto"/>
              </w:rPr>
            </w:pPr>
          </w:p>
        </w:tc>
        <w:tc>
          <w:tcPr>
            <w:tcW w:w="280" w:type="dxa"/>
            <w:vAlign w:val="bottom"/>
            <w:shd w:val="clear" w:color="auto" w:fill="0A2299"/>
          </w:tcPr>
          <w:p>
            <w:pPr>
              <w:spacing w:after="0"/>
              <w:rPr>
                <w:sz w:val="18"/>
                <w:szCs w:val="18"/>
                <w:color w:val="auto"/>
              </w:rPr>
            </w:pPr>
          </w:p>
        </w:tc>
        <w:tc>
          <w:tcPr>
            <w:tcW w:w="2020" w:type="dxa"/>
            <w:vAlign w:val="bottom"/>
            <w:shd w:val="clear" w:color="auto" w:fill="0A2299"/>
          </w:tcPr>
          <w:p>
            <w:pPr>
              <w:jc w:val="center"/>
              <w:ind w:right="179"/>
              <w:spacing w:after="0"/>
              <w:rPr>
                <w:sz w:val="20"/>
                <w:szCs w:val="20"/>
                <w:color w:val="auto"/>
              </w:rPr>
            </w:pPr>
            <w:r>
              <w:rPr>
                <w:rFonts w:ascii="Arial" w:cs="Arial" w:eastAsia="Arial" w:hAnsi="Arial"/>
                <w:sz w:val="16"/>
                <w:szCs w:val="16"/>
                <w:b w:val="1"/>
                <w:bCs w:val="1"/>
                <w:color w:val="FFFFFF"/>
              </w:rPr>
              <w:t>Fiscal Year Ending</w:t>
            </w:r>
          </w:p>
        </w:tc>
      </w:tr>
      <w:tr>
        <w:trPr>
          <w:trHeight w:val="228"/>
        </w:trPr>
        <w:tc>
          <w:tcPr>
            <w:tcW w:w="6560" w:type="dxa"/>
            <w:vAlign w:val="bottom"/>
          </w:tcPr>
          <w:p>
            <w:pPr>
              <w:spacing w:after="0"/>
              <w:rPr>
                <w:sz w:val="19"/>
                <w:szCs w:val="19"/>
                <w:color w:val="auto"/>
              </w:rPr>
            </w:pPr>
          </w:p>
        </w:tc>
        <w:tc>
          <w:tcPr>
            <w:tcW w:w="260" w:type="dxa"/>
            <w:vAlign w:val="bottom"/>
            <w:tcBorders>
              <w:bottom w:val="single" w:sz="8" w:color="0A2299"/>
            </w:tcBorders>
            <w:shd w:val="clear" w:color="auto" w:fill="0A2299"/>
          </w:tcPr>
          <w:p>
            <w:pPr>
              <w:spacing w:after="0"/>
              <w:rPr>
                <w:sz w:val="19"/>
                <w:szCs w:val="19"/>
                <w:color w:val="auto"/>
              </w:rPr>
            </w:pPr>
          </w:p>
        </w:tc>
        <w:tc>
          <w:tcPr>
            <w:tcW w:w="2040" w:type="dxa"/>
            <w:vAlign w:val="bottom"/>
            <w:tcBorders>
              <w:bottom w:val="single" w:sz="8" w:color="0A2299"/>
            </w:tcBorders>
            <w:shd w:val="clear" w:color="auto" w:fill="0A2299"/>
          </w:tcPr>
          <w:p>
            <w:pPr>
              <w:jc w:val="center"/>
              <w:ind w:right="199"/>
              <w:spacing w:after="0"/>
              <w:rPr>
                <w:sz w:val="20"/>
                <w:szCs w:val="20"/>
                <w:color w:val="auto"/>
              </w:rPr>
            </w:pPr>
            <w:r>
              <w:rPr>
                <w:rFonts w:ascii="Arial" w:cs="Arial" w:eastAsia="Arial" w:hAnsi="Arial"/>
                <w:sz w:val="16"/>
                <w:szCs w:val="16"/>
                <w:b w:val="1"/>
                <w:bCs w:val="1"/>
                <w:color w:val="FFFFFF"/>
              </w:rPr>
              <w:t>February 3, 2024</w:t>
            </w:r>
          </w:p>
        </w:tc>
        <w:tc>
          <w:tcPr>
            <w:tcW w:w="80" w:type="dxa"/>
            <w:vAlign w:val="bottom"/>
            <w:tcBorders>
              <w:bottom w:val="single" w:sz="8" w:color="0A2299"/>
            </w:tcBorders>
            <w:shd w:val="clear" w:color="auto" w:fill="0A2299"/>
          </w:tcPr>
          <w:p>
            <w:pPr>
              <w:spacing w:after="0"/>
              <w:rPr>
                <w:sz w:val="19"/>
                <w:szCs w:val="19"/>
                <w:color w:val="auto"/>
              </w:rPr>
            </w:pPr>
          </w:p>
        </w:tc>
        <w:tc>
          <w:tcPr>
            <w:tcW w:w="280" w:type="dxa"/>
            <w:vAlign w:val="bottom"/>
            <w:tcBorders>
              <w:bottom w:val="single" w:sz="8" w:color="0A2299"/>
            </w:tcBorders>
            <w:shd w:val="clear" w:color="auto" w:fill="0A2299"/>
          </w:tcPr>
          <w:p>
            <w:pPr>
              <w:spacing w:after="0"/>
              <w:rPr>
                <w:sz w:val="19"/>
                <w:szCs w:val="19"/>
                <w:color w:val="auto"/>
              </w:rPr>
            </w:pPr>
          </w:p>
        </w:tc>
        <w:tc>
          <w:tcPr>
            <w:tcW w:w="2020" w:type="dxa"/>
            <w:vAlign w:val="bottom"/>
            <w:tcBorders>
              <w:bottom w:val="single" w:sz="8" w:color="0A2299"/>
            </w:tcBorders>
            <w:shd w:val="clear" w:color="auto" w:fill="0A2299"/>
          </w:tcPr>
          <w:p>
            <w:pPr>
              <w:jc w:val="center"/>
              <w:ind w:right="179"/>
              <w:spacing w:after="0"/>
              <w:rPr>
                <w:sz w:val="20"/>
                <w:szCs w:val="20"/>
                <w:color w:val="auto"/>
              </w:rPr>
            </w:pPr>
            <w:r>
              <w:rPr>
                <w:rFonts w:ascii="Arial" w:cs="Arial" w:eastAsia="Arial" w:hAnsi="Arial"/>
                <w:sz w:val="16"/>
                <w:szCs w:val="16"/>
                <w:b w:val="1"/>
                <w:bCs w:val="1"/>
                <w:color w:val="FFFFFF"/>
              </w:rPr>
              <w:t>February 3, 2024</w:t>
            </w:r>
          </w:p>
        </w:tc>
      </w:tr>
      <w:tr>
        <w:trPr>
          <w:trHeight w:val="256"/>
        </w:trPr>
        <w:tc>
          <w:tcPr>
            <w:tcW w:w="6560" w:type="dxa"/>
            <w:vAlign w:val="bottom"/>
            <w:shd w:val="clear" w:color="auto" w:fill="DBDBDB"/>
          </w:tcPr>
          <w:p>
            <w:pPr>
              <w:ind w:left="20"/>
              <w:spacing w:after="0"/>
              <w:rPr>
                <w:sz w:val="20"/>
                <w:szCs w:val="20"/>
                <w:color w:val="auto"/>
              </w:rPr>
            </w:pPr>
            <w:r>
              <w:rPr>
                <w:rFonts w:ascii="Arial" w:cs="Arial" w:eastAsia="Arial" w:hAnsi="Arial"/>
                <w:sz w:val="16"/>
                <w:szCs w:val="16"/>
                <w:color w:val="auto"/>
              </w:rPr>
              <w:t>GAAP Net Income</w:t>
            </w: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520</w:t>
            </w:r>
          </w:p>
        </w:tc>
        <w:tc>
          <w:tcPr>
            <w:tcW w:w="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575</w:t>
            </w:r>
          </w:p>
        </w:tc>
      </w:tr>
      <w:tr>
        <w:trPr>
          <w:trHeight w:val="224"/>
        </w:trPr>
        <w:tc>
          <w:tcPr>
            <w:tcW w:w="6560" w:type="dxa"/>
            <w:vAlign w:val="bottom"/>
          </w:tcPr>
          <w:p>
            <w:pPr>
              <w:ind w:left="20"/>
              <w:spacing w:after="0"/>
              <w:rPr>
                <w:sz w:val="20"/>
                <w:szCs w:val="20"/>
                <w:color w:val="auto"/>
              </w:rPr>
            </w:pPr>
            <w:r>
              <w:rPr>
                <w:rFonts w:ascii="Arial" w:cs="Arial" w:eastAsia="Arial" w:hAnsi="Arial"/>
                <w:sz w:val="16"/>
                <w:szCs w:val="16"/>
                <w:color w:val="auto"/>
              </w:rPr>
              <w:t xml:space="preserve">Equity compensation </w:t>
            </w:r>
            <w:r>
              <w:rPr>
                <w:rFonts w:ascii="Arial" w:cs="Arial" w:eastAsia="Arial" w:hAnsi="Arial"/>
                <w:sz w:val="12"/>
                <w:szCs w:val="12"/>
                <w:color w:val="auto"/>
              </w:rPr>
              <w:t>(a)</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6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6"/>
        </w:trPr>
        <w:tc>
          <w:tcPr>
            <w:tcW w:w="6560" w:type="dxa"/>
            <w:vAlign w:val="bottom"/>
            <w:shd w:val="clear" w:color="auto" w:fill="DBDBDB"/>
          </w:tcPr>
          <w:p>
            <w:pPr>
              <w:ind w:left="20"/>
              <w:spacing w:after="0"/>
              <w:rPr>
                <w:sz w:val="20"/>
                <w:szCs w:val="20"/>
                <w:color w:val="auto"/>
              </w:rPr>
            </w:pPr>
            <w:r>
              <w:rPr>
                <w:rFonts w:ascii="Arial" w:cs="Arial" w:eastAsia="Arial" w:hAnsi="Arial"/>
                <w:sz w:val="16"/>
                <w:szCs w:val="16"/>
                <w:color w:val="auto"/>
              </w:rPr>
              <w:t xml:space="preserve">Tax effects of these adjustments </w:t>
            </w:r>
            <w:r>
              <w:rPr>
                <w:rFonts w:ascii="Arial" w:cs="Arial" w:eastAsia="Arial" w:hAnsi="Arial"/>
                <w:sz w:val="12"/>
                <w:szCs w:val="12"/>
                <w:color w:val="auto"/>
              </w:rPr>
              <w:t>(a)</w:t>
            </w:r>
          </w:p>
        </w:tc>
        <w:tc>
          <w:tcPr>
            <w:tcW w:w="260" w:type="dxa"/>
            <w:vAlign w:val="bottom"/>
            <w:tcBorders>
              <w:bottom w:val="single" w:sz="8" w:color="auto"/>
            </w:tcBorders>
            <w:shd w:val="clear" w:color="auto" w:fill="DBDBDB"/>
          </w:tcPr>
          <w:p>
            <w:pPr>
              <w:spacing w:after="0"/>
              <w:rPr>
                <w:sz w:val="20"/>
                <w:szCs w:val="20"/>
                <w:color w:val="auto"/>
              </w:rPr>
            </w:pP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DBDBDB"/>
          </w:tcPr>
          <w:p>
            <w:pPr>
              <w:spacing w:after="0"/>
              <w:rPr>
                <w:sz w:val="20"/>
                <w:szCs w:val="20"/>
                <w:color w:val="auto"/>
              </w:rPr>
            </w:pPr>
          </w:p>
        </w:tc>
        <w:tc>
          <w:tcPr>
            <w:tcW w:w="280" w:type="dxa"/>
            <w:vAlign w:val="bottom"/>
            <w:tcBorders>
              <w:bottom w:val="single" w:sz="8" w:color="auto"/>
            </w:tcBorders>
            <w:shd w:val="clear" w:color="auto" w:fill="DBDBDB"/>
          </w:tcPr>
          <w:p>
            <w:pPr>
              <w:spacing w:after="0"/>
              <w:rPr>
                <w:sz w:val="20"/>
                <w:szCs w:val="20"/>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w:t>
            </w:r>
          </w:p>
        </w:tc>
      </w:tr>
      <w:tr>
        <w:trPr>
          <w:trHeight w:val="243"/>
        </w:trPr>
        <w:tc>
          <w:tcPr>
            <w:tcW w:w="6560" w:type="dxa"/>
            <w:vAlign w:val="bottom"/>
          </w:tcPr>
          <w:p>
            <w:pPr>
              <w:ind w:left="240"/>
              <w:spacing w:after="0"/>
              <w:rPr>
                <w:sz w:val="20"/>
                <w:szCs w:val="20"/>
                <w:color w:val="auto"/>
              </w:rPr>
            </w:pPr>
            <w:r>
              <w:rPr>
                <w:rFonts w:ascii="Arial" w:cs="Arial" w:eastAsia="Arial" w:hAnsi="Arial"/>
                <w:sz w:val="16"/>
                <w:szCs w:val="16"/>
                <w:color w:val="auto"/>
              </w:rPr>
              <w:t>Adjusted 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545</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0"/>
        </w:trPr>
        <w:tc>
          <w:tcPr>
            <w:tcW w:w="6560" w:type="dxa"/>
            <w:vAlign w:val="bottom"/>
            <w:tcBorders>
              <w:bottom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56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20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2020" w:type="dxa"/>
            <w:vAlign w:val="bottom"/>
            <w:shd w:val="clear" w:color="auto" w:fill="DBDBDB"/>
          </w:tcPr>
          <w:p>
            <w:pPr>
              <w:spacing w:after="0"/>
              <w:rPr>
                <w:sz w:val="20"/>
                <w:szCs w:val="20"/>
                <w:color w:val="auto"/>
              </w:rPr>
            </w:pPr>
          </w:p>
        </w:tc>
      </w:tr>
      <w:tr>
        <w:trPr>
          <w:trHeight w:val="224"/>
        </w:trPr>
        <w:tc>
          <w:tcPr>
            <w:tcW w:w="6560" w:type="dxa"/>
            <w:vAlign w:val="bottom"/>
          </w:tcPr>
          <w:p>
            <w:pPr>
              <w:ind w:left="20"/>
              <w:spacing w:after="0"/>
              <w:rPr>
                <w:sz w:val="20"/>
                <w:szCs w:val="20"/>
                <w:color w:val="auto"/>
              </w:rPr>
            </w:pPr>
            <w:r>
              <w:rPr>
                <w:rFonts w:ascii="Arial" w:cs="Arial" w:eastAsia="Arial" w:hAnsi="Arial"/>
                <w:sz w:val="16"/>
                <w:szCs w:val="16"/>
                <w:color w:val="auto"/>
              </w:rPr>
              <w:t>GAAP Earnings Per Common Share, 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6.50</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7.20</w:t>
            </w:r>
          </w:p>
        </w:tc>
      </w:tr>
      <w:tr>
        <w:trPr>
          <w:trHeight w:val="33"/>
        </w:trPr>
        <w:tc>
          <w:tcPr>
            <w:tcW w:w="6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3"/>
        </w:trPr>
        <w:tc>
          <w:tcPr>
            <w:tcW w:w="6560" w:type="dxa"/>
            <w:vAlign w:val="bottom"/>
            <w:shd w:val="clear" w:color="auto" w:fill="DBDBDB"/>
          </w:tcPr>
          <w:p>
            <w:pPr>
              <w:ind w:left="20"/>
              <w:spacing w:after="0"/>
              <w:rPr>
                <w:sz w:val="20"/>
                <w:szCs w:val="20"/>
                <w:color w:val="auto"/>
              </w:rPr>
            </w:pPr>
            <w:r>
              <w:rPr>
                <w:rFonts w:ascii="Arial" w:cs="Arial" w:eastAsia="Arial" w:hAnsi="Arial"/>
                <w:sz w:val="16"/>
                <w:szCs w:val="16"/>
                <w:color w:val="auto"/>
              </w:rPr>
              <w:t xml:space="preserve">Equity compensation </w:t>
            </w:r>
            <w:r>
              <w:rPr>
                <w:rFonts w:ascii="Arial" w:cs="Arial" w:eastAsia="Arial" w:hAnsi="Arial"/>
                <w:sz w:val="12"/>
                <w:szCs w:val="12"/>
                <w:color w:val="auto"/>
              </w:rPr>
              <w:t>(a)</w:t>
            </w:r>
          </w:p>
        </w:tc>
        <w:tc>
          <w:tcPr>
            <w:tcW w:w="260" w:type="dxa"/>
            <w:vAlign w:val="bottom"/>
            <w:shd w:val="clear" w:color="auto" w:fill="DBDBDB"/>
          </w:tcPr>
          <w:p>
            <w:pPr>
              <w:spacing w:after="0"/>
              <w:rPr>
                <w:sz w:val="21"/>
                <w:szCs w:val="21"/>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0.41</w:t>
            </w:r>
          </w:p>
        </w:tc>
        <w:tc>
          <w:tcPr>
            <w:tcW w:w="8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0.41</w:t>
            </w:r>
          </w:p>
        </w:tc>
      </w:tr>
      <w:tr>
        <w:trPr>
          <w:trHeight w:val="250"/>
        </w:trPr>
        <w:tc>
          <w:tcPr>
            <w:tcW w:w="65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 xml:space="preserve">Tax effects of these adjustments </w:t>
            </w:r>
            <w:r>
              <w:rPr>
                <w:rFonts w:ascii="Arial" w:cs="Arial" w:eastAsia="Arial" w:hAnsi="Arial"/>
                <w:sz w:val="12"/>
                <w:szCs w:val="12"/>
                <w:color w:val="auto"/>
              </w:rPr>
              <w:t>(a)</w:t>
            </w:r>
          </w:p>
        </w:tc>
        <w:tc>
          <w:tcPr>
            <w:tcW w:w="2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80" w:type="dxa"/>
            <w:vAlign w:val="bottom"/>
            <w:tcBorders>
              <w:bottom w:val="single" w:sz="8" w:color="DBDBDB"/>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r>
      <w:tr>
        <w:trPr>
          <w:trHeight w:val="263"/>
        </w:trPr>
        <w:tc>
          <w:tcPr>
            <w:tcW w:w="65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Adjusted Earnings per Common Share, Diluted</w:t>
            </w: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6.80</w:t>
            </w:r>
          </w:p>
        </w:tc>
        <w:tc>
          <w:tcPr>
            <w:tcW w:w="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7.50</w:t>
            </w:r>
          </w:p>
        </w:tc>
      </w:tr>
      <w:tr>
        <w:trPr>
          <w:trHeight w:val="20"/>
        </w:trPr>
        <w:tc>
          <w:tcPr>
            <w:tcW w:w="656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-1799590</wp:posOffset>
            </wp:positionV>
            <wp:extent cx="29749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74975"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-1508125</wp:posOffset>
            </wp:positionV>
            <wp:extent cx="29749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74975" cy="8255"/>
                    </a:xfrm>
                    <a:prstGeom prst="rect">
                      <a:avLst/>
                    </a:prstGeom>
                    <a:noFill/>
                  </pic:spPr>
                </pic:pic>
              </a:graphicData>
            </a:graphic>
          </wp:anchor>
        </w:drawing>
      </w:r>
    </w:p>
    <w:p>
      <w:pPr>
        <w:spacing w:after="0" w:line="236" w:lineRule="exact"/>
        <w:rPr>
          <w:sz w:val="20"/>
          <w:szCs w:val="20"/>
          <w:color w:val="auto"/>
        </w:rPr>
      </w:pPr>
    </w:p>
    <w:p>
      <w:pPr>
        <w:ind w:left="400" w:hanging="374"/>
        <w:spacing w:after="0"/>
        <w:tabs>
          <w:tab w:leader="none" w:pos="400" w:val="left"/>
        </w:tabs>
        <w:numPr>
          <w:ilvl w:val="0"/>
          <w:numId w:val="7"/>
        </w:numPr>
        <w:rPr>
          <w:rFonts w:ascii="Arial" w:cs="Arial" w:eastAsia="Arial" w:hAnsi="Arial"/>
          <w:sz w:val="13"/>
          <w:szCs w:val="13"/>
          <w:color w:val="auto"/>
        </w:rPr>
      </w:pPr>
      <w:r>
        <w:rPr>
          <w:rFonts w:ascii="Arial" w:cs="Arial" w:eastAsia="Arial" w:hAnsi="Arial"/>
          <w:sz w:val="13"/>
          <w:szCs w:val="13"/>
          <w:color w:val="auto"/>
        </w:rPr>
        <w:t>Amounts presented have been rounded.</w:t>
      </w:r>
    </w:p>
    <w:p>
      <w:pPr>
        <w:spacing w:after="0" w:line="53" w:lineRule="exact"/>
        <w:rPr>
          <w:sz w:val="20"/>
          <w:szCs w:val="20"/>
          <w:color w:val="auto"/>
        </w:rPr>
      </w:pPr>
    </w:p>
    <w:p>
      <w:pPr>
        <w:ind w:left="400" w:right="20" w:hanging="374"/>
        <w:spacing w:after="0" w:line="255" w:lineRule="auto"/>
        <w:tabs>
          <w:tab w:leader="none" w:pos="400" w:val="left"/>
        </w:tabs>
        <w:numPr>
          <w:ilvl w:val="0"/>
          <w:numId w:val="8"/>
        </w:numPr>
        <w:rPr>
          <w:rFonts w:ascii="Arial" w:cs="Arial" w:eastAsia="Arial" w:hAnsi="Arial"/>
          <w:sz w:val="13"/>
          <w:szCs w:val="13"/>
          <w:color w:val="auto"/>
        </w:rPr>
      </w:pPr>
      <w:r>
        <w:rPr>
          <w:rFonts w:ascii="Arial" w:cs="Arial" w:eastAsia="Arial" w:hAnsi="Arial"/>
          <w:sz w:val="13"/>
          <w:szCs w:val="13"/>
          <w:color w:val="auto"/>
        </w:rPr>
        <w:t>Adjustments include non-cash charges related to equity-based compensation (as defined above), which may vary from period to period. The tax effect of these adjustments is determined by using the projected full year tax rate for the fiscal year.</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98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“Adjusted Free Cash Flow” as net cash provided by (used in) operating activities less net cash used in investing activities. We describe these adjustments reconciling net cash provided by operating activities to Adjusted Free Cash Flow in the following table (amounts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480" w:type="dxa"/>
            <w:vAlign w:val="bottom"/>
          </w:tcPr>
          <w:p>
            <w:pPr>
              <w:spacing w:after="0"/>
              <w:rPr>
                <w:sz w:val="21"/>
                <w:szCs w:val="21"/>
                <w:color w:val="auto"/>
              </w:rPr>
            </w:pPr>
          </w:p>
        </w:tc>
        <w:tc>
          <w:tcPr>
            <w:tcW w:w="280" w:type="dxa"/>
            <w:vAlign w:val="bottom"/>
            <w:shd w:val="clear" w:color="auto" w:fill="0A2299"/>
          </w:tcPr>
          <w:p>
            <w:pPr>
              <w:spacing w:after="0"/>
              <w:rPr>
                <w:sz w:val="21"/>
                <w:szCs w:val="21"/>
                <w:color w:val="auto"/>
              </w:rPr>
            </w:pPr>
          </w:p>
        </w:tc>
        <w:tc>
          <w:tcPr>
            <w:tcW w:w="3480" w:type="dxa"/>
            <w:vAlign w:val="bottom"/>
            <w:gridSpan w:val="4"/>
            <w:shd w:val="clear" w:color="auto" w:fill="0A2299"/>
          </w:tcPr>
          <w:p>
            <w:pPr>
              <w:ind w:left="740"/>
              <w:spacing w:after="0"/>
              <w:rPr>
                <w:sz w:val="20"/>
                <w:szCs w:val="20"/>
                <w:color w:val="auto"/>
              </w:rPr>
            </w:pPr>
            <w:r>
              <w:rPr>
                <w:rFonts w:ascii="Arial" w:cs="Arial" w:eastAsia="Arial" w:hAnsi="Arial"/>
                <w:sz w:val="16"/>
                <w:szCs w:val="16"/>
                <w:b w:val="1"/>
                <w:bCs w:val="1"/>
                <w:color w:val="FFFFFF"/>
              </w:rPr>
              <w:t>Thirteen Weeks Ended</w:t>
            </w:r>
          </w:p>
        </w:tc>
      </w:tr>
      <w:tr>
        <w:trPr>
          <w:trHeight w:val="246"/>
        </w:trPr>
        <w:tc>
          <w:tcPr>
            <w:tcW w:w="7480" w:type="dxa"/>
            <w:vAlign w:val="bottom"/>
          </w:tcPr>
          <w:p>
            <w:pPr>
              <w:spacing w:after="0"/>
              <w:rPr>
                <w:sz w:val="21"/>
                <w:szCs w:val="21"/>
                <w:color w:val="auto"/>
              </w:rPr>
            </w:pPr>
          </w:p>
        </w:tc>
        <w:tc>
          <w:tcPr>
            <w:tcW w:w="280" w:type="dxa"/>
            <w:vAlign w:val="bottom"/>
            <w:tcBorders>
              <w:bottom w:val="single" w:sz="8" w:color="0A2299"/>
            </w:tcBorders>
            <w:shd w:val="clear" w:color="auto" w:fill="0A2299"/>
          </w:tcPr>
          <w:p>
            <w:pPr>
              <w:spacing w:after="0"/>
              <w:rPr>
                <w:sz w:val="21"/>
                <w:szCs w:val="21"/>
                <w:color w:val="auto"/>
              </w:rPr>
            </w:pPr>
          </w:p>
        </w:tc>
        <w:tc>
          <w:tcPr>
            <w:tcW w:w="1580" w:type="dxa"/>
            <w:vAlign w:val="bottom"/>
            <w:tcBorders>
              <w:bottom w:val="single" w:sz="8" w:color="0A2299"/>
            </w:tcBorders>
            <w:shd w:val="clear" w:color="auto" w:fill="0A2299"/>
          </w:tcPr>
          <w:p>
            <w:pPr>
              <w:jc w:val="right"/>
              <w:ind w:right="319"/>
              <w:spacing w:after="0"/>
              <w:rPr>
                <w:sz w:val="20"/>
                <w:szCs w:val="20"/>
                <w:color w:val="auto"/>
              </w:rPr>
            </w:pPr>
            <w:r>
              <w:rPr>
                <w:rFonts w:ascii="Arial" w:cs="Arial" w:eastAsia="Arial" w:hAnsi="Arial"/>
                <w:sz w:val="16"/>
                <w:szCs w:val="16"/>
                <w:b w:val="1"/>
                <w:bCs w:val="1"/>
                <w:color w:val="FFFFFF"/>
              </w:rPr>
              <w:t>April 29, 2023</w:t>
            </w:r>
          </w:p>
        </w:tc>
        <w:tc>
          <w:tcPr>
            <w:tcW w:w="100" w:type="dxa"/>
            <w:vAlign w:val="bottom"/>
            <w:tcBorders>
              <w:bottom w:val="single" w:sz="8" w:color="0A2299"/>
            </w:tcBorders>
            <w:shd w:val="clear" w:color="auto" w:fill="0A2299"/>
          </w:tcPr>
          <w:p>
            <w:pPr>
              <w:spacing w:after="0"/>
              <w:rPr>
                <w:sz w:val="21"/>
                <w:szCs w:val="21"/>
                <w:color w:val="auto"/>
              </w:rPr>
            </w:pPr>
          </w:p>
        </w:tc>
        <w:tc>
          <w:tcPr>
            <w:tcW w:w="240" w:type="dxa"/>
            <w:vAlign w:val="bottom"/>
            <w:tcBorders>
              <w:bottom w:val="single" w:sz="8" w:color="0A2299"/>
            </w:tcBorders>
            <w:shd w:val="clear" w:color="auto" w:fill="0A2299"/>
          </w:tcPr>
          <w:p>
            <w:pPr>
              <w:spacing w:after="0"/>
              <w:rPr>
                <w:sz w:val="21"/>
                <w:szCs w:val="21"/>
                <w:color w:val="auto"/>
              </w:rPr>
            </w:pPr>
          </w:p>
        </w:tc>
        <w:tc>
          <w:tcPr>
            <w:tcW w:w="1560" w:type="dxa"/>
            <w:vAlign w:val="bottom"/>
            <w:tcBorders>
              <w:bottom w:val="single" w:sz="8" w:color="0A2299"/>
            </w:tcBorders>
            <w:shd w:val="clear" w:color="auto" w:fill="0A2299"/>
          </w:tcPr>
          <w:p>
            <w:pPr>
              <w:ind w:left="140"/>
              <w:spacing w:after="0"/>
              <w:rPr>
                <w:sz w:val="20"/>
                <w:szCs w:val="20"/>
                <w:color w:val="auto"/>
              </w:rPr>
            </w:pPr>
            <w:r>
              <w:rPr>
                <w:rFonts w:ascii="Arial" w:cs="Arial" w:eastAsia="Arial" w:hAnsi="Arial"/>
                <w:sz w:val="16"/>
                <w:szCs w:val="16"/>
                <w:b w:val="1"/>
                <w:bCs w:val="1"/>
                <w:color w:val="FFFFFF"/>
              </w:rPr>
              <w:t>April 30, 2022</w:t>
            </w:r>
          </w:p>
        </w:tc>
      </w:tr>
      <w:tr>
        <w:trPr>
          <w:trHeight w:val="257"/>
        </w:trPr>
        <w:tc>
          <w:tcPr>
            <w:tcW w:w="748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52,135</w:t>
            </w:r>
          </w:p>
        </w:tc>
        <w:tc>
          <w:tcPr>
            <w:tcW w:w="34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DBDBDB"/>
          </w:tcPr>
          <w:p>
            <w:pPr>
              <w:jc w:val="center"/>
              <w:ind w:left="839"/>
              <w:spacing w:after="0"/>
              <w:rPr>
                <w:sz w:val="20"/>
                <w:szCs w:val="20"/>
                <w:color w:val="auto"/>
              </w:rPr>
            </w:pPr>
            <w:r>
              <w:rPr>
                <w:rFonts w:ascii="Arial" w:cs="Arial" w:eastAsia="Arial" w:hAnsi="Arial"/>
                <w:sz w:val="16"/>
                <w:szCs w:val="16"/>
                <w:color w:val="auto"/>
                <w:w w:val="98"/>
              </w:rPr>
              <w:t>97,097</w:t>
            </w:r>
          </w:p>
        </w:tc>
      </w:tr>
      <w:tr>
        <w:trPr>
          <w:trHeight w:val="250"/>
        </w:trPr>
        <w:tc>
          <w:tcPr>
            <w:tcW w:w="74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(40,547)</w:t>
            </w:r>
          </w:p>
        </w:tc>
        <w:tc>
          <w:tcPr>
            <w:tcW w:w="100" w:type="dxa"/>
            <w:vAlign w:val="bottom"/>
            <w:tcBorders>
              <w:bottom w:val="single" w:sz="8" w:color="DBDBDB"/>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left="819"/>
              <w:spacing w:after="0"/>
              <w:rPr>
                <w:sz w:val="20"/>
                <w:szCs w:val="20"/>
                <w:color w:val="auto"/>
              </w:rPr>
            </w:pPr>
            <w:r>
              <w:rPr>
                <w:rFonts w:ascii="Arial" w:cs="Arial" w:eastAsia="Arial" w:hAnsi="Arial"/>
                <w:sz w:val="16"/>
                <w:szCs w:val="16"/>
                <w:color w:val="auto"/>
              </w:rPr>
              <w:t>(17,312)</w:t>
            </w:r>
          </w:p>
        </w:tc>
      </w:tr>
      <w:tr>
        <w:trPr>
          <w:trHeight w:val="263"/>
        </w:trPr>
        <w:tc>
          <w:tcPr>
            <w:tcW w:w="74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Adjusted Free Cash Flow</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11,588</w:t>
            </w:r>
          </w:p>
        </w:tc>
        <w:tc>
          <w:tcPr>
            <w:tcW w:w="34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DBDBDB"/>
          </w:tcPr>
          <w:p>
            <w:pPr>
              <w:jc w:val="center"/>
              <w:ind w:left="839"/>
              <w:spacing w:after="0"/>
              <w:rPr>
                <w:sz w:val="20"/>
                <w:szCs w:val="20"/>
                <w:color w:val="auto"/>
              </w:rPr>
            </w:pPr>
            <w:r>
              <w:rPr>
                <w:rFonts w:ascii="Arial" w:cs="Arial" w:eastAsia="Arial" w:hAnsi="Arial"/>
                <w:sz w:val="16"/>
                <w:szCs w:val="16"/>
                <w:color w:val="auto"/>
                <w:w w:val="98"/>
              </w:rPr>
              <w:t>79,785</w:t>
            </w:r>
          </w:p>
        </w:tc>
      </w:tr>
      <w:tr>
        <w:trPr>
          <w:trHeight w:val="20"/>
        </w:trPr>
        <w:tc>
          <w:tcPr>
            <w:tcW w:w="74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-694055</wp:posOffset>
            </wp:positionV>
            <wp:extent cx="23831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8315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-522605</wp:posOffset>
            </wp:positionV>
            <wp:extent cx="23831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Free Cash Flow, Guidance Reconciliation (amounts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520" w:type="dxa"/>
            <w:vAlign w:val="bottom"/>
          </w:tcPr>
          <w:p>
            <w:pPr>
              <w:spacing w:after="0"/>
              <w:rPr>
                <w:sz w:val="21"/>
                <w:szCs w:val="21"/>
                <w:color w:val="auto"/>
              </w:rPr>
            </w:pPr>
          </w:p>
        </w:tc>
        <w:tc>
          <w:tcPr>
            <w:tcW w:w="160" w:type="dxa"/>
            <w:vAlign w:val="bottom"/>
            <w:shd w:val="clear" w:color="auto" w:fill="0A2299"/>
          </w:tcPr>
          <w:p>
            <w:pPr>
              <w:spacing w:after="0"/>
              <w:rPr>
                <w:sz w:val="21"/>
                <w:szCs w:val="21"/>
                <w:color w:val="auto"/>
              </w:rPr>
            </w:pPr>
          </w:p>
        </w:tc>
        <w:tc>
          <w:tcPr>
            <w:tcW w:w="1660" w:type="dxa"/>
            <w:vAlign w:val="bottom"/>
            <w:shd w:val="clear" w:color="auto" w:fill="0A2299"/>
          </w:tcPr>
          <w:p>
            <w:pPr>
              <w:jc w:val="center"/>
              <w:ind w:right="59"/>
              <w:spacing w:after="0"/>
              <w:rPr>
                <w:sz w:val="20"/>
                <w:szCs w:val="20"/>
                <w:color w:val="auto"/>
              </w:rPr>
            </w:pPr>
            <w:r>
              <w:rPr>
                <w:rFonts w:ascii="Arial" w:cs="Arial" w:eastAsia="Arial" w:hAnsi="Arial"/>
                <w:sz w:val="16"/>
                <w:szCs w:val="16"/>
                <w:b w:val="1"/>
                <w:bCs w:val="1"/>
                <w:color w:val="FFFFFF"/>
              </w:rPr>
              <w:t>Low Range*</w:t>
            </w:r>
          </w:p>
        </w:tc>
        <w:tc>
          <w:tcPr>
            <w:tcW w:w="100" w:type="dxa"/>
            <w:vAlign w:val="bottom"/>
            <w:shd w:val="clear" w:color="auto" w:fill="0A2299"/>
          </w:tcPr>
          <w:p>
            <w:pPr>
              <w:spacing w:after="0"/>
              <w:rPr>
                <w:sz w:val="21"/>
                <w:szCs w:val="21"/>
                <w:color w:val="auto"/>
              </w:rPr>
            </w:pPr>
          </w:p>
        </w:tc>
        <w:tc>
          <w:tcPr>
            <w:tcW w:w="140" w:type="dxa"/>
            <w:vAlign w:val="bottom"/>
            <w:shd w:val="clear" w:color="auto" w:fill="0A2299"/>
          </w:tcPr>
          <w:p>
            <w:pPr>
              <w:spacing w:after="0"/>
              <w:rPr>
                <w:sz w:val="21"/>
                <w:szCs w:val="21"/>
                <w:color w:val="auto"/>
              </w:rPr>
            </w:pPr>
          </w:p>
        </w:tc>
        <w:tc>
          <w:tcPr>
            <w:tcW w:w="1660" w:type="dxa"/>
            <w:vAlign w:val="bottom"/>
            <w:shd w:val="clear" w:color="auto" w:fill="0A2299"/>
          </w:tcPr>
          <w:p>
            <w:pPr>
              <w:jc w:val="center"/>
              <w:ind w:right="59"/>
              <w:spacing w:after="0"/>
              <w:rPr>
                <w:sz w:val="20"/>
                <w:szCs w:val="20"/>
                <w:color w:val="auto"/>
              </w:rPr>
            </w:pPr>
            <w:r>
              <w:rPr>
                <w:rFonts w:ascii="Arial" w:cs="Arial" w:eastAsia="Arial" w:hAnsi="Arial"/>
                <w:sz w:val="16"/>
                <w:szCs w:val="16"/>
                <w:b w:val="1"/>
                <w:bCs w:val="1"/>
                <w:color w:val="FFFFFF"/>
              </w:rPr>
              <w:t>High Range*</w:t>
            </w:r>
          </w:p>
        </w:tc>
      </w:tr>
      <w:tr>
        <w:trPr>
          <w:trHeight w:val="221"/>
        </w:trPr>
        <w:tc>
          <w:tcPr>
            <w:tcW w:w="7520" w:type="dxa"/>
            <w:vAlign w:val="bottom"/>
          </w:tcPr>
          <w:p>
            <w:pPr>
              <w:spacing w:after="0"/>
              <w:rPr>
                <w:sz w:val="19"/>
                <w:szCs w:val="19"/>
                <w:color w:val="auto"/>
              </w:rPr>
            </w:pPr>
          </w:p>
        </w:tc>
        <w:tc>
          <w:tcPr>
            <w:tcW w:w="160" w:type="dxa"/>
            <w:vAlign w:val="bottom"/>
            <w:shd w:val="clear" w:color="auto" w:fill="0A2299"/>
          </w:tcPr>
          <w:p>
            <w:pPr>
              <w:spacing w:after="0"/>
              <w:rPr>
                <w:sz w:val="19"/>
                <w:szCs w:val="19"/>
                <w:color w:val="auto"/>
              </w:rPr>
            </w:pPr>
          </w:p>
        </w:tc>
        <w:tc>
          <w:tcPr>
            <w:tcW w:w="1660" w:type="dxa"/>
            <w:vAlign w:val="bottom"/>
            <w:shd w:val="clear" w:color="auto" w:fill="0A2299"/>
          </w:tcPr>
          <w:p>
            <w:pPr>
              <w:jc w:val="center"/>
              <w:ind w:right="59"/>
              <w:spacing w:after="0"/>
              <w:rPr>
                <w:sz w:val="20"/>
                <w:szCs w:val="20"/>
                <w:color w:val="auto"/>
              </w:rPr>
            </w:pPr>
            <w:r>
              <w:rPr>
                <w:rFonts w:ascii="Arial" w:cs="Arial" w:eastAsia="Arial" w:hAnsi="Arial"/>
                <w:sz w:val="16"/>
                <w:szCs w:val="16"/>
                <w:b w:val="1"/>
                <w:bCs w:val="1"/>
                <w:color w:val="FFFFFF"/>
              </w:rPr>
              <w:t>Fiscal Year Ending</w:t>
            </w:r>
          </w:p>
        </w:tc>
        <w:tc>
          <w:tcPr>
            <w:tcW w:w="100" w:type="dxa"/>
            <w:vAlign w:val="bottom"/>
            <w:shd w:val="clear" w:color="auto" w:fill="0A2299"/>
          </w:tcPr>
          <w:p>
            <w:pPr>
              <w:spacing w:after="0"/>
              <w:rPr>
                <w:sz w:val="19"/>
                <w:szCs w:val="19"/>
                <w:color w:val="auto"/>
              </w:rPr>
            </w:pPr>
          </w:p>
        </w:tc>
        <w:tc>
          <w:tcPr>
            <w:tcW w:w="140" w:type="dxa"/>
            <w:vAlign w:val="bottom"/>
            <w:shd w:val="clear" w:color="auto" w:fill="0A2299"/>
          </w:tcPr>
          <w:p>
            <w:pPr>
              <w:spacing w:after="0"/>
              <w:rPr>
                <w:sz w:val="19"/>
                <w:szCs w:val="19"/>
                <w:color w:val="auto"/>
              </w:rPr>
            </w:pPr>
          </w:p>
        </w:tc>
        <w:tc>
          <w:tcPr>
            <w:tcW w:w="1660" w:type="dxa"/>
            <w:vAlign w:val="bottom"/>
            <w:shd w:val="clear" w:color="auto" w:fill="0A2299"/>
          </w:tcPr>
          <w:p>
            <w:pPr>
              <w:jc w:val="center"/>
              <w:ind w:right="59"/>
              <w:spacing w:after="0"/>
              <w:rPr>
                <w:sz w:val="20"/>
                <w:szCs w:val="20"/>
                <w:color w:val="auto"/>
              </w:rPr>
            </w:pPr>
            <w:r>
              <w:rPr>
                <w:rFonts w:ascii="Arial" w:cs="Arial" w:eastAsia="Arial" w:hAnsi="Arial"/>
                <w:sz w:val="16"/>
                <w:szCs w:val="16"/>
                <w:b w:val="1"/>
                <w:bCs w:val="1"/>
                <w:color w:val="FFFFFF"/>
              </w:rPr>
              <w:t>Fiscal Year Ending</w:t>
            </w:r>
          </w:p>
        </w:tc>
      </w:tr>
      <w:tr>
        <w:trPr>
          <w:trHeight w:val="228"/>
        </w:trPr>
        <w:tc>
          <w:tcPr>
            <w:tcW w:w="7520" w:type="dxa"/>
            <w:vAlign w:val="bottom"/>
          </w:tcPr>
          <w:p>
            <w:pPr>
              <w:spacing w:after="0"/>
              <w:rPr>
                <w:sz w:val="19"/>
                <w:szCs w:val="19"/>
                <w:color w:val="auto"/>
              </w:rPr>
            </w:pPr>
          </w:p>
        </w:tc>
        <w:tc>
          <w:tcPr>
            <w:tcW w:w="160" w:type="dxa"/>
            <w:vAlign w:val="bottom"/>
            <w:tcBorders>
              <w:bottom w:val="single" w:sz="8" w:color="0A2299"/>
            </w:tcBorders>
            <w:shd w:val="clear" w:color="auto" w:fill="0A2299"/>
          </w:tcPr>
          <w:p>
            <w:pPr>
              <w:spacing w:after="0"/>
              <w:rPr>
                <w:sz w:val="19"/>
                <w:szCs w:val="19"/>
                <w:color w:val="auto"/>
              </w:rPr>
            </w:pPr>
          </w:p>
        </w:tc>
        <w:tc>
          <w:tcPr>
            <w:tcW w:w="1660" w:type="dxa"/>
            <w:vAlign w:val="bottom"/>
            <w:tcBorders>
              <w:bottom w:val="single" w:sz="8" w:color="0A2299"/>
            </w:tcBorders>
            <w:shd w:val="clear" w:color="auto" w:fill="0A2299"/>
          </w:tcPr>
          <w:p>
            <w:pPr>
              <w:jc w:val="center"/>
              <w:ind w:right="59"/>
              <w:spacing w:after="0"/>
              <w:rPr>
                <w:sz w:val="20"/>
                <w:szCs w:val="20"/>
                <w:color w:val="auto"/>
              </w:rPr>
            </w:pPr>
            <w:r>
              <w:rPr>
                <w:rFonts w:ascii="Arial" w:cs="Arial" w:eastAsia="Arial" w:hAnsi="Arial"/>
                <w:sz w:val="16"/>
                <w:szCs w:val="16"/>
                <w:b w:val="1"/>
                <w:bCs w:val="1"/>
                <w:color w:val="FFFFFF"/>
              </w:rPr>
              <w:t>February 3, 2024</w:t>
            </w:r>
          </w:p>
        </w:tc>
        <w:tc>
          <w:tcPr>
            <w:tcW w:w="100" w:type="dxa"/>
            <w:vAlign w:val="bottom"/>
            <w:tcBorders>
              <w:bottom w:val="single" w:sz="8" w:color="0A2299"/>
            </w:tcBorders>
            <w:shd w:val="clear" w:color="auto" w:fill="0A2299"/>
          </w:tcPr>
          <w:p>
            <w:pPr>
              <w:spacing w:after="0"/>
              <w:rPr>
                <w:sz w:val="19"/>
                <w:szCs w:val="19"/>
                <w:color w:val="auto"/>
              </w:rPr>
            </w:pPr>
          </w:p>
        </w:tc>
        <w:tc>
          <w:tcPr>
            <w:tcW w:w="140" w:type="dxa"/>
            <w:vAlign w:val="bottom"/>
            <w:tcBorders>
              <w:bottom w:val="single" w:sz="8" w:color="0A2299"/>
            </w:tcBorders>
            <w:shd w:val="clear" w:color="auto" w:fill="0A2299"/>
          </w:tcPr>
          <w:p>
            <w:pPr>
              <w:spacing w:after="0"/>
              <w:rPr>
                <w:sz w:val="19"/>
                <w:szCs w:val="19"/>
                <w:color w:val="auto"/>
              </w:rPr>
            </w:pPr>
          </w:p>
        </w:tc>
        <w:tc>
          <w:tcPr>
            <w:tcW w:w="1660" w:type="dxa"/>
            <w:vAlign w:val="bottom"/>
            <w:tcBorders>
              <w:bottom w:val="single" w:sz="8" w:color="0A2299"/>
            </w:tcBorders>
            <w:shd w:val="clear" w:color="auto" w:fill="0A2299"/>
          </w:tcPr>
          <w:p>
            <w:pPr>
              <w:jc w:val="center"/>
              <w:ind w:right="59"/>
              <w:spacing w:after="0"/>
              <w:rPr>
                <w:sz w:val="20"/>
                <w:szCs w:val="20"/>
                <w:color w:val="auto"/>
              </w:rPr>
            </w:pPr>
            <w:r>
              <w:rPr>
                <w:rFonts w:ascii="Arial" w:cs="Arial" w:eastAsia="Arial" w:hAnsi="Arial"/>
                <w:sz w:val="16"/>
                <w:szCs w:val="16"/>
                <w:b w:val="1"/>
                <w:bCs w:val="1"/>
                <w:color w:val="FFFFFF"/>
              </w:rPr>
              <w:t>February 3, 2024</w:t>
            </w:r>
          </w:p>
        </w:tc>
      </w:tr>
      <w:tr>
        <w:trPr>
          <w:trHeight w:val="237"/>
        </w:trPr>
        <w:tc>
          <w:tcPr>
            <w:tcW w:w="7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600</w:t>
            </w:r>
          </w:p>
        </w:tc>
        <w:tc>
          <w:tcPr>
            <w:tcW w:w="240" w:type="dxa"/>
            <w:vAlign w:val="bottom"/>
            <w:tcBorders>
              <w:bottom w:val="single" w:sz="8" w:color="DBDBDB"/>
            </w:tcBorders>
            <w:gridSpan w:val="2"/>
            <w:shd w:val="clear" w:color="auto" w:fill="DBDBDB"/>
          </w:tcPr>
          <w:p>
            <w:pPr>
              <w:jc w:val="right"/>
              <w:ind w:right="4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700</w:t>
            </w:r>
          </w:p>
        </w:tc>
      </w:tr>
      <w:tr>
        <w:trPr>
          <w:trHeight w:val="237"/>
        </w:trPr>
        <w:tc>
          <w:tcPr>
            <w:tcW w:w="75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r>
      <w:tr>
        <w:trPr>
          <w:trHeight w:val="263"/>
        </w:trPr>
        <w:tc>
          <w:tcPr>
            <w:tcW w:w="7520" w:type="dxa"/>
            <w:vAlign w:val="bottom"/>
            <w:shd w:val="clear" w:color="auto" w:fill="DBDBDB"/>
          </w:tcPr>
          <w:p>
            <w:pPr>
              <w:ind w:left="400"/>
              <w:spacing w:after="0"/>
              <w:rPr>
                <w:sz w:val="20"/>
                <w:szCs w:val="20"/>
                <w:color w:val="auto"/>
              </w:rPr>
            </w:pPr>
            <w:r>
              <w:rPr>
                <w:rFonts w:ascii="Arial" w:cs="Arial" w:eastAsia="Arial" w:hAnsi="Arial"/>
                <w:sz w:val="16"/>
                <w:szCs w:val="16"/>
                <w:color w:val="auto"/>
              </w:rPr>
              <w:t>Adjusted Free Cash Flow</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400</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6"/>
                <w:szCs w:val="16"/>
                <w:color w:val="auto"/>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450</w:t>
            </w:r>
          </w:p>
        </w:tc>
      </w:tr>
      <w:tr>
        <w:trPr>
          <w:trHeight w:val="20"/>
        </w:trPr>
        <w:tc>
          <w:tcPr>
            <w:tcW w:w="75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-814070</wp:posOffset>
            </wp:positionV>
            <wp:extent cx="23577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577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-521970</wp:posOffset>
            </wp:positionV>
            <wp:extent cx="2357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74" w:lineRule="exact"/>
        <w:rPr>
          <w:sz w:val="20"/>
          <w:szCs w:val="20"/>
          <w:color w:val="auto"/>
        </w:rPr>
      </w:pPr>
    </w:p>
    <w:p>
      <w:pPr>
        <w:ind w:left="400" w:hanging="374"/>
        <w:spacing w:after="0"/>
        <w:tabs>
          <w:tab w:leader="none" w:pos="4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Amounts presented have been rounded.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2023-06-06T07:11:48Z</dcterms:created>
  <dcterms:modified xsi:type="dcterms:W3CDTF">2023-06-06T07:11:48Z</dcterms:modified>
</cp:coreProperties>
</file>