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WASHINGTON, D.C. 20549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  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220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Check the appropriate box:</w:t>
      </w:r>
    </w:p>
    <w:p>
      <w:pPr>
        <w:ind w:left="860" w:hanging="635"/>
        <w:spacing w:after="0" w:line="233" w:lineRule="auto"/>
        <w:tabs>
          <w:tab w:leader="none" w:pos="860" w:val="left"/>
        </w:tabs>
        <w:numPr>
          <w:ilvl w:val="0"/>
          <w:numId w:val="1"/>
        </w:numPr>
        <w:rPr>
          <w:rFonts w:ascii="Wingdings" w:cs="Wingdings" w:eastAsia="Wingdings" w:hAnsi="Wingdings"/>
          <w:sz w:val="30"/>
          <w:szCs w:val="30"/>
          <w:b w:val="1"/>
          <w:bCs w:val="1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99" w:lineRule="exact"/>
        <w:rPr>
          <w:rFonts w:ascii="Wingdings" w:cs="Wingdings" w:eastAsia="Wingdings" w:hAnsi="Wingdings"/>
          <w:sz w:val="30"/>
          <w:szCs w:val="30"/>
          <w:b w:val="1"/>
          <w:bCs w:val="1"/>
          <w:color w:val="auto"/>
          <w:vertAlign w:val="superscript"/>
        </w:rPr>
      </w:pPr>
    </w:p>
    <w:p>
      <w:pPr>
        <w:ind w:left="860" w:hanging="635"/>
        <w:spacing w:after="0" w:line="185" w:lineRule="auto"/>
        <w:tabs>
          <w:tab w:leader="none" w:pos="860" w:val="left"/>
        </w:tabs>
        <w:numPr>
          <w:ilvl w:val="0"/>
          <w:numId w:val="1"/>
        </w:numPr>
        <w:rPr>
          <w:rFonts w:ascii="Wingdings" w:cs="Wingdings" w:eastAsia="Wingdings" w:hAnsi="Wingdings"/>
          <w:sz w:val="22"/>
          <w:szCs w:val="22"/>
          <w:b w:val="1"/>
          <w:bCs w:val="1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Confidential, for Use of the Commission Only (as permitted by Rule 14a-6(e)(2))</w:t>
      </w:r>
    </w:p>
    <w:p>
      <w:pPr>
        <w:spacing w:after="0" w:line="98" w:lineRule="exact"/>
        <w:rPr>
          <w:rFonts w:ascii="Wingdings" w:cs="Wingdings" w:eastAsia="Wingdings" w:hAnsi="Wingdings"/>
          <w:sz w:val="22"/>
          <w:szCs w:val="22"/>
          <w:b w:val="1"/>
          <w:bCs w:val="1"/>
          <w:color w:val="auto"/>
          <w:vertAlign w:val="superscript"/>
        </w:rPr>
      </w:pPr>
    </w:p>
    <w:p>
      <w:pPr>
        <w:ind w:left="860" w:hanging="635"/>
        <w:spacing w:after="0" w:line="185" w:lineRule="auto"/>
        <w:tabs>
          <w:tab w:leader="none" w:pos="860" w:val="left"/>
        </w:tabs>
        <w:numPr>
          <w:ilvl w:val="0"/>
          <w:numId w:val="1"/>
        </w:numPr>
        <w:rPr>
          <w:rFonts w:ascii="Wingdings" w:cs="Wingdings" w:eastAsia="Wingdings" w:hAnsi="Wingdings"/>
          <w:sz w:val="22"/>
          <w:szCs w:val="22"/>
          <w:b w:val="1"/>
          <w:bCs w:val="1"/>
          <w:color w:val="auto"/>
          <w:highlight w:val="black"/>
          <w:vertAlign w:val="superscript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Definitive Proxy Statement</w:t>
      </w:r>
    </w:p>
    <w:p>
      <w:pPr>
        <w:ind w:left="860" w:hanging="639"/>
        <w:spacing w:after="0" w:line="209" w:lineRule="auto"/>
        <w:tabs>
          <w:tab w:leader="none" w:pos="8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40"/>
          <w:szCs w:val="4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ind w:left="860" w:hanging="635"/>
        <w:spacing w:after="0" w:line="207" w:lineRule="auto"/>
        <w:tabs>
          <w:tab w:leader="none" w:pos="860" w:val="left"/>
        </w:tabs>
        <w:numPr>
          <w:ilvl w:val="0"/>
          <w:numId w:val="3"/>
        </w:numPr>
        <w:rPr>
          <w:rFonts w:ascii="Wingdings" w:cs="Wingdings" w:eastAsia="Wingdings" w:hAnsi="Wingdings"/>
          <w:sz w:val="30"/>
          <w:szCs w:val="30"/>
          <w:b w:val="1"/>
          <w:bCs w:val="1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ACADEMY SPORTS AND OUTDOORS,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Registrant as Specified In Its Charter)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Payment of Filing Fee (Check all boxes that apply):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780" w:hanging="658"/>
        <w:spacing w:after="0"/>
        <w:tabs>
          <w:tab w:leader="none" w:pos="7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5"/>
          <w:szCs w:val="15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No fee required.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 </w:t>
            </w:r>
            <w:r>
              <w:rPr>
                <w:rFonts w:ascii="Wingdings" w:cs="Wingdings" w:eastAsia="Wingdings" w:hAnsi="Wingdings"/>
                <w:sz w:val="15"/>
                <w:szCs w:val="15"/>
                <w:b w:val="1"/>
                <w:bCs w:val="1"/>
                <w:color w:val="auto"/>
              </w:rPr>
              <w:t>o</w:t>
            </w:r>
          </w:p>
        </w:tc>
        <w:tc>
          <w:tcPr>
            <w:tcW w:w="63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Fee paid previously with preliminary materials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 </w:t>
            </w:r>
            <w:r>
              <w:rPr>
                <w:rFonts w:ascii="Wingdings" w:cs="Wingdings" w:eastAsia="Wingdings" w:hAnsi="Wingdings"/>
                <w:sz w:val="15"/>
                <w:szCs w:val="15"/>
                <w:b w:val="1"/>
                <w:bCs w:val="1"/>
                <w:color w:val="auto"/>
              </w:rPr>
              <w:t>o</w:t>
            </w:r>
          </w:p>
        </w:tc>
        <w:tc>
          <w:tcPr>
            <w:tcW w:w="63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  <w:w w:val="99"/>
              </w:rPr>
              <w:t>Fee computed on table in exhibit required by Item 25(b) per Exchange Act Rules 14a-6(i)(1) and 0-11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39"/>
          </w:cols>
          <w:pgMar w:left="6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345440</wp:posOffset>
            </wp:positionH>
            <wp:positionV relativeFrom="page">
              <wp:posOffset>1038860</wp:posOffset>
            </wp:positionV>
            <wp:extent cx="4925695" cy="6374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95" cy="637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2483485</wp:posOffset>
            </wp:positionH>
            <wp:positionV relativeFrom="page">
              <wp:posOffset>1038860</wp:posOffset>
            </wp:positionV>
            <wp:extent cx="4920615" cy="6374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615" cy="637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2026-04-21T15:16:14Z</dcterms:created>
  <dcterms:modified xsi:type="dcterms:W3CDTF">2026-04-21T15:16:14Z</dcterms:modified>
</cp:coreProperties>
</file>