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 William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06/02/2021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06/02/2021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3,194</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8,976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3,194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06/02/2021</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3,194</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9, 2021, the Reporting Person was granted 3,194 time-based restricted stock units that vest 100%, subject to the Reporting Person's continued services with the Issuer, on the vesting date,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Janet Morrow - Attorney-in- </w:t>
      </w:r>
      <w:r>
        <w:rPr>
          <w:rFonts w:ascii="Arial" w:cs="Arial" w:eastAsia="Arial" w:hAnsi="Arial"/>
          <w:sz w:val="33"/>
          <w:szCs w:val="33"/>
          <w:color w:val="0000FF"/>
          <w:vertAlign w:val="subscript"/>
        </w:rPr>
        <w:t>06/02/2021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4934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2021-06-02T08:26:31Z</dcterms:created>
  <dcterms:modified xsi:type="dcterms:W3CDTF">2021-06-02T08:26:31Z</dcterms:modified>
</cp:coreProperties>
</file>