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2" w:lineRule="exact"/>
        <w:rPr>
          <w:sz w:val="24"/>
          <w:szCs w:val="24"/>
          <w:color w:val="auto"/>
        </w:rPr>
      </w:pPr>
    </w:p>
    <w:p>
      <w:pPr>
        <w:jc w:val="center"/>
        <w:ind w:right="-259"/>
        <w:spacing w:after="0"/>
        <w:rPr>
          <w:sz w:val="20"/>
          <w:szCs w:val="20"/>
          <w:color w:val="auto"/>
        </w:rPr>
      </w:pPr>
      <w:r>
        <w:rPr>
          <w:rFonts w:ascii="Arial" w:cs="Arial" w:eastAsia="Arial" w:hAnsi="Arial"/>
          <w:sz w:val="24"/>
          <w:szCs w:val="24"/>
          <w:b w:val="1"/>
          <w:bCs w:val="1"/>
          <w:color w:val="auto"/>
        </w:rPr>
        <w:t>UNITED STATES</w:t>
      </w:r>
    </w:p>
    <w:p>
      <w:pPr>
        <w:spacing w:after="0" w:line="35" w:lineRule="exact"/>
        <w:rPr>
          <w:sz w:val="24"/>
          <w:szCs w:val="24"/>
          <w:color w:val="auto"/>
        </w:rPr>
      </w:pPr>
    </w:p>
    <w:p>
      <w:pPr>
        <w:jc w:val="center"/>
        <w:ind w:right="-259"/>
        <w:spacing w:after="0"/>
        <w:rPr>
          <w:sz w:val="20"/>
          <w:szCs w:val="20"/>
          <w:color w:val="auto"/>
        </w:rPr>
      </w:pPr>
      <w:r>
        <w:rPr>
          <w:rFonts w:ascii="Arial" w:cs="Arial" w:eastAsia="Arial" w:hAnsi="Arial"/>
          <w:sz w:val="24"/>
          <w:szCs w:val="24"/>
          <w:b w:val="1"/>
          <w:bCs w:val="1"/>
          <w:color w:val="auto"/>
        </w:rPr>
        <w:t>SECURITIES AND EXCHANGE COMMISSION</w:t>
      </w:r>
    </w:p>
    <w:p>
      <w:pPr>
        <w:spacing w:after="0" w:line="7" w:lineRule="exact"/>
        <w:rPr>
          <w:sz w:val="24"/>
          <w:szCs w:val="24"/>
          <w:color w:val="auto"/>
        </w:rPr>
      </w:pPr>
    </w:p>
    <w:p>
      <w:pPr>
        <w:jc w:val="center"/>
        <w:ind w:right="-259"/>
        <w:spacing w:after="0"/>
        <w:rPr>
          <w:sz w:val="20"/>
          <w:szCs w:val="20"/>
          <w:color w:val="auto"/>
        </w:rPr>
      </w:pPr>
      <w:r>
        <w:rPr>
          <w:rFonts w:ascii="Arial" w:cs="Arial" w:eastAsia="Arial" w:hAnsi="Arial"/>
          <w:sz w:val="24"/>
          <w:szCs w:val="24"/>
          <w:b w:val="1"/>
          <w:bCs w:val="1"/>
          <w:color w:val="auto"/>
        </w:rPr>
        <w:t>WASHINGTON, D.C. 20549</w:t>
      </w:r>
    </w:p>
    <w:p>
      <w:pPr>
        <w:spacing w:after="0" w:line="2" w:lineRule="exact"/>
        <w:rPr>
          <w:sz w:val="24"/>
          <w:szCs w:val="24"/>
          <w:color w:val="auto"/>
        </w:rPr>
      </w:pPr>
    </w:p>
    <w:p>
      <w:pPr>
        <w:jc w:val="center"/>
        <w:ind w:right="-259"/>
        <w:spacing w:after="0"/>
        <w:rPr>
          <w:sz w:val="20"/>
          <w:szCs w:val="20"/>
          <w:color w:val="auto"/>
        </w:rPr>
      </w:pPr>
      <w:r>
        <w:rPr>
          <w:rFonts w:ascii="Arial" w:cs="Arial" w:eastAsia="Arial" w:hAnsi="Arial"/>
          <w:sz w:val="27"/>
          <w:szCs w:val="27"/>
          <w:b w:val="1"/>
          <w:bCs w:val="1"/>
          <w:color w:val="auto"/>
        </w:rPr>
        <w:t>SCHEDULE 14A</w:t>
      </w:r>
    </w:p>
    <w:p>
      <w:pPr>
        <w:spacing w:after="0" w:line="16" w:lineRule="exact"/>
        <w:rPr>
          <w:sz w:val="24"/>
          <w:szCs w:val="24"/>
          <w:color w:val="auto"/>
        </w:rPr>
      </w:pPr>
    </w:p>
    <w:p>
      <w:pPr>
        <w:jc w:val="center"/>
        <w:ind w:right="-259"/>
        <w:spacing w:after="0"/>
        <w:rPr>
          <w:sz w:val="20"/>
          <w:szCs w:val="20"/>
          <w:color w:val="auto"/>
        </w:rPr>
      </w:pPr>
      <w:r>
        <w:rPr>
          <w:rFonts w:ascii="Arial" w:cs="Arial" w:eastAsia="Arial" w:hAnsi="Arial"/>
          <w:sz w:val="21"/>
          <w:szCs w:val="21"/>
          <w:b w:val="1"/>
          <w:bCs w:val="1"/>
          <w:color w:val="auto"/>
        </w:rPr>
        <w:t>(RULE 14(a-101)</w:t>
      </w:r>
    </w:p>
    <w:p>
      <w:pPr>
        <w:spacing w:after="0" w:line="9" w:lineRule="exact"/>
        <w:rPr>
          <w:sz w:val="24"/>
          <w:szCs w:val="24"/>
          <w:color w:val="auto"/>
        </w:rPr>
      </w:pPr>
    </w:p>
    <w:p>
      <w:pPr>
        <w:jc w:val="center"/>
        <w:ind w:right="-259"/>
        <w:spacing w:after="0"/>
        <w:rPr>
          <w:sz w:val="20"/>
          <w:szCs w:val="20"/>
          <w:color w:val="auto"/>
        </w:rPr>
      </w:pPr>
      <w:r>
        <w:rPr>
          <w:rFonts w:ascii="Arial" w:cs="Arial" w:eastAsia="Arial" w:hAnsi="Arial"/>
          <w:sz w:val="17"/>
          <w:szCs w:val="17"/>
          <w:b w:val="1"/>
          <w:bCs w:val="1"/>
          <w:color w:val="auto"/>
        </w:rPr>
        <w:t>Proxy Statement Pursuant to Section 14(a) of the Securities Exchange Act of 1934</w:t>
      </w:r>
    </w:p>
    <w:p>
      <w:pPr>
        <w:spacing w:after="0" w:line="24" w:lineRule="exact"/>
        <w:rPr>
          <w:sz w:val="24"/>
          <w:szCs w:val="24"/>
          <w:color w:val="auto"/>
        </w:rPr>
      </w:pPr>
    </w:p>
    <w:p>
      <w:pPr>
        <w:jc w:val="center"/>
        <w:ind w:right="-259"/>
        <w:spacing w:after="0"/>
        <w:rPr>
          <w:sz w:val="20"/>
          <w:szCs w:val="20"/>
          <w:color w:val="auto"/>
        </w:rPr>
      </w:pPr>
      <w:r>
        <w:rPr>
          <w:rFonts w:ascii="Arial" w:cs="Arial" w:eastAsia="Arial" w:hAnsi="Arial"/>
          <w:sz w:val="17"/>
          <w:szCs w:val="17"/>
          <w:b w:val="1"/>
          <w:bCs w:val="1"/>
          <w:color w:val="auto"/>
        </w:rPr>
        <w:t>(Amendment No.  )</w:t>
      </w:r>
    </w:p>
    <w:p>
      <w:pPr>
        <w:spacing w:after="0" w:line="129" w:lineRule="exact"/>
        <w:rPr>
          <w:sz w:val="24"/>
          <w:szCs w:val="24"/>
          <w:color w:val="auto"/>
        </w:rPr>
      </w:pPr>
    </w:p>
    <w:p>
      <w:pPr>
        <w:ind w:left="20"/>
        <w:spacing w:after="0" w:line="173" w:lineRule="exact"/>
        <w:rPr>
          <w:sz w:val="20"/>
          <w:szCs w:val="20"/>
          <w:color w:val="auto"/>
        </w:rPr>
      </w:pPr>
      <w:r>
        <w:rPr>
          <w:rFonts w:ascii="Arial" w:cs="Arial" w:eastAsia="Arial" w:hAnsi="Arial"/>
          <w:sz w:val="15"/>
          <w:szCs w:val="15"/>
          <w:color w:val="auto"/>
        </w:rPr>
        <w:t xml:space="preserve">Filed by the Registrant </w:t>
      </w:r>
      <w:r>
        <w:rPr>
          <w:rFonts w:ascii="MS PGothic" w:cs="MS PGothic" w:eastAsia="MS PGothic" w:hAnsi="MS PGothic"/>
          <w:sz w:val="15"/>
          <w:szCs w:val="15"/>
          <w:color w:val="auto"/>
        </w:rPr>
        <w:t>☒</w:t>
      </w:r>
    </w:p>
    <w:p>
      <w:pPr>
        <w:spacing w:after="0" w:line="101" w:lineRule="exact"/>
        <w:rPr>
          <w:sz w:val="24"/>
          <w:szCs w:val="24"/>
          <w:color w:val="auto"/>
        </w:rPr>
      </w:pPr>
    </w:p>
    <w:p>
      <w:pPr>
        <w:ind w:left="20"/>
        <w:spacing w:after="0" w:line="184" w:lineRule="exact"/>
        <w:rPr>
          <w:sz w:val="20"/>
          <w:szCs w:val="20"/>
          <w:color w:val="auto"/>
        </w:rPr>
      </w:pP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319"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w:t>
      </w:r>
    </w:p>
    <w:p>
      <w:pPr>
        <w:ind w:left="720" w:hanging="696"/>
        <w:spacing w:after="0" w:line="216" w:lineRule="auto"/>
        <w:tabs>
          <w:tab w:leader="none" w:pos="720" w:val="left"/>
        </w:tabs>
        <w:numPr>
          <w:ilvl w:val="0"/>
          <w:numId w:val="1"/>
        </w:numPr>
        <w:rPr>
          <w:rFonts w:ascii="Arial" w:cs="Arial" w:eastAsia="Arial" w:hAnsi="Arial"/>
          <w:sz w:val="31"/>
          <w:szCs w:val="31"/>
          <w:color w:val="auto"/>
          <w:vertAlign w:val="superscript"/>
        </w:rPr>
      </w:pPr>
      <w:r>
        <w:rPr>
          <w:rFonts w:ascii="Arial" w:cs="Arial" w:eastAsia="Arial" w:hAnsi="Arial"/>
          <w:sz w:val="16"/>
          <w:szCs w:val="16"/>
          <w:color w:val="auto"/>
        </w:rPr>
        <w:t>Preliminary Proxy Statement</w:t>
      </w:r>
    </w:p>
    <w:p>
      <w:pPr>
        <w:spacing w:after="0" w:line="90" w:lineRule="exact"/>
        <w:rPr>
          <w:rFonts w:ascii="Arial" w:cs="Arial" w:eastAsia="Arial" w:hAnsi="Arial"/>
          <w:sz w:val="31"/>
          <w:szCs w:val="31"/>
          <w:color w:val="auto"/>
          <w:vertAlign w:val="superscript"/>
        </w:rPr>
      </w:pPr>
    </w:p>
    <w:p>
      <w:pPr>
        <w:ind w:left="720" w:hanging="696"/>
        <w:spacing w:after="0" w:line="183" w:lineRule="auto"/>
        <w:tabs>
          <w:tab w:leader="none" w:pos="720" w:val="left"/>
        </w:tabs>
        <w:numPr>
          <w:ilvl w:val="0"/>
          <w:numId w:val="1"/>
        </w:numPr>
        <w:rPr>
          <w:rFonts w:ascii="Arial" w:cs="Arial" w:eastAsia="Arial" w:hAnsi="Arial"/>
          <w:sz w:val="22"/>
          <w:szCs w:val="22"/>
          <w:color w:val="auto"/>
          <w:vertAlign w:val="superscript"/>
        </w:rPr>
      </w:pPr>
      <w:r>
        <w:rPr>
          <w:rFonts w:ascii="Arial" w:cs="Arial" w:eastAsia="Arial" w:hAnsi="Arial"/>
          <w:sz w:val="13"/>
          <w:szCs w:val="13"/>
          <w:b w:val="1"/>
          <w:bCs w:val="1"/>
          <w:color w:val="auto"/>
        </w:rPr>
        <w:t>Confidential, for Use of the Commission Only (as permitted by Rule 14a-6(e)(2))</w:t>
      </w:r>
    </w:p>
    <w:p>
      <w:pPr>
        <w:spacing w:after="0" w:line="90" w:lineRule="exact"/>
        <w:rPr>
          <w:rFonts w:ascii="Arial" w:cs="Arial" w:eastAsia="Arial" w:hAnsi="Arial"/>
          <w:sz w:val="22"/>
          <w:szCs w:val="22"/>
          <w:color w:val="auto"/>
          <w:vertAlign w:val="superscript"/>
        </w:rPr>
      </w:pPr>
    </w:p>
    <w:p>
      <w:pPr>
        <w:ind w:left="720" w:hanging="696"/>
        <w:spacing w:after="0" w:line="183" w:lineRule="auto"/>
        <w:tabs>
          <w:tab w:leader="none" w:pos="720" w:val="left"/>
        </w:tabs>
        <w:numPr>
          <w:ilvl w:val="0"/>
          <w:numId w:val="1"/>
        </w:numPr>
        <w:rPr>
          <w:rFonts w:ascii="Arial" w:cs="Arial" w:eastAsia="Arial" w:hAnsi="Arial"/>
          <w:sz w:val="22"/>
          <w:szCs w:val="22"/>
          <w:color w:val="auto"/>
          <w:vertAlign w:val="superscript"/>
        </w:rPr>
      </w:pPr>
      <w:r>
        <w:rPr>
          <w:rFonts w:ascii="Arial" w:cs="Arial" w:eastAsia="Arial" w:hAnsi="Arial"/>
          <w:sz w:val="13"/>
          <w:szCs w:val="13"/>
          <w:color w:val="auto"/>
        </w:rPr>
        <w:t>Definitive Proxy Statement</w:t>
      </w:r>
    </w:p>
    <w:p>
      <w:pPr>
        <w:ind w:left="720" w:hanging="696"/>
        <w:spacing w:after="0" w:line="219" w:lineRule="auto"/>
        <w:tabs>
          <w:tab w:leader="none" w:pos="720" w:val="left"/>
        </w:tabs>
        <w:numPr>
          <w:ilvl w:val="0"/>
          <w:numId w:val="2"/>
        </w:numPr>
        <w:rPr>
          <w:rFonts w:ascii="MS PGothic" w:cs="MS PGothic" w:eastAsia="MS PGothic" w:hAnsi="MS PGothic"/>
          <w:sz w:val="31"/>
          <w:szCs w:val="31"/>
          <w:color w:val="auto"/>
          <w:vertAlign w:val="superscript"/>
        </w:rPr>
      </w:pPr>
      <w:r>
        <w:rPr>
          <w:rFonts w:ascii="Arial" w:cs="Arial" w:eastAsia="Arial" w:hAnsi="Arial"/>
          <w:sz w:val="16"/>
          <w:szCs w:val="16"/>
          <w:color w:val="auto"/>
        </w:rPr>
        <w:t>Definitive Additional Materials</w:t>
      </w:r>
    </w:p>
    <w:p>
      <w:pPr>
        <w:ind w:left="720" w:hanging="696"/>
        <w:spacing w:after="0" w:line="191" w:lineRule="auto"/>
        <w:tabs>
          <w:tab w:leader="none" w:pos="720" w:val="left"/>
        </w:tabs>
        <w:numPr>
          <w:ilvl w:val="0"/>
          <w:numId w:val="3"/>
        </w:numPr>
        <w:rPr>
          <w:rFonts w:ascii="Arial" w:cs="Arial" w:eastAsia="Arial" w:hAnsi="Arial"/>
          <w:sz w:val="31"/>
          <w:szCs w:val="31"/>
          <w:color w:val="auto"/>
          <w:vertAlign w:val="superscript"/>
        </w:rPr>
      </w:pPr>
      <w:r>
        <w:rPr>
          <w:rFonts w:ascii="Arial" w:cs="Arial" w:eastAsia="Arial" w:hAnsi="Arial"/>
          <w:sz w:val="16"/>
          <w:szCs w:val="16"/>
          <w:color w:val="auto"/>
        </w:rPr>
        <w:t>Soliciting Material Pursuant to §240.14a-12</w:t>
      </w:r>
    </w:p>
    <w:p>
      <w:pPr>
        <w:spacing w:after="0" w:line="280" w:lineRule="exact"/>
        <w:rPr>
          <w:sz w:val="24"/>
          <w:szCs w:val="24"/>
          <w:color w:val="auto"/>
        </w:rPr>
      </w:pPr>
    </w:p>
    <w:p>
      <w:pPr>
        <w:jc w:val="center"/>
        <w:ind w:right="-259"/>
        <w:spacing w:after="0"/>
        <w:rPr>
          <w:sz w:val="20"/>
          <w:szCs w:val="20"/>
          <w:color w:val="auto"/>
        </w:rPr>
      </w:pPr>
      <w:r>
        <w:rPr>
          <w:rFonts w:ascii="Arial" w:cs="Arial" w:eastAsia="Arial" w:hAnsi="Arial"/>
          <w:sz w:val="38"/>
          <w:szCs w:val="38"/>
          <w:b w:val="1"/>
          <w:bCs w:val="1"/>
          <w:u w:val="single" w:color="auto"/>
          <w:color w:val="auto"/>
        </w:rPr>
        <w:t>ACADEMY SPORTS AND OUTDOORS, INC.</w:t>
      </w:r>
    </w:p>
    <w:p>
      <w:pPr>
        <w:spacing w:after="0" w:line="51" w:lineRule="exact"/>
        <w:rPr>
          <w:sz w:val="24"/>
          <w:szCs w:val="24"/>
          <w:color w:val="auto"/>
        </w:rPr>
      </w:pPr>
    </w:p>
    <w:p>
      <w:pPr>
        <w:jc w:val="center"/>
        <w:ind w:right="-259"/>
        <w:spacing w:after="0"/>
        <w:rPr>
          <w:sz w:val="20"/>
          <w:szCs w:val="20"/>
          <w:color w:val="auto"/>
        </w:rPr>
      </w:pPr>
      <w:r>
        <w:rPr>
          <w:rFonts w:ascii="Arial" w:cs="Arial" w:eastAsia="Arial" w:hAnsi="Arial"/>
          <w:sz w:val="15"/>
          <w:szCs w:val="15"/>
          <w:b w:val="1"/>
          <w:bCs w:val="1"/>
          <w:color w:val="auto"/>
        </w:rPr>
        <w:t>(Name of Registrant as Specified In Its Charter)</w:t>
      </w:r>
    </w:p>
    <w:p>
      <w:pPr>
        <w:spacing w:after="0" w:line="8" w:lineRule="exact"/>
        <w:rPr>
          <w:sz w:val="24"/>
          <w:szCs w:val="24"/>
          <w:color w:val="auto"/>
        </w:rPr>
      </w:pPr>
    </w:p>
    <w:p>
      <w:pPr>
        <w:jc w:val="center"/>
        <w:ind w:right="-259"/>
        <w:spacing w:after="0"/>
        <w:rPr>
          <w:sz w:val="20"/>
          <w:szCs w:val="20"/>
          <w:color w:val="auto"/>
        </w:rPr>
      </w:pPr>
      <w:r>
        <w:rPr>
          <w:rFonts w:ascii="Arial" w:cs="Arial" w:eastAsia="Arial" w:hAnsi="Arial"/>
          <w:sz w:val="15"/>
          <w:szCs w:val="15"/>
          <w:b w:val="1"/>
          <w:bCs w:val="1"/>
          <w:color w:val="auto"/>
        </w:rPr>
        <w:t>(Name of Person(s) Filing Proxy Statement, if other than the Registrant)</w:t>
      </w:r>
    </w:p>
    <w:p>
      <w:pPr>
        <w:spacing w:after="0" w:line="112" w:lineRule="exact"/>
        <w:rPr>
          <w:sz w:val="24"/>
          <w:szCs w:val="24"/>
          <w:color w:val="auto"/>
        </w:rPr>
      </w:pPr>
    </w:p>
    <w:p>
      <w:pPr>
        <w:spacing w:after="0"/>
        <w:rPr>
          <w:sz w:val="20"/>
          <w:szCs w:val="20"/>
          <w:color w:val="auto"/>
        </w:rPr>
      </w:pPr>
      <w:r>
        <w:rPr>
          <w:rFonts w:ascii="Arial" w:cs="Arial" w:eastAsia="Arial" w:hAnsi="Arial"/>
          <w:sz w:val="15"/>
          <w:szCs w:val="15"/>
          <w:color w:val="auto"/>
        </w:rPr>
        <w:t>Payment of Filing Fee (Check the appropriate box):</w:t>
      </w:r>
    </w:p>
    <w:p>
      <w:pPr>
        <w:spacing w:after="0" w:line="37" w:lineRule="exact"/>
        <w:rPr>
          <w:sz w:val="24"/>
          <w:szCs w:val="24"/>
          <w:color w:val="auto"/>
        </w:rPr>
      </w:pPr>
    </w:p>
    <w:p>
      <w:pPr>
        <w:ind w:left="700" w:hanging="680"/>
        <w:spacing w:after="0"/>
        <w:tabs>
          <w:tab w:leader="none" w:pos="700"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No fee required.</w:t>
      </w:r>
    </w:p>
    <w:p>
      <w:pPr>
        <w:spacing w:after="0" w:line="156" w:lineRule="exact"/>
        <w:rPr>
          <w:sz w:val="24"/>
          <w:szCs w:val="24"/>
          <w:color w:val="auto"/>
        </w:rPr>
      </w:pPr>
    </w:p>
    <w:p>
      <w:pPr>
        <w:ind w:left="700" w:hanging="676"/>
        <w:spacing w:after="0"/>
        <w:tabs>
          <w:tab w:leader="none" w:pos="700" w:val="left"/>
        </w:tabs>
        <w:numPr>
          <w:ilvl w:val="0"/>
          <w:numId w:val="5"/>
        </w:numPr>
        <w:rPr>
          <w:rFonts w:ascii="Arial" w:cs="Arial" w:eastAsia="Arial" w:hAnsi="Arial"/>
          <w:sz w:val="31"/>
          <w:szCs w:val="31"/>
          <w:color w:val="auto"/>
          <w:vertAlign w:val="superscript"/>
        </w:rPr>
      </w:pPr>
      <w:r>
        <w:rPr>
          <w:rFonts w:ascii="Arial" w:cs="Arial" w:eastAsia="Arial" w:hAnsi="Arial"/>
          <w:sz w:val="16"/>
          <w:szCs w:val="16"/>
          <w:color w:val="auto"/>
        </w:rPr>
        <w:t>Fee computed on table below per Exchange Act Rules 14a-6(i)(1) and 0-11.</w:t>
      </w:r>
    </w:p>
    <w:p>
      <w:pPr>
        <w:spacing w:after="0" w:line="204" w:lineRule="exact"/>
        <w:rPr>
          <w:rFonts w:ascii="Arial" w:cs="Arial" w:eastAsia="Arial" w:hAnsi="Arial"/>
          <w:sz w:val="31"/>
          <w:szCs w:val="31"/>
          <w:color w:val="auto"/>
          <w:vertAlign w:val="superscript"/>
        </w:rPr>
      </w:pPr>
    </w:p>
    <w:p>
      <w:pPr>
        <w:ind w:left="1240" w:hanging="537"/>
        <w:spacing w:after="0"/>
        <w:tabs>
          <w:tab w:leader="none" w:pos="1240" w:val="left"/>
        </w:tabs>
        <w:numPr>
          <w:ilvl w:val="1"/>
          <w:numId w:val="5"/>
        </w:numPr>
        <w:rPr>
          <w:rFonts w:ascii="Arial" w:cs="Arial" w:eastAsia="Arial" w:hAnsi="Arial"/>
          <w:sz w:val="16"/>
          <w:szCs w:val="16"/>
          <w:color w:val="auto"/>
        </w:rPr>
      </w:pPr>
      <w:r>
        <w:rPr>
          <w:rFonts w:ascii="Arial" w:cs="Arial" w:eastAsia="Arial" w:hAnsi="Arial"/>
          <w:sz w:val="16"/>
          <w:szCs w:val="16"/>
          <w:color w:val="auto"/>
        </w:rPr>
        <w:t>Title of each class of securities to which transaction applies:</w:t>
      </w:r>
    </w:p>
    <w:p>
      <w:pPr>
        <w:spacing w:after="0" w:line="228" w:lineRule="exact"/>
        <w:rPr>
          <w:rFonts w:ascii="Arial" w:cs="Arial" w:eastAsia="Arial" w:hAnsi="Arial"/>
          <w:sz w:val="16"/>
          <w:szCs w:val="16"/>
          <w:color w:val="auto"/>
        </w:rPr>
      </w:pPr>
    </w:p>
    <w:p>
      <w:pPr>
        <w:ind w:left="1240" w:hanging="537"/>
        <w:spacing w:after="0"/>
        <w:tabs>
          <w:tab w:leader="none" w:pos="1240" w:val="left"/>
        </w:tabs>
        <w:numPr>
          <w:ilvl w:val="1"/>
          <w:numId w:val="5"/>
        </w:numPr>
        <w:rPr>
          <w:rFonts w:ascii="Arial" w:cs="Arial" w:eastAsia="Arial" w:hAnsi="Arial"/>
          <w:sz w:val="16"/>
          <w:szCs w:val="16"/>
          <w:color w:val="auto"/>
        </w:rPr>
      </w:pPr>
      <w:r>
        <w:rPr>
          <w:rFonts w:ascii="Arial" w:cs="Arial" w:eastAsia="Arial" w:hAnsi="Arial"/>
          <w:sz w:val="16"/>
          <w:szCs w:val="16"/>
          <w:color w:val="auto"/>
        </w:rPr>
        <w:t>Aggregate number of securities to which transaction applies:</w:t>
      </w:r>
    </w:p>
    <w:p>
      <w:pPr>
        <w:spacing w:after="0" w:line="224" w:lineRule="exact"/>
        <w:rPr>
          <w:rFonts w:ascii="Arial" w:cs="Arial" w:eastAsia="Arial" w:hAnsi="Arial"/>
          <w:sz w:val="16"/>
          <w:szCs w:val="16"/>
          <w:color w:val="auto"/>
        </w:rPr>
      </w:pPr>
    </w:p>
    <w:p>
      <w:pPr>
        <w:ind w:left="1240"/>
        <w:spacing w:after="0"/>
        <w:rPr>
          <w:rFonts w:ascii="Arial" w:cs="Arial" w:eastAsia="Arial" w:hAnsi="Arial"/>
          <w:sz w:val="16"/>
          <w:szCs w:val="16"/>
          <w:color w:val="auto"/>
        </w:rPr>
      </w:pPr>
      <w:r>
        <w:rPr>
          <w:rFonts w:ascii="Arial" w:cs="Arial" w:eastAsia="Arial" w:hAnsi="Arial"/>
          <w:sz w:val="15"/>
          <w:szCs w:val="15"/>
          <w:color w:val="auto"/>
        </w:rPr>
        <w:t>Per unit price or other underlying value of transaction computed pursuant to Exchange Act Rule 0-11 (set forth the amount on which the filing fee is</w:t>
      </w:r>
    </w:p>
    <w:p>
      <w:pPr>
        <w:ind w:left="1240" w:hanging="537"/>
        <w:spacing w:after="0"/>
        <w:tabs>
          <w:tab w:leader="none" w:pos="1240" w:val="left"/>
        </w:tabs>
        <w:numPr>
          <w:ilvl w:val="1"/>
          <w:numId w:val="5"/>
        </w:numPr>
        <w:rPr>
          <w:rFonts w:ascii="Arial" w:cs="Arial" w:eastAsia="Arial" w:hAnsi="Arial"/>
          <w:sz w:val="16"/>
          <w:szCs w:val="16"/>
          <w:color w:val="auto"/>
        </w:rPr>
      </w:pPr>
      <w:r>
        <w:rPr>
          <w:rFonts w:ascii="Arial" w:cs="Arial" w:eastAsia="Arial" w:hAnsi="Arial"/>
          <w:sz w:val="16"/>
          <w:szCs w:val="16"/>
          <w:color w:val="auto"/>
        </w:rPr>
        <w:t>calculated and state how it was determined):</w:t>
      </w:r>
    </w:p>
    <w:p>
      <w:pPr>
        <w:spacing w:after="0" w:line="214" w:lineRule="exact"/>
        <w:rPr>
          <w:rFonts w:ascii="Arial" w:cs="Arial" w:eastAsia="Arial" w:hAnsi="Arial"/>
          <w:sz w:val="16"/>
          <w:szCs w:val="16"/>
          <w:color w:val="auto"/>
        </w:rPr>
      </w:pPr>
    </w:p>
    <w:p>
      <w:pPr>
        <w:ind w:left="1240" w:hanging="537"/>
        <w:spacing w:after="0"/>
        <w:tabs>
          <w:tab w:leader="none" w:pos="1240" w:val="left"/>
        </w:tabs>
        <w:numPr>
          <w:ilvl w:val="1"/>
          <w:numId w:val="5"/>
        </w:numPr>
        <w:rPr>
          <w:rFonts w:ascii="Arial" w:cs="Arial" w:eastAsia="Arial" w:hAnsi="Arial"/>
          <w:sz w:val="16"/>
          <w:szCs w:val="16"/>
          <w:color w:val="auto"/>
        </w:rPr>
      </w:pPr>
      <w:r>
        <w:rPr>
          <w:rFonts w:ascii="Arial" w:cs="Arial" w:eastAsia="Arial" w:hAnsi="Arial"/>
          <w:sz w:val="16"/>
          <w:szCs w:val="16"/>
          <w:color w:val="auto"/>
        </w:rPr>
        <w:t>Proposed maximum aggregate value of transaction:</w:t>
      </w:r>
    </w:p>
    <w:p>
      <w:pPr>
        <w:spacing w:after="0" w:line="228" w:lineRule="exact"/>
        <w:rPr>
          <w:rFonts w:ascii="Arial" w:cs="Arial" w:eastAsia="Arial" w:hAnsi="Arial"/>
          <w:sz w:val="16"/>
          <w:szCs w:val="16"/>
          <w:color w:val="auto"/>
        </w:rPr>
      </w:pPr>
    </w:p>
    <w:p>
      <w:pPr>
        <w:ind w:left="1240" w:hanging="537"/>
        <w:spacing w:after="0"/>
        <w:tabs>
          <w:tab w:leader="none" w:pos="1240" w:val="left"/>
        </w:tabs>
        <w:numPr>
          <w:ilvl w:val="1"/>
          <w:numId w:val="5"/>
        </w:numPr>
        <w:rPr>
          <w:rFonts w:ascii="Arial" w:cs="Arial" w:eastAsia="Arial" w:hAnsi="Arial"/>
          <w:sz w:val="16"/>
          <w:szCs w:val="16"/>
          <w:color w:val="auto"/>
        </w:rPr>
      </w:pPr>
      <w:r>
        <w:rPr>
          <w:rFonts w:ascii="Arial" w:cs="Arial" w:eastAsia="Arial" w:hAnsi="Arial"/>
          <w:sz w:val="16"/>
          <w:szCs w:val="16"/>
          <w:color w:val="auto"/>
        </w:rPr>
        <w:t>Total fee paid:</w:t>
      </w:r>
    </w:p>
    <w:p>
      <w:pPr>
        <w:spacing w:after="0" w:line="156" w:lineRule="exact"/>
        <w:rPr>
          <w:rFonts w:ascii="Arial" w:cs="Arial" w:eastAsia="Arial" w:hAnsi="Arial"/>
          <w:sz w:val="16"/>
          <w:szCs w:val="16"/>
          <w:color w:val="auto"/>
        </w:rPr>
      </w:pPr>
    </w:p>
    <w:p>
      <w:pPr>
        <w:ind w:left="700" w:hanging="676"/>
        <w:spacing w:after="0"/>
        <w:tabs>
          <w:tab w:leader="none" w:pos="700" w:val="left"/>
        </w:tabs>
        <w:numPr>
          <w:ilvl w:val="0"/>
          <w:numId w:val="5"/>
        </w:numPr>
        <w:rPr>
          <w:rFonts w:ascii="Arial" w:cs="Arial" w:eastAsia="Arial" w:hAnsi="Arial"/>
          <w:sz w:val="31"/>
          <w:szCs w:val="31"/>
          <w:color w:val="auto"/>
          <w:vertAlign w:val="superscript"/>
        </w:rPr>
      </w:pPr>
      <w:r>
        <w:rPr>
          <w:rFonts w:ascii="Arial" w:cs="Arial" w:eastAsia="Arial" w:hAnsi="Arial"/>
          <w:sz w:val="16"/>
          <w:szCs w:val="16"/>
          <w:color w:val="auto"/>
        </w:rPr>
        <w:t>Fee paid previously with preliminary materials.</w:t>
      </w:r>
    </w:p>
    <w:p>
      <w:pPr>
        <w:spacing w:after="0" w:line="204" w:lineRule="exact"/>
        <w:rPr>
          <w:rFonts w:ascii="Arial" w:cs="Arial" w:eastAsia="Arial" w:hAnsi="Arial"/>
          <w:sz w:val="31"/>
          <w:szCs w:val="31"/>
          <w:color w:val="auto"/>
          <w:vertAlign w:val="superscript"/>
        </w:rPr>
      </w:pPr>
    </w:p>
    <w:p>
      <w:pPr>
        <w:ind w:left="700" w:hanging="676"/>
        <w:spacing w:after="0" w:line="235" w:lineRule="auto"/>
        <w:tabs>
          <w:tab w:leader="none" w:pos="700" w:val="left"/>
        </w:tabs>
        <w:numPr>
          <w:ilvl w:val="0"/>
          <w:numId w:val="5"/>
        </w:numPr>
        <w:rPr>
          <w:rFonts w:ascii="Arial" w:cs="Arial" w:eastAsia="Arial" w:hAnsi="Arial"/>
          <w:sz w:val="15"/>
          <w:szCs w:val="15"/>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6" w:lineRule="exact"/>
        <w:rPr>
          <w:rFonts w:ascii="Arial" w:cs="Arial" w:eastAsia="Arial" w:hAnsi="Arial"/>
          <w:sz w:val="15"/>
          <w:szCs w:val="15"/>
          <w:color w:val="auto"/>
        </w:rPr>
      </w:pPr>
    </w:p>
    <w:p>
      <w:pPr>
        <w:ind w:left="1240" w:hanging="537"/>
        <w:spacing w:after="0"/>
        <w:tabs>
          <w:tab w:leader="none" w:pos="1240" w:val="left"/>
        </w:tabs>
        <w:numPr>
          <w:ilvl w:val="1"/>
          <w:numId w:val="5"/>
        </w:numPr>
        <w:rPr>
          <w:rFonts w:ascii="Arial" w:cs="Arial" w:eastAsia="Arial" w:hAnsi="Arial"/>
          <w:sz w:val="16"/>
          <w:szCs w:val="16"/>
          <w:color w:val="auto"/>
        </w:rPr>
      </w:pPr>
      <w:r>
        <w:rPr>
          <w:rFonts w:ascii="Arial" w:cs="Arial" w:eastAsia="Arial" w:hAnsi="Arial"/>
          <w:sz w:val="16"/>
          <w:szCs w:val="16"/>
          <w:color w:val="auto"/>
        </w:rPr>
        <w:t>Amount Previously Paid:</w:t>
      </w:r>
    </w:p>
    <w:p>
      <w:pPr>
        <w:spacing w:after="0" w:line="228" w:lineRule="exact"/>
        <w:rPr>
          <w:rFonts w:ascii="Arial" w:cs="Arial" w:eastAsia="Arial" w:hAnsi="Arial"/>
          <w:sz w:val="16"/>
          <w:szCs w:val="16"/>
          <w:color w:val="auto"/>
        </w:rPr>
      </w:pPr>
    </w:p>
    <w:p>
      <w:pPr>
        <w:ind w:left="1240" w:hanging="537"/>
        <w:spacing w:after="0"/>
        <w:tabs>
          <w:tab w:leader="none" w:pos="1240" w:val="left"/>
        </w:tabs>
        <w:numPr>
          <w:ilvl w:val="1"/>
          <w:numId w:val="5"/>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228" w:lineRule="exact"/>
        <w:rPr>
          <w:rFonts w:ascii="Arial" w:cs="Arial" w:eastAsia="Arial" w:hAnsi="Arial"/>
          <w:sz w:val="16"/>
          <w:szCs w:val="16"/>
          <w:color w:val="auto"/>
        </w:rPr>
      </w:pPr>
    </w:p>
    <w:p>
      <w:pPr>
        <w:ind w:left="1240" w:hanging="537"/>
        <w:spacing w:after="0"/>
        <w:tabs>
          <w:tab w:leader="none" w:pos="1240" w:val="left"/>
        </w:tabs>
        <w:numPr>
          <w:ilvl w:val="1"/>
          <w:numId w:val="5"/>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228" w:lineRule="exact"/>
        <w:rPr>
          <w:rFonts w:ascii="Arial" w:cs="Arial" w:eastAsia="Arial" w:hAnsi="Arial"/>
          <w:sz w:val="16"/>
          <w:szCs w:val="16"/>
          <w:color w:val="auto"/>
        </w:rPr>
      </w:pPr>
    </w:p>
    <w:p>
      <w:pPr>
        <w:ind w:left="1240" w:hanging="537"/>
        <w:spacing w:after="0"/>
        <w:tabs>
          <w:tab w:leader="none" w:pos="1240" w:val="left"/>
        </w:tabs>
        <w:numPr>
          <w:ilvl w:val="1"/>
          <w:numId w:val="5"/>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0980"/>
          </w:cols>
          <w:pgMar w:left="320" w:top="1440" w:right="59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1938655</wp:posOffset>
            </wp:positionH>
            <wp:positionV relativeFrom="page">
              <wp:posOffset>1168400</wp:posOffset>
            </wp:positionV>
            <wp:extent cx="3679825" cy="9239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3679825" cy="923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Academy Sports and Outdoors, Inc.</w:t>
      </w:r>
    </w:p>
    <w:p>
      <w:pPr>
        <w:jc w:val="center"/>
        <w:ind w:right="-19"/>
        <w:spacing w:after="0" w:line="230" w:lineRule="auto"/>
        <w:rPr>
          <w:sz w:val="20"/>
          <w:szCs w:val="20"/>
          <w:color w:val="auto"/>
        </w:rPr>
      </w:pPr>
      <w:r>
        <w:rPr>
          <w:rFonts w:ascii="Arial" w:cs="Arial" w:eastAsia="Arial" w:hAnsi="Arial"/>
          <w:sz w:val="21"/>
          <w:szCs w:val="21"/>
          <w:color w:val="auto"/>
        </w:rPr>
        <w:t>1800 N. Mason Road</w:t>
      </w:r>
    </w:p>
    <w:p>
      <w:pPr>
        <w:jc w:val="center"/>
        <w:ind w:right="-39"/>
        <w:spacing w:after="0"/>
        <w:rPr>
          <w:sz w:val="20"/>
          <w:szCs w:val="20"/>
          <w:color w:val="auto"/>
        </w:rPr>
      </w:pPr>
      <w:r>
        <w:rPr>
          <w:rFonts w:ascii="Arial" w:cs="Arial" w:eastAsia="Arial" w:hAnsi="Arial"/>
          <w:sz w:val="21"/>
          <w:szCs w:val="21"/>
          <w:color w:val="auto"/>
        </w:rPr>
        <w:t>Katy, TX 77449</w:t>
      </w: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auto"/>
        </w:rPr>
        <w:t>SUPPLEMENT TO DEFINITIVE PROXY STATEMENT</w:t>
      </w:r>
    </w:p>
    <w:p>
      <w:pPr>
        <w:spacing w:after="0" w:line="16"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auto"/>
        </w:rPr>
        <w:t>FOR ANNUAL MEETING TO BE HELD ON JUNE 3, 2021</w:t>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auto"/>
        </w:rPr>
        <w:t>May 10, 2021</w:t>
      </w:r>
    </w:p>
    <w:p>
      <w:pPr>
        <w:spacing w:after="0" w:line="253" w:lineRule="exact"/>
        <w:rPr>
          <w:sz w:val="20"/>
          <w:szCs w:val="20"/>
          <w:color w:val="auto"/>
        </w:rPr>
      </w:pPr>
    </w:p>
    <w:p>
      <w:pPr>
        <w:ind w:right="100" w:firstLine="618"/>
        <w:spacing w:after="0" w:line="256" w:lineRule="auto"/>
        <w:rPr>
          <w:sz w:val="20"/>
          <w:szCs w:val="20"/>
          <w:color w:val="auto"/>
        </w:rPr>
      </w:pPr>
      <w:r>
        <w:rPr>
          <w:rFonts w:ascii="Arial" w:cs="Arial" w:eastAsia="Arial" w:hAnsi="Arial"/>
          <w:sz w:val="17"/>
          <w:szCs w:val="17"/>
          <w:color w:val="auto"/>
        </w:rPr>
        <w:t>This proxy statement supplement (this “Proxy Supplement”) updates the proxy statement (the “Proxy Statement”) filed by Academy Sports and Outdoors, Inc. (the “Company”) with the U.S. Securities and Exchange Commission (the “SEC”) on April 23, 2021. The primary purpose of this Proxy Supplement is to provide subsequent information relating to recent changes to the compositions of the Company’s Board of Directors (the “Board”) and its Compensation Committee (the “Compensation Committee”) and its Nominating &amp; Governance Committee (the “Governance Committee”), effective as of May 10, 2021 (the “Effective Date”).</w:t>
      </w:r>
    </w:p>
    <w:p>
      <w:pPr>
        <w:spacing w:after="0" w:line="219" w:lineRule="exact"/>
        <w:rPr>
          <w:sz w:val="20"/>
          <w:szCs w:val="20"/>
          <w:color w:val="auto"/>
        </w:rPr>
      </w:pPr>
    </w:p>
    <w:p>
      <w:pPr>
        <w:ind w:firstLine="618"/>
        <w:spacing w:after="0" w:line="254" w:lineRule="auto"/>
        <w:rPr>
          <w:sz w:val="20"/>
          <w:szCs w:val="20"/>
          <w:color w:val="auto"/>
        </w:rPr>
      </w:pPr>
      <w:r>
        <w:rPr>
          <w:rFonts w:ascii="Arial" w:cs="Arial" w:eastAsia="Arial" w:hAnsi="Arial"/>
          <w:sz w:val="17"/>
          <w:szCs w:val="17"/>
          <w:color w:val="auto"/>
        </w:rPr>
        <w:t>This Proxy Supplement does not change any proposal set forth in the Proxy Statement and does not change the Board’s recommendations, or the Company’s view, on any of the proposals contained in the Proxy Statement. The Board continues to recommend a vote “FOR” all Class I director nominees in Proposal 1, “FOR” Proposals 2 and 3, and for “One Year” in Proposal 4, as more particularly described in the Proxy Statement. Except as updated by this Proxy Supplement, all information set forth in the Proxy Statement remains unchanged. Capitalized terms used but not defined herein have the meanings set forth in the Proxy Statement.</w:t>
      </w:r>
    </w:p>
    <w:p>
      <w:pPr>
        <w:jc w:val="center"/>
        <w:ind w:right="-39"/>
        <w:spacing w:after="0" w:line="239" w:lineRule="auto"/>
        <w:rPr>
          <w:sz w:val="20"/>
          <w:szCs w:val="20"/>
          <w:color w:val="auto"/>
        </w:rPr>
      </w:pPr>
      <w:r>
        <w:rPr>
          <w:rFonts w:ascii="Arial" w:cs="Arial" w:eastAsia="Arial" w:hAnsi="Arial"/>
          <w:sz w:val="21"/>
          <w:szCs w:val="21"/>
          <w:color w:val="auto"/>
        </w:rPr>
        <w:t>****</w:t>
      </w:r>
    </w:p>
    <w:p>
      <w:pPr>
        <w:ind w:left="620"/>
        <w:spacing w:after="0"/>
        <w:rPr>
          <w:sz w:val="20"/>
          <w:szCs w:val="20"/>
          <w:color w:val="auto"/>
        </w:rPr>
      </w:pPr>
      <w:r>
        <w:rPr>
          <w:rFonts w:ascii="Arial" w:cs="Arial" w:eastAsia="Arial" w:hAnsi="Arial"/>
          <w:sz w:val="17"/>
          <w:szCs w:val="17"/>
          <w:b w:val="1"/>
          <w:bCs w:val="1"/>
          <w:color w:val="auto"/>
        </w:rPr>
        <w:t>Board Composition Changes</w:t>
      </w:r>
    </w:p>
    <w:p>
      <w:pPr>
        <w:spacing w:after="0" w:line="242" w:lineRule="exact"/>
        <w:rPr>
          <w:sz w:val="20"/>
          <w:szCs w:val="20"/>
          <w:color w:val="auto"/>
        </w:rPr>
      </w:pPr>
    </w:p>
    <w:p>
      <w:pPr>
        <w:ind w:right="60" w:firstLine="618"/>
        <w:spacing w:after="0" w:line="254" w:lineRule="auto"/>
        <w:rPr>
          <w:sz w:val="20"/>
          <w:szCs w:val="20"/>
          <w:color w:val="auto"/>
        </w:rPr>
      </w:pPr>
      <w:r>
        <w:rPr>
          <w:rFonts w:ascii="Arial" w:cs="Arial" w:eastAsia="Arial" w:hAnsi="Arial"/>
          <w:sz w:val="17"/>
          <w:szCs w:val="17"/>
          <w:color w:val="auto"/>
        </w:rPr>
        <w:t>On the Effective Date, the Board appointed Beryl B. Raff to serve as an independent Class III director on the Board, effective as of the Effective Date. Ms. Raff fills a vacancy resulting from the resignations of Vishal V. Patel (a Class III director) and Aileen X. Yan (a Class II director), both designees of affiliates of Kohlberg Kravis Roberts &amp; Co. L.P. (“KKR”), which became effective as of the Effective Date (the “Resignations”) in connection with a reduction in KKR’s holdings in the Company immediately following a secondary public offering that closed on the Effective Date. Contemporaneous with the Resignations, the Board approved a decrease in the size of the Board from ten directors to nine directors. As a Class III director, Ms. Raff’s term will end at the Company’s 2023 Annual Meeting of Stockholders. The Board also appointed Ms. Raff to the Compensation Committee, effective as of the Effective Date.</w:t>
      </w:r>
    </w:p>
    <w:p>
      <w:pPr>
        <w:sectPr>
          <w:pgSz w:w="11900" w:h="16838" w:orient="portrait"/>
          <w:cols w:equalWidth="0" w:num="1">
            <w:col w:w="11220"/>
          </w:cols>
          <w:pgMar w:left="320" w:top="1440" w:right="359" w:bottom="1440" w:gutter="0" w:footer="0" w:header="0"/>
        </w:sectPr>
      </w:pPr>
    </w:p>
    <w:bookmarkStart w:id="2" w:name="page3"/>
    <w:bookmarkEnd w:id="2"/>
    <w:p>
      <w:pPr>
        <w:ind w:firstLine="618"/>
        <w:spacing w:after="0" w:line="253" w:lineRule="auto"/>
        <w:rPr>
          <w:sz w:val="20"/>
          <w:szCs w:val="20"/>
          <w:color w:val="auto"/>
        </w:rPr>
      </w:pPr>
      <w:r>
        <w:rPr>
          <w:rFonts w:ascii="Arial" w:cs="Arial" w:eastAsia="Arial" w:hAnsi="Arial"/>
          <w:sz w:val="17"/>
          <w:szCs w:val="17"/>
          <w:color w:val="auto"/>
        </w:rPr>
        <w:t>Ms. Raff, age 70, has spent over forty years in the retail industry developing her merchandising, senior executive management and board membership experience. Ms. Raff has been the Chairman and Chief Executive Officer of Helzberg Diamonds, a wholly owned subsidiary of Berkshire Hathaway Inc., since 2009. Before joining Helzberg Diamonds, from 2001 to 2009, Ms. Raff held senior merchandising positions with J.C. Penney Company, Inc. (“JC Penney”), most recently as Executive Vice President and General Merchandise Manager, where she was responsible for the day to day operation of the fine jewelry business and served on its Executive Board, which determined strategic direction and initiatives for JC Penney. Prior to JC Penney, Ms. Raff also was Chairman and Chief Executive Officer at Zale Corporation and held senior merchant positions at R. H. Macy &amp; Company. Currently, Ms. Raff serves on the Board of Directors of Helen of Troy, Ltd., including on its Audit Committee and formerly on its Compensation Committee, and on the Board of Directors of Larry H. Miller Company, including on its Governance and Compensation Committees. Previously, Ms. Raff spent seven years on the Board of Directors of The Michaels Companies, Inc., including on its Audit and Compensation Committees, eight years on the Board of Directors of Group 1 Automotive, Inc., including on its Compensation Committee and as chair of its Governance &amp; Nominating Committee, and ten years on the Board of Directors of Jo-Ann’s Stores, Inc., including on its Audit and Governance Committees and as chair of its Compensation Committee. Ms. Raff received her Bachelors of Business Administration from Boston University and her Masters of Business Administration from Drexel University. The Board selected Ms. Raff because of her executive leadership and management experience and extensive business and financial experience related to the retail industry.</w:t>
      </w:r>
    </w:p>
    <w:p>
      <w:pPr>
        <w:spacing w:after="0" w:line="231" w:lineRule="exact"/>
        <w:rPr>
          <w:sz w:val="20"/>
          <w:szCs w:val="20"/>
          <w:color w:val="auto"/>
        </w:rPr>
      </w:pPr>
    </w:p>
    <w:p>
      <w:pPr>
        <w:jc w:val="both"/>
        <w:ind w:right="100" w:firstLine="618"/>
        <w:spacing w:after="0" w:line="259" w:lineRule="auto"/>
        <w:rPr>
          <w:sz w:val="20"/>
          <w:szCs w:val="20"/>
          <w:color w:val="auto"/>
        </w:rPr>
      </w:pPr>
      <w:r>
        <w:rPr>
          <w:rFonts w:ascii="Arial" w:cs="Arial" w:eastAsia="Arial" w:hAnsi="Arial"/>
          <w:sz w:val="17"/>
          <w:szCs w:val="17"/>
          <w:color w:val="auto"/>
        </w:rPr>
        <w:t>As compensation for her service on the Board, Ms. Raff will receive the Company’s standard compensation for non-employee directors as disclosed in the Proxy Statement. There are no understandings or arrangements with any other person pursuant to which Ms. Raff was selected as a director, and Ms. Raff is not party to any related party transaction required to be reported pursuant to Item 404(a) of Regulation S-K.</w:t>
      </w:r>
    </w:p>
    <w:p>
      <w:pPr>
        <w:spacing w:after="0" w:line="217" w:lineRule="exact"/>
        <w:rPr>
          <w:sz w:val="20"/>
          <w:szCs w:val="20"/>
          <w:color w:val="auto"/>
        </w:rPr>
      </w:pPr>
    </w:p>
    <w:p>
      <w:pPr>
        <w:ind w:right="160" w:firstLine="618"/>
        <w:spacing w:after="0" w:line="265" w:lineRule="auto"/>
        <w:rPr>
          <w:sz w:val="20"/>
          <w:szCs w:val="20"/>
          <w:color w:val="auto"/>
        </w:rPr>
      </w:pPr>
      <w:r>
        <w:rPr>
          <w:rFonts w:ascii="Arial" w:cs="Arial" w:eastAsia="Arial" w:hAnsi="Arial"/>
          <w:sz w:val="17"/>
          <w:szCs w:val="17"/>
          <w:color w:val="auto"/>
        </w:rPr>
        <w:t>The Board considered the independence of Ms. Raff under the applicable Nasdaq Listing Rules and concluded that she is an independent director under the applicable Nasdaq Listing Rules.</w:t>
      </w:r>
    </w:p>
    <w:p>
      <w:pPr>
        <w:spacing w:after="0" w:line="212" w:lineRule="exact"/>
        <w:rPr>
          <w:sz w:val="20"/>
          <w:szCs w:val="20"/>
          <w:color w:val="auto"/>
        </w:rPr>
      </w:pPr>
    </w:p>
    <w:p>
      <w:pPr>
        <w:ind w:right="60" w:firstLine="618"/>
        <w:spacing w:after="0" w:line="259" w:lineRule="auto"/>
        <w:rPr>
          <w:sz w:val="20"/>
          <w:szCs w:val="20"/>
          <w:color w:val="auto"/>
        </w:rPr>
      </w:pPr>
      <w:r>
        <w:rPr>
          <w:rFonts w:ascii="Arial" w:cs="Arial" w:eastAsia="Arial" w:hAnsi="Arial"/>
          <w:sz w:val="17"/>
          <w:szCs w:val="17"/>
          <w:color w:val="auto"/>
        </w:rPr>
        <w:t>Additionally, effective as of the Effective Date, Allen I. Questrom stepped down as chairperson of the Governance Committee, to focus on his efforts as the Board’s Lead Director, and remains a member of the Governance Committee. Further, effective as of the Effective Date, the Board appointed Wendy A. Beck, an independent Class II director, to the Governance Committee to serve as its chairperson.</w:t>
      </w:r>
    </w:p>
    <w:p>
      <w:pPr>
        <w:spacing w:after="0" w:line="217" w:lineRule="exact"/>
        <w:rPr>
          <w:sz w:val="20"/>
          <w:szCs w:val="20"/>
          <w:color w:val="auto"/>
        </w:rPr>
      </w:pPr>
    </w:p>
    <w:p>
      <w:pPr>
        <w:ind w:firstLine="618"/>
        <w:spacing w:after="0" w:line="254" w:lineRule="auto"/>
        <w:rPr>
          <w:sz w:val="20"/>
          <w:szCs w:val="20"/>
          <w:color w:val="auto"/>
        </w:rPr>
      </w:pPr>
      <w:r>
        <w:rPr>
          <w:rFonts w:ascii="Arial" w:cs="Arial" w:eastAsia="Arial" w:hAnsi="Arial"/>
          <w:sz w:val="17"/>
          <w:szCs w:val="17"/>
          <w:color w:val="auto"/>
        </w:rPr>
        <w:t>As a result of the Resignations and the appointments of Ms. Raff to the Board and the Compensation Committee and Ms. Beck to the Governance Committee, the Board is comprised of nine directors, including six independent directors, the Compensation Committee is comprised of five directors, including three independent directors, and the Governance Committee is comprised of four directors, including three independent directors. The Board approved a further decrease in the size of the Board from nine directors to eight directors and a decrease in the size of the Compensation Committee from five directors to four directors, effective upon the expiration of Mr. William S. Simon’s term as a Class I director on June 3, 2021. Following the expiration of Mr. Simon’s term and subject to stockholder approval of the director nominees standing for re-election at the Company’s Annual Meeting of Stockholders on June 3, 2021, the Board is expected to be comprised of eight directors, including six independent directors, and the Compensation Committee is expected to be comprised of four directors, including three independent directors; the director classes are expected to be as follows: Class I: Brian Marley, Tom Nealon and Nate Taylor; Class II: Wendy Beck and Allen Questrom; and Class III: Ken Hicks, Jeff Tweedy and Beryl Raff; and the members of the Audit, Compensation and Governance Committees are expected to be as follows:</w:t>
      </w:r>
    </w:p>
    <w:p>
      <w:pPr>
        <w:sectPr>
          <w:pgSz w:w="11900" w:h="16838" w:orient="portrait"/>
          <w:cols w:equalWidth="0" w:num="1">
            <w:col w:w="11240"/>
          </w:cols>
          <w:pgMar w:left="320" w:top="1375" w:right="3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06"/>
        </w:trPr>
        <w:tc>
          <w:tcPr>
            <w:tcW w:w="2840" w:type="dxa"/>
            <w:vAlign w:val="bottom"/>
          </w:tcPr>
          <w:p>
            <w:pPr>
              <w:spacing w:after="0"/>
              <w:rPr>
                <w:sz w:val="17"/>
                <w:szCs w:val="17"/>
                <w:color w:val="auto"/>
              </w:rPr>
            </w:pPr>
          </w:p>
        </w:tc>
        <w:tc>
          <w:tcPr>
            <w:tcW w:w="2800" w:type="dxa"/>
            <w:vAlign w:val="bottom"/>
          </w:tcPr>
          <w:p>
            <w:pPr>
              <w:jc w:val="center"/>
              <w:ind w:left="514"/>
              <w:spacing w:after="0"/>
              <w:rPr>
                <w:sz w:val="20"/>
                <w:szCs w:val="20"/>
                <w:color w:val="auto"/>
              </w:rPr>
            </w:pPr>
            <w:r>
              <w:rPr>
                <w:rFonts w:ascii="Arial" w:cs="Arial" w:eastAsia="Arial" w:hAnsi="Arial"/>
                <w:sz w:val="17"/>
                <w:szCs w:val="17"/>
                <w:b w:val="1"/>
                <w:bCs w:val="1"/>
                <w:color w:val="auto"/>
              </w:rPr>
              <w:t>Audit</w:t>
            </w:r>
          </w:p>
        </w:tc>
        <w:tc>
          <w:tcPr>
            <w:tcW w:w="2820" w:type="dxa"/>
            <w:vAlign w:val="bottom"/>
          </w:tcPr>
          <w:p>
            <w:pPr>
              <w:jc w:val="center"/>
              <w:ind w:left="494"/>
              <w:spacing w:after="0"/>
              <w:rPr>
                <w:sz w:val="20"/>
                <w:szCs w:val="20"/>
                <w:color w:val="auto"/>
              </w:rPr>
            </w:pPr>
            <w:r>
              <w:rPr>
                <w:rFonts w:ascii="Arial" w:cs="Arial" w:eastAsia="Arial" w:hAnsi="Arial"/>
                <w:sz w:val="17"/>
                <w:szCs w:val="17"/>
                <w:b w:val="1"/>
                <w:bCs w:val="1"/>
                <w:color w:val="auto"/>
              </w:rPr>
              <w:t>Compensation</w:t>
            </w:r>
          </w:p>
        </w:tc>
        <w:tc>
          <w:tcPr>
            <w:tcW w:w="2260" w:type="dxa"/>
            <w:vAlign w:val="bottom"/>
            <w:vMerge w:val="restart"/>
          </w:tcPr>
          <w:p>
            <w:pPr>
              <w:ind w:left="1040"/>
              <w:spacing w:after="0"/>
              <w:rPr>
                <w:sz w:val="20"/>
                <w:szCs w:val="20"/>
                <w:color w:val="auto"/>
              </w:rPr>
            </w:pPr>
            <w:r>
              <w:rPr>
                <w:rFonts w:ascii="Arial" w:cs="Arial" w:eastAsia="Arial" w:hAnsi="Arial"/>
                <w:sz w:val="17"/>
                <w:szCs w:val="17"/>
                <w:b w:val="1"/>
                <w:bCs w:val="1"/>
                <w:color w:val="auto"/>
              </w:rPr>
              <w:t>Nominating an</w:t>
            </w:r>
          </w:p>
        </w:tc>
        <w:tc>
          <w:tcPr>
            <w:tcW w:w="0" w:type="dxa"/>
            <w:vAlign w:val="bottom"/>
          </w:tcPr>
          <w:p>
            <w:pPr>
              <w:spacing w:after="0"/>
              <w:rPr>
                <w:sz w:val="1"/>
                <w:szCs w:val="1"/>
                <w:color w:val="auto"/>
              </w:rPr>
            </w:pPr>
          </w:p>
        </w:tc>
      </w:tr>
      <w:tr>
        <w:trPr>
          <w:trHeight w:val="34"/>
        </w:trPr>
        <w:tc>
          <w:tcPr>
            <w:tcW w:w="2840" w:type="dxa"/>
            <w:vAlign w:val="bottom"/>
          </w:tcPr>
          <w:p>
            <w:pPr>
              <w:spacing w:after="0"/>
              <w:rPr>
                <w:sz w:val="2"/>
                <w:szCs w:val="2"/>
                <w:color w:val="auto"/>
              </w:rPr>
            </w:pPr>
          </w:p>
        </w:tc>
        <w:tc>
          <w:tcPr>
            <w:tcW w:w="2800" w:type="dxa"/>
            <w:vAlign w:val="bottom"/>
            <w:vMerge w:val="restart"/>
          </w:tcPr>
          <w:p>
            <w:pPr>
              <w:jc w:val="center"/>
              <w:ind w:left="514"/>
              <w:spacing w:after="0"/>
              <w:rPr>
                <w:sz w:val="20"/>
                <w:szCs w:val="20"/>
                <w:color w:val="auto"/>
              </w:rPr>
            </w:pPr>
            <w:r>
              <w:rPr>
                <w:rFonts w:ascii="Arial" w:cs="Arial" w:eastAsia="Arial" w:hAnsi="Arial"/>
                <w:sz w:val="17"/>
                <w:szCs w:val="17"/>
                <w:b w:val="1"/>
                <w:bCs w:val="1"/>
                <w:color w:val="auto"/>
              </w:rPr>
              <w:t>Committee</w:t>
            </w:r>
          </w:p>
        </w:tc>
        <w:tc>
          <w:tcPr>
            <w:tcW w:w="2820" w:type="dxa"/>
            <w:vAlign w:val="bottom"/>
            <w:vMerge w:val="restart"/>
          </w:tcPr>
          <w:p>
            <w:pPr>
              <w:jc w:val="center"/>
              <w:ind w:left="494"/>
              <w:spacing w:after="0"/>
              <w:rPr>
                <w:sz w:val="20"/>
                <w:szCs w:val="20"/>
                <w:color w:val="auto"/>
              </w:rPr>
            </w:pPr>
            <w:r>
              <w:rPr>
                <w:rFonts w:ascii="Arial" w:cs="Arial" w:eastAsia="Arial" w:hAnsi="Arial"/>
                <w:sz w:val="17"/>
                <w:szCs w:val="17"/>
                <w:b w:val="1"/>
                <w:bCs w:val="1"/>
                <w:color w:val="auto"/>
              </w:rPr>
              <w:t>Committee</w:t>
            </w:r>
          </w:p>
        </w:tc>
        <w:tc>
          <w:tcPr>
            <w:tcW w:w="22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84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vMerge w:val="continue"/>
          </w:tcPr>
          <w:p>
            <w:pPr>
              <w:spacing w:after="0"/>
              <w:rPr>
                <w:sz w:val="19"/>
                <w:szCs w:val="19"/>
                <w:color w:val="auto"/>
              </w:rPr>
            </w:pPr>
          </w:p>
        </w:tc>
        <w:tc>
          <w:tcPr>
            <w:tcW w:w="2820" w:type="dxa"/>
            <w:vAlign w:val="bottom"/>
            <w:tcBorders>
              <w:bottom w:val="single" w:sz="8" w:color="auto"/>
            </w:tcBorders>
            <w:vMerge w:val="continue"/>
          </w:tcPr>
          <w:p>
            <w:pPr>
              <w:spacing w:after="0"/>
              <w:rPr>
                <w:sz w:val="19"/>
                <w:szCs w:val="19"/>
                <w:color w:val="auto"/>
              </w:rPr>
            </w:pPr>
          </w:p>
        </w:tc>
        <w:tc>
          <w:tcPr>
            <w:tcW w:w="2260" w:type="dxa"/>
            <w:vAlign w:val="bottom"/>
            <w:tcBorders>
              <w:bottom w:val="single" w:sz="8" w:color="auto"/>
            </w:tcBorders>
          </w:tcPr>
          <w:p>
            <w:pPr>
              <w:ind w:left="420"/>
              <w:spacing w:after="0"/>
              <w:rPr>
                <w:sz w:val="20"/>
                <w:szCs w:val="20"/>
                <w:color w:val="auto"/>
              </w:rPr>
            </w:pPr>
            <w:r>
              <w:rPr>
                <w:rFonts w:ascii="Arial" w:cs="Arial" w:eastAsia="Arial" w:hAnsi="Arial"/>
                <w:sz w:val="17"/>
                <w:szCs w:val="17"/>
                <w:b w:val="1"/>
                <w:bCs w:val="1"/>
                <w:color w:val="auto"/>
              </w:rPr>
              <w:t>Governance Committe</w:t>
            </w:r>
          </w:p>
        </w:tc>
        <w:tc>
          <w:tcPr>
            <w:tcW w:w="0" w:type="dxa"/>
            <w:vAlign w:val="bottom"/>
          </w:tcPr>
          <w:p>
            <w:pPr>
              <w:spacing w:after="0"/>
              <w:rPr>
                <w:sz w:val="1"/>
                <w:szCs w:val="1"/>
                <w:color w:val="auto"/>
              </w:rPr>
            </w:pPr>
          </w:p>
        </w:tc>
      </w:tr>
      <w:tr>
        <w:trPr>
          <w:trHeight w:val="212"/>
        </w:trPr>
        <w:tc>
          <w:tcPr>
            <w:tcW w:w="2840" w:type="dxa"/>
            <w:vAlign w:val="bottom"/>
            <w:tcBorders>
              <w:left w:val="single" w:sz="8" w:color="auto"/>
              <w:right w:val="single" w:sz="8" w:color="auto"/>
            </w:tcBorders>
            <w:shd w:val="clear" w:color="auto" w:fill="DBDBDB"/>
          </w:tcPr>
          <w:p>
            <w:pPr>
              <w:ind w:left="640"/>
              <w:spacing w:after="0" w:line="211" w:lineRule="exact"/>
              <w:rPr>
                <w:sz w:val="20"/>
                <w:szCs w:val="20"/>
                <w:color w:val="auto"/>
              </w:rPr>
            </w:pPr>
            <w:r>
              <w:rPr>
                <w:rFonts w:ascii="Arial" w:cs="Arial" w:eastAsia="Arial" w:hAnsi="Arial"/>
                <w:sz w:val="17"/>
                <w:szCs w:val="17"/>
                <w:color w:val="auto"/>
              </w:rPr>
              <w:t>Wendy A. Beck</w:t>
            </w:r>
            <w:r>
              <w:rPr>
                <w:rFonts w:ascii="Arial" w:cs="Arial" w:eastAsia="Arial" w:hAnsi="Arial"/>
                <w:sz w:val="22"/>
                <w:szCs w:val="22"/>
                <w:b w:val="1"/>
                <w:bCs w:val="1"/>
                <w:color w:val="auto"/>
                <w:vertAlign w:val="superscript"/>
              </w:rPr>
              <w:t>(I)*</w:t>
            </w:r>
          </w:p>
        </w:tc>
        <w:tc>
          <w:tcPr>
            <w:tcW w:w="2800" w:type="dxa"/>
            <w:vAlign w:val="bottom"/>
            <w:tcBorders>
              <w:right w:val="single" w:sz="8" w:color="auto"/>
            </w:tcBorders>
            <w:shd w:val="clear" w:color="auto" w:fill="DBDBDB"/>
          </w:tcPr>
          <w:p>
            <w:pPr>
              <w:jc w:val="center"/>
              <w:ind w:left="514"/>
              <w:spacing w:after="0"/>
              <w:rPr>
                <w:sz w:val="20"/>
                <w:szCs w:val="20"/>
                <w:color w:val="auto"/>
              </w:rPr>
            </w:pPr>
            <w:r>
              <w:rPr>
                <w:rFonts w:ascii="Arial" w:cs="Arial" w:eastAsia="Arial" w:hAnsi="Arial"/>
                <w:sz w:val="17"/>
                <w:szCs w:val="17"/>
                <w:color w:val="auto"/>
              </w:rPr>
              <w:t>X</w:t>
            </w:r>
          </w:p>
        </w:tc>
        <w:tc>
          <w:tcPr>
            <w:tcW w:w="2820" w:type="dxa"/>
            <w:vAlign w:val="bottom"/>
            <w:tcBorders>
              <w:right w:val="single" w:sz="8" w:color="auto"/>
            </w:tcBorders>
            <w:shd w:val="clear" w:color="auto" w:fill="DBDBDB"/>
          </w:tcPr>
          <w:p>
            <w:pPr>
              <w:spacing w:after="0"/>
              <w:rPr>
                <w:sz w:val="18"/>
                <w:szCs w:val="18"/>
                <w:color w:val="auto"/>
              </w:rPr>
            </w:pPr>
          </w:p>
        </w:tc>
        <w:tc>
          <w:tcPr>
            <w:tcW w:w="2260" w:type="dxa"/>
            <w:vAlign w:val="bottom"/>
            <w:shd w:val="clear" w:color="auto" w:fill="DBDBDB"/>
          </w:tcPr>
          <w:p>
            <w:pPr>
              <w:jc w:val="center"/>
              <w:ind w:left="1054"/>
              <w:spacing w:after="0"/>
              <w:rPr>
                <w:sz w:val="20"/>
                <w:szCs w:val="20"/>
                <w:color w:val="auto"/>
              </w:rPr>
            </w:pPr>
            <w:r>
              <w:rPr>
                <w:rFonts w:ascii="Arial" w:cs="Arial" w:eastAsia="Arial" w:hAnsi="Arial"/>
                <w:sz w:val="17"/>
                <w:szCs w:val="17"/>
                <w:color w:val="auto"/>
                <w:w w:val="98"/>
              </w:rPr>
              <w:t>Chair</w:t>
            </w:r>
          </w:p>
        </w:tc>
        <w:tc>
          <w:tcPr>
            <w:tcW w:w="0" w:type="dxa"/>
            <w:vAlign w:val="bottom"/>
          </w:tcPr>
          <w:p>
            <w:pPr>
              <w:spacing w:after="0"/>
              <w:rPr>
                <w:sz w:val="1"/>
                <w:szCs w:val="1"/>
                <w:color w:val="auto"/>
              </w:rPr>
            </w:pPr>
          </w:p>
        </w:tc>
      </w:tr>
      <w:tr>
        <w:trPr>
          <w:trHeight w:val="219"/>
        </w:trPr>
        <w:tc>
          <w:tcPr>
            <w:tcW w:w="2840" w:type="dxa"/>
            <w:vAlign w:val="bottom"/>
            <w:tcBorders>
              <w:left w:val="single" w:sz="8" w:color="auto"/>
              <w:right w:val="single" w:sz="8" w:color="auto"/>
            </w:tcBorders>
          </w:tcPr>
          <w:p>
            <w:pPr>
              <w:ind w:left="640"/>
              <w:spacing w:after="0" w:line="219" w:lineRule="exact"/>
              <w:rPr>
                <w:sz w:val="20"/>
                <w:szCs w:val="20"/>
                <w:color w:val="auto"/>
              </w:rPr>
            </w:pPr>
            <w:r>
              <w:rPr>
                <w:rFonts w:ascii="Arial" w:cs="Arial" w:eastAsia="Arial" w:hAnsi="Arial"/>
                <w:sz w:val="17"/>
                <w:szCs w:val="17"/>
                <w:color w:val="auto"/>
              </w:rPr>
              <w:t>Ken C. Hicks</w:t>
            </w:r>
            <w:r>
              <w:rPr>
                <w:rFonts w:ascii="Arial" w:cs="Arial" w:eastAsia="Arial" w:hAnsi="Arial"/>
                <w:sz w:val="22"/>
                <w:szCs w:val="22"/>
                <w:b w:val="1"/>
                <w:bCs w:val="1"/>
                <w:color w:val="auto"/>
                <w:vertAlign w:val="superscript"/>
              </w:rPr>
              <w:t>C</w:t>
            </w:r>
          </w:p>
        </w:tc>
        <w:tc>
          <w:tcPr>
            <w:tcW w:w="280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840" w:type="dxa"/>
            <w:vAlign w:val="bottom"/>
            <w:tcBorders>
              <w:left w:val="single" w:sz="8" w:color="auto"/>
              <w:right w:val="single" w:sz="8" w:color="auto"/>
            </w:tcBorders>
            <w:shd w:val="clear" w:color="auto" w:fill="DBDBDB"/>
          </w:tcPr>
          <w:p>
            <w:pPr>
              <w:ind w:left="640"/>
              <w:spacing w:after="0" w:line="219" w:lineRule="exact"/>
              <w:rPr>
                <w:sz w:val="20"/>
                <w:szCs w:val="20"/>
                <w:color w:val="auto"/>
              </w:rPr>
            </w:pPr>
            <w:r>
              <w:rPr>
                <w:rFonts w:ascii="Arial" w:cs="Arial" w:eastAsia="Arial" w:hAnsi="Arial"/>
                <w:sz w:val="17"/>
                <w:szCs w:val="17"/>
                <w:color w:val="auto"/>
              </w:rPr>
              <w:t>Brian T. Marley</w:t>
            </w:r>
            <w:r>
              <w:rPr>
                <w:rFonts w:ascii="Arial" w:cs="Arial" w:eastAsia="Arial" w:hAnsi="Arial"/>
                <w:sz w:val="22"/>
                <w:szCs w:val="22"/>
                <w:b w:val="1"/>
                <w:bCs w:val="1"/>
                <w:color w:val="auto"/>
                <w:vertAlign w:val="superscript"/>
              </w:rPr>
              <w:t>(I)*</w:t>
            </w:r>
          </w:p>
        </w:tc>
        <w:tc>
          <w:tcPr>
            <w:tcW w:w="2800" w:type="dxa"/>
            <w:vAlign w:val="bottom"/>
            <w:tcBorders>
              <w:right w:val="single" w:sz="8" w:color="auto"/>
            </w:tcBorders>
            <w:shd w:val="clear" w:color="auto" w:fill="DBDBDB"/>
          </w:tcPr>
          <w:p>
            <w:pPr>
              <w:jc w:val="center"/>
              <w:ind w:left="514"/>
              <w:spacing w:after="0"/>
              <w:rPr>
                <w:sz w:val="20"/>
                <w:szCs w:val="20"/>
                <w:color w:val="auto"/>
              </w:rPr>
            </w:pPr>
            <w:r>
              <w:rPr>
                <w:rFonts w:ascii="Arial" w:cs="Arial" w:eastAsia="Arial" w:hAnsi="Arial"/>
                <w:sz w:val="17"/>
                <w:szCs w:val="17"/>
                <w:color w:val="auto"/>
                <w:w w:val="98"/>
              </w:rPr>
              <w:t>Chair</w:t>
            </w:r>
          </w:p>
        </w:tc>
        <w:tc>
          <w:tcPr>
            <w:tcW w:w="2820" w:type="dxa"/>
            <w:vAlign w:val="bottom"/>
            <w:tcBorders>
              <w:right w:val="single" w:sz="8" w:color="auto"/>
            </w:tcBorders>
            <w:shd w:val="clear" w:color="auto" w:fill="DBDBDB"/>
          </w:tcPr>
          <w:p>
            <w:pPr>
              <w:spacing w:after="0"/>
              <w:rPr>
                <w:sz w:val="19"/>
                <w:szCs w:val="19"/>
                <w:color w:val="auto"/>
              </w:rPr>
            </w:pPr>
          </w:p>
        </w:tc>
        <w:tc>
          <w:tcPr>
            <w:tcW w:w="226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840" w:type="dxa"/>
            <w:vAlign w:val="bottom"/>
            <w:tcBorders>
              <w:left w:val="single" w:sz="8" w:color="auto"/>
              <w:right w:val="single" w:sz="8" w:color="auto"/>
            </w:tcBorders>
          </w:tcPr>
          <w:p>
            <w:pPr>
              <w:ind w:left="640"/>
              <w:spacing w:after="0" w:line="219" w:lineRule="exact"/>
              <w:rPr>
                <w:sz w:val="20"/>
                <w:szCs w:val="20"/>
                <w:color w:val="auto"/>
              </w:rPr>
            </w:pPr>
            <w:r>
              <w:rPr>
                <w:rFonts w:ascii="Arial" w:cs="Arial" w:eastAsia="Arial" w:hAnsi="Arial"/>
                <w:sz w:val="17"/>
                <w:szCs w:val="17"/>
                <w:color w:val="auto"/>
              </w:rPr>
              <w:t>Tom M. Nealon</w:t>
            </w:r>
            <w:r>
              <w:rPr>
                <w:rFonts w:ascii="Arial" w:cs="Arial" w:eastAsia="Arial" w:hAnsi="Arial"/>
                <w:sz w:val="22"/>
                <w:szCs w:val="22"/>
                <w:b w:val="1"/>
                <w:bCs w:val="1"/>
                <w:color w:val="auto"/>
                <w:vertAlign w:val="superscript"/>
              </w:rPr>
              <w:t>(I)</w:t>
            </w:r>
          </w:p>
        </w:tc>
        <w:tc>
          <w:tcPr>
            <w:tcW w:w="280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tcPr>
          <w:p>
            <w:pPr>
              <w:jc w:val="center"/>
              <w:ind w:left="514"/>
              <w:spacing w:after="0"/>
              <w:rPr>
                <w:sz w:val="20"/>
                <w:szCs w:val="20"/>
                <w:color w:val="auto"/>
              </w:rPr>
            </w:pPr>
            <w:r>
              <w:rPr>
                <w:rFonts w:ascii="Arial" w:cs="Arial" w:eastAsia="Arial" w:hAnsi="Arial"/>
                <w:sz w:val="17"/>
                <w:szCs w:val="17"/>
                <w:color w:val="auto"/>
                <w:w w:val="87"/>
              </w:rPr>
              <w:t>X</w:t>
            </w: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840" w:type="dxa"/>
            <w:vAlign w:val="bottom"/>
            <w:tcBorders>
              <w:left w:val="single" w:sz="8" w:color="auto"/>
              <w:right w:val="single" w:sz="8" w:color="auto"/>
            </w:tcBorders>
            <w:shd w:val="clear" w:color="auto" w:fill="DBDBDB"/>
          </w:tcPr>
          <w:p>
            <w:pPr>
              <w:ind w:left="640"/>
              <w:spacing w:after="0" w:line="219" w:lineRule="exact"/>
              <w:rPr>
                <w:sz w:val="20"/>
                <w:szCs w:val="20"/>
                <w:color w:val="auto"/>
              </w:rPr>
            </w:pPr>
            <w:r>
              <w:rPr>
                <w:rFonts w:ascii="Arial" w:cs="Arial" w:eastAsia="Arial" w:hAnsi="Arial"/>
                <w:sz w:val="17"/>
                <w:szCs w:val="17"/>
                <w:color w:val="auto"/>
              </w:rPr>
              <w:t>Allen I. Questrom</w:t>
            </w:r>
            <w:r>
              <w:rPr>
                <w:rFonts w:ascii="Arial" w:cs="Arial" w:eastAsia="Arial" w:hAnsi="Arial"/>
                <w:sz w:val="22"/>
                <w:szCs w:val="22"/>
                <w:b w:val="1"/>
                <w:bCs w:val="1"/>
                <w:color w:val="auto"/>
                <w:vertAlign w:val="superscript"/>
              </w:rPr>
              <w:t>(I)*LD</w:t>
            </w:r>
          </w:p>
        </w:tc>
        <w:tc>
          <w:tcPr>
            <w:tcW w:w="2800" w:type="dxa"/>
            <w:vAlign w:val="bottom"/>
            <w:tcBorders>
              <w:right w:val="single" w:sz="8" w:color="auto"/>
            </w:tcBorders>
            <w:shd w:val="clear" w:color="auto" w:fill="DBDBDB"/>
          </w:tcPr>
          <w:p>
            <w:pPr>
              <w:jc w:val="center"/>
              <w:ind w:left="514"/>
              <w:spacing w:after="0"/>
              <w:rPr>
                <w:sz w:val="20"/>
                <w:szCs w:val="20"/>
                <w:color w:val="auto"/>
              </w:rPr>
            </w:pPr>
            <w:r>
              <w:rPr>
                <w:rFonts w:ascii="Arial" w:cs="Arial" w:eastAsia="Arial" w:hAnsi="Arial"/>
                <w:sz w:val="17"/>
                <w:szCs w:val="17"/>
                <w:color w:val="auto"/>
              </w:rPr>
              <w:t>X</w:t>
            </w:r>
          </w:p>
        </w:tc>
        <w:tc>
          <w:tcPr>
            <w:tcW w:w="2820" w:type="dxa"/>
            <w:vAlign w:val="bottom"/>
            <w:tcBorders>
              <w:right w:val="single" w:sz="8" w:color="auto"/>
            </w:tcBorders>
            <w:shd w:val="clear" w:color="auto" w:fill="DBDBDB"/>
          </w:tcPr>
          <w:p>
            <w:pPr>
              <w:spacing w:after="0"/>
              <w:rPr>
                <w:sz w:val="19"/>
                <w:szCs w:val="19"/>
                <w:color w:val="auto"/>
              </w:rPr>
            </w:pPr>
          </w:p>
        </w:tc>
        <w:tc>
          <w:tcPr>
            <w:tcW w:w="2260" w:type="dxa"/>
            <w:vAlign w:val="bottom"/>
            <w:shd w:val="clear" w:color="auto" w:fill="DBDBDB"/>
          </w:tcPr>
          <w:p>
            <w:pPr>
              <w:jc w:val="center"/>
              <w:ind w:left="1054"/>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219"/>
        </w:trPr>
        <w:tc>
          <w:tcPr>
            <w:tcW w:w="2840" w:type="dxa"/>
            <w:vAlign w:val="bottom"/>
            <w:tcBorders>
              <w:left w:val="single" w:sz="8" w:color="auto"/>
              <w:right w:val="single" w:sz="8" w:color="auto"/>
            </w:tcBorders>
          </w:tcPr>
          <w:p>
            <w:pPr>
              <w:ind w:left="640"/>
              <w:spacing w:after="0" w:line="219" w:lineRule="exact"/>
              <w:rPr>
                <w:sz w:val="20"/>
                <w:szCs w:val="20"/>
                <w:color w:val="auto"/>
              </w:rPr>
            </w:pPr>
            <w:r>
              <w:rPr>
                <w:rFonts w:ascii="Arial" w:cs="Arial" w:eastAsia="Arial" w:hAnsi="Arial"/>
                <w:sz w:val="17"/>
                <w:szCs w:val="17"/>
                <w:color w:val="auto"/>
              </w:rPr>
              <w:t>Beryl B. Raff</w:t>
            </w:r>
            <w:r>
              <w:rPr>
                <w:rFonts w:ascii="Arial" w:cs="Arial" w:eastAsia="Arial" w:hAnsi="Arial"/>
                <w:sz w:val="22"/>
                <w:szCs w:val="22"/>
                <w:b w:val="1"/>
                <w:bCs w:val="1"/>
                <w:color w:val="auto"/>
                <w:vertAlign w:val="superscript"/>
              </w:rPr>
              <w:t>(I)</w:t>
            </w:r>
          </w:p>
        </w:tc>
        <w:tc>
          <w:tcPr>
            <w:tcW w:w="280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tcPr>
          <w:p>
            <w:pPr>
              <w:jc w:val="center"/>
              <w:ind w:left="514"/>
              <w:spacing w:after="0"/>
              <w:rPr>
                <w:sz w:val="20"/>
                <w:szCs w:val="20"/>
                <w:color w:val="auto"/>
              </w:rPr>
            </w:pPr>
            <w:r>
              <w:rPr>
                <w:rFonts w:ascii="Arial" w:cs="Arial" w:eastAsia="Arial" w:hAnsi="Arial"/>
                <w:sz w:val="17"/>
                <w:szCs w:val="17"/>
                <w:color w:val="auto"/>
                <w:w w:val="87"/>
              </w:rPr>
              <w:t>X</w:t>
            </w: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840" w:type="dxa"/>
            <w:vAlign w:val="bottom"/>
            <w:tcBorders>
              <w:left w:val="single" w:sz="8" w:color="auto"/>
              <w:right w:val="single" w:sz="8" w:color="auto"/>
            </w:tcBorders>
            <w:shd w:val="clear" w:color="auto" w:fill="DBDBDB"/>
          </w:tcPr>
          <w:p>
            <w:pPr>
              <w:ind w:left="640"/>
              <w:spacing w:after="0"/>
              <w:rPr>
                <w:sz w:val="20"/>
                <w:szCs w:val="20"/>
                <w:color w:val="auto"/>
              </w:rPr>
            </w:pPr>
            <w:r>
              <w:rPr>
                <w:rFonts w:ascii="Arial" w:cs="Arial" w:eastAsia="Arial" w:hAnsi="Arial"/>
                <w:sz w:val="17"/>
                <w:szCs w:val="17"/>
                <w:color w:val="auto"/>
              </w:rPr>
              <w:t>Nate H. Taylor</w:t>
            </w:r>
          </w:p>
        </w:tc>
        <w:tc>
          <w:tcPr>
            <w:tcW w:w="2800" w:type="dxa"/>
            <w:vAlign w:val="bottom"/>
            <w:tcBorders>
              <w:right w:val="single" w:sz="8" w:color="auto"/>
            </w:tcBorders>
            <w:shd w:val="clear" w:color="auto" w:fill="DBDBDB"/>
          </w:tcPr>
          <w:p>
            <w:pPr>
              <w:spacing w:after="0"/>
              <w:rPr>
                <w:sz w:val="19"/>
                <w:szCs w:val="19"/>
                <w:color w:val="auto"/>
              </w:rPr>
            </w:pPr>
          </w:p>
        </w:tc>
        <w:tc>
          <w:tcPr>
            <w:tcW w:w="2820" w:type="dxa"/>
            <w:vAlign w:val="bottom"/>
            <w:tcBorders>
              <w:right w:val="single" w:sz="8" w:color="auto"/>
            </w:tcBorders>
            <w:shd w:val="clear" w:color="auto" w:fill="DBDBDB"/>
          </w:tcPr>
          <w:p>
            <w:pPr>
              <w:jc w:val="center"/>
              <w:ind w:left="514"/>
              <w:spacing w:after="0"/>
              <w:rPr>
                <w:sz w:val="20"/>
                <w:szCs w:val="20"/>
                <w:color w:val="auto"/>
              </w:rPr>
            </w:pPr>
            <w:r>
              <w:rPr>
                <w:rFonts w:ascii="Arial" w:cs="Arial" w:eastAsia="Arial" w:hAnsi="Arial"/>
                <w:sz w:val="17"/>
                <w:szCs w:val="17"/>
                <w:color w:val="auto"/>
              </w:rPr>
              <w:t>Chair</w:t>
            </w:r>
          </w:p>
        </w:tc>
        <w:tc>
          <w:tcPr>
            <w:tcW w:w="2260" w:type="dxa"/>
            <w:vAlign w:val="bottom"/>
            <w:shd w:val="clear" w:color="auto" w:fill="DBDBDB"/>
          </w:tcPr>
          <w:p>
            <w:pPr>
              <w:jc w:val="center"/>
              <w:ind w:left="1054"/>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219"/>
        </w:trPr>
        <w:tc>
          <w:tcPr>
            <w:tcW w:w="2840" w:type="dxa"/>
            <w:vAlign w:val="bottom"/>
            <w:tcBorders>
              <w:left w:val="single" w:sz="8" w:color="auto"/>
              <w:bottom w:val="single" w:sz="8" w:color="auto"/>
              <w:right w:val="single" w:sz="8" w:color="auto"/>
            </w:tcBorders>
          </w:tcPr>
          <w:p>
            <w:pPr>
              <w:ind w:left="640"/>
              <w:spacing w:after="0" w:line="219" w:lineRule="exact"/>
              <w:rPr>
                <w:sz w:val="20"/>
                <w:szCs w:val="20"/>
                <w:color w:val="auto"/>
              </w:rPr>
            </w:pPr>
            <w:r>
              <w:rPr>
                <w:rFonts w:ascii="Arial" w:cs="Arial" w:eastAsia="Arial" w:hAnsi="Arial"/>
                <w:sz w:val="17"/>
                <w:szCs w:val="17"/>
                <w:color w:val="auto"/>
              </w:rPr>
              <w:t>Jeff C. Tweedy</w:t>
            </w:r>
            <w:r>
              <w:rPr>
                <w:rFonts w:ascii="Arial" w:cs="Arial" w:eastAsia="Arial" w:hAnsi="Arial"/>
                <w:sz w:val="22"/>
                <w:szCs w:val="22"/>
                <w:b w:val="1"/>
                <w:bCs w:val="1"/>
                <w:color w:val="auto"/>
                <w:vertAlign w:val="superscript"/>
              </w:rPr>
              <w:t>(I)</w:t>
            </w:r>
          </w:p>
        </w:tc>
        <w:tc>
          <w:tcPr>
            <w:tcW w:w="2800" w:type="dxa"/>
            <w:vAlign w:val="bottom"/>
            <w:tcBorders>
              <w:bottom w:val="single" w:sz="8" w:color="auto"/>
              <w:right w:val="single" w:sz="8" w:color="auto"/>
            </w:tcBorders>
          </w:tcPr>
          <w:p>
            <w:pPr>
              <w:spacing w:after="0"/>
              <w:rPr>
                <w:sz w:val="19"/>
                <w:szCs w:val="19"/>
                <w:color w:val="auto"/>
              </w:rPr>
            </w:pPr>
          </w:p>
        </w:tc>
        <w:tc>
          <w:tcPr>
            <w:tcW w:w="2820" w:type="dxa"/>
            <w:vAlign w:val="bottom"/>
            <w:tcBorders>
              <w:bottom w:val="single" w:sz="8" w:color="auto"/>
              <w:right w:val="single" w:sz="8" w:color="auto"/>
            </w:tcBorders>
          </w:tcPr>
          <w:p>
            <w:pPr>
              <w:jc w:val="center"/>
              <w:ind w:left="514"/>
              <w:spacing w:after="0"/>
              <w:rPr>
                <w:sz w:val="20"/>
                <w:szCs w:val="20"/>
                <w:color w:val="auto"/>
              </w:rPr>
            </w:pPr>
            <w:r>
              <w:rPr>
                <w:rFonts w:ascii="Arial" w:cs="Arial" w:eastAsia="Arial" w:hAnsi="Arial"/>
                <w:sz w:val="17"/>
                <w:szCs w:val="17"/>
                <w:color w:val="auto"/>
                <w:w w:val="87"/>
              </w:rPr>
              <w:t>X</w:t>
            </w:r>
          </w:p>
        </w:tc>
        <w:tc>
          <w:tcPr>
            <w:tcW w:w="2260" w:type="dxa"/>
            <w:vAlign w:val="bottom"/>
            <w:tcBorders>
              <w:bottom w:val="single" w:sz="8" w:color="auto"/>
            </w:tcBorders>
          </w:tcPr>
          <w:p>
            <w:pPr>
              <w:jc w:val="center"/>
              <w:ind w:left="1054"/>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bl>
    <w:p>
      <w:pPr>
        <w:spacing w:after="0" w:line="69" w:lineRule="exact"/>
        <w:rPr>
          <w:sz w:val="20"/>
          <w:szCs w:val="20"/>
          <w:color w:val="auto"/>
        </w:rPr>
      </w:pPr>
    </w:p>
    <w:p>
      <w:pPr>
        <w:ind w:right="8760" w:firstLine="1"/>
        <w:spacing w:after="0" w:line="217" w:lineRule="auto"/>
        <w:tabs>
          <w:tab w:leader="none" w:pos="111" w:val="left"/>
        </w:tabs>
        <w:numPr>
          <w:ilvl w:val="0"/>
          <w:numId w:val="6"/>
        </w:numPr>
        <w:rPr>
          <w:rFonts w:ascii="Arial" w:cs="Arial" w:eastAsia="Arial" w:hAnsi="Arial"/>
          <w:sz w:val="22"/>
          <w:szCs w:val="22"/>
          <w:b w:val="1"/>
          <w:bCs w:val="1"/>
          <w:color w:val="auto"/>
          <w:vertAlign w:val="superscript"/>
        </w:rPr>
      </w:pPr>
      <w:r>
        <w:rPr>
          <w:rFonts w:ascii="Arial" w:cs="Arial" w:eastAsia="Arial" w:hAnsi="Arial"/>
          <w:sz w:val="17"/>
          <w:szCs w:val="17"/>
          <w:b w:val="1"/>
          <w:bCs w:val="1"/>
          <w:color w:val="auto"/>
        </w:rPr>
        <w:t xml:space="preserve">Chairman of the Board </w:t>
      </w:r>
      <w:r>
        <w:rPr>
          <w:rFonts w:ascii="Arial" w:cs="Arial" w:eastAsia="Arial" w:hAnsi="Arial"/>
          <w:sz w:val="22"/>
          <w:szCs w:val="22"/>
          <w:color w:val="auto"/>
          <w:vertAlign w:val="superscript"/>
        </w:rPr>
        <w:t>(</w:t>
      </w:r>
      <w:r>
        <w:rPr>
          <w:rFonts w:ascii="Arial" w:cs="Arial" w:eastAsia="Arial" w:hAnsi="Arial"/>
          <w:sz w:val="22"/>
          <w:szCs w:val="22"/>
          <w:b w:val="1"/>
          <w:bCs w:val="1"/>
          <w:color w:val="auto"/>
          <w:vertAlign w:val="superscript"/>
        </w:rPr>
        <w:t>I)</w:t>
      </w:r>
      <w:r>
        <w:rPr>
          <w:rFonts w:ascii="Arial" w:cs="Arial" w:eastAsia="Arial" w:hAnsi="Arial"/>
          <w:sz w:val="17"/>
          <w:szCs w:val="17"/>
          <w:b w:val="1"/>
          <w:bCs w:val="1"/>
          <w:color w:val="auto"/>
        </w:rPr>
        <w:t xml:space="preserve"> Independent Director</w:t>
      </w:r>
    </w:p>
    <w:p>
      <w:pPr>
        <w:ind w:right="7500"/>
        <w:spacing w:after="0" w:line="207" w:lineRule="auto"/>
        <w:rPr>
          <w:rFonts w:ascii="Arial" w:cs="Arial" w:eastAsia="Arial" w:hAnsi="Arial"/>
          <w:sz w:val="22"/>
          <w:szCs w:val="22"/>
          <w:b w:val="1"/>
          <w:bCs w:val="1"/>
          <w:color w:val="auto"/>
          <w:vertAlign w:val="superscript"/>
        </w:rPr>
      </w:pPr>
      <w:r>
        <w:rPr>
          <w:rFonts w:ascii="Arial" w:cs="Arial" w:eastAsia="Arial" w:hAnsi="Arial"/>
          <w:sz w:val="22"/>
          <w:szCs w:val="22"/>
          <w:b w:val="1"/>
          <w:bCs w:val="1"/>
          <w:color w:val="auto"/>
          <w:vertAlign w:val="superscript"/>
        </w:rPr>
        <w:t>*</w:t>
      </w:r>
      <w:r>
        <w:rPr>
          <w:rFonts w:ascii="Arial" w:cs="Arial" w:eastAsia="Arial" w:hAnsi="Arial"/>
          <w:sz w:val="17"/>
          <w:szCs w:val="17"/>
          <w:b w:val="1"/>
          <w:bCs w:val="1"/>
          <w:color w:val="auto"/>
        </w:rPr>
        <w:t xml:space="preserve"> SEC Audit Committee Financial Expert </w:t>
      </w:r>
      <w:r>
        <w:rPr>
          <w:rFonts w:ascii="Arial" w:cs="Arial" w:eastAsia="Arial" w:hAnsi="Arial"/>
          <w:sz w:val="22"/>
          <w:szCs w:val="22"/>
          <w:b w:val="1"/>
          <w:bCs w:val="1"/>
          <w:color w:val="auto"/>
          <w:vertAlign w:val="superscript"/>
        </w:rPr>
        <w:t>LD</w:t>
      </w:r>
      <w:r>
        <w:rPr>
          <w:rFonts w:ascii="Arial" w:cs="Arial" w:eastAsia="Arial" w:hAnsi="Arial"/>
          <w:sz w:val="17"/>
          <w:szCs w:val="17"/>
          <w:b w:val="1"/>
          <w:bCs w:val="1"/>
          <w:color w:val="auto"/>
        </w:rPr>
        <w:t xml:space="preserve"> Lead Director</w:t>
      </w:r>
    </w:p>
    <w:p>
      <w:pPr>
        <w:spacing w:after="0" w:line="1" w:lineRule="exact"/>
        <w:rPr>
          <w:rFonts w:ascii="Arial" w:cs="Arial" w:eastAsia="Arial" w:hAnsi="Arial"/>
          <w:sz w:val="22"/>
          <w:szCs w:val="22"/>
          <w:b w:val="1"/>
          <w:bCs w:val="1"/>
          <w:color w:val="auto"/>
          <w:vertAlign w:val="superscript"/>
        </w:rPr>
      </w:pPr>
    </w:p>
    <w:p>
      <w:pPr>
        <w:spacing w:after="0"/>
        <w:rPr>
          <w:rFonts w:ascii="Arial" w:cs="Arial" w:eastAsia="Arial" w:hAnsi="Arial"/>
          <w:sz w:val="22"/>
          <w:szCs w:val="22"/>
          <w:b w:val="1"/>
          <w:bCs w:val="1"/>
          <w:color w:val="auto"/>
          <w:vertAlign w:val="superscript"/>
        </w:rPr>
      </w:pPr>
      <w:r>
        <w:rPr>
          <w:rFonts w:ascii="Arial" w:cs="Arial" w:eastAsia="Arial" w:hAnsi="Arial"/>
          <w:sz w:val="22"/>
          <w:szCs w:val="22"/>
          <w:b w:val="1"/>
          <w:bCs w:val="1"/>
          <w:color w:val="auto"/>
          <w:vertAlign w:val="superscript"/>
        </w:rPr>
        <w:t>X</w:t>
      </w:r>
      <w:r>
        <w:rPr>
          <w:rFonts w:ascii="Arial" w:cs="Arial" w:eastAsia="Arial" w:hAnsi="Arial"/>
          <w:sz w:val="17"/>
          <w:szCs w:val="17"/>
          <w:b w:val="1"/>
          <w:bCs w:val="1"/>
          <w:color w:val="auto"/>
        </w:rPr>
        <w:t xml:space="preserve"> Member</w:t>
      </w:r>
    </w:p>
    <w:sectPr>
      <w:pgSz w:w="11900" w:h="16838" w:orient="portrait"/>
      <w:cols w:equalWidth="0" w:num="1">
        <w:col w:w="10720"/>
      </w:cols>
      <w:pgMar w:left="940" w:top="140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o"/>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o"/>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o"/>
      <w:numFmt w:val="bullet"/>
      <w:start w:val="1"/>
    </w:lvl>
    <w:lvl w:ilvl="1">
      <w:lvlJc w:val="left"/>
      <w:lvlText w:val="(%2)"/>
      <w:numFmt w:val="decimal"/>
      <w:start w:val="1"/>
    </w:lvl>
  </w:abstractNum>
  <w:abstractNum w:abstractNumId="5">
    <w:nsid w:val="507ED7AB"/>
    <w:multiLevelType w:val="hybridMultilevel"/>
    <w:lvl w:ilvl="0">
      <w:lvlJc w:val="left"/>
      <w:lvlText w:val="C"/>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2021-05-10T15:57:10Z</dcterms:created>
  <dcterms:modified xsi:type="dcterms:W3CDTF">2021-05-10T15:57:10Z</dcterms:modified>
</cp:coreProperties>
</file>