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139700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136525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196850</wp:posOffset>
            </wp:positionV>
            <wp:extent cx="137160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132080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39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33" w:lineRule="exact"/>
        <w:rPr>
          <w:sz w:val="24"/>
          <w:szCs w:val="24"/>
          <w:color w:val="auto"/>
        </w:rPr>
      </w:pPr>
    </w:p>
    <w:p>
      <w:pPr>
        <w:sectPr>
          <w:pgSz w:w="11900" w:h="16838" w:orient="portrait"/>
          <w:cols w:equalWidth="0" w:num="3">
            <w:col w:w="4500" w:space="720"/>
            <w:col w:w="282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60" w:space="720"/>
            <w:col w:w="246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133350</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40" w:type="dxa"/>
            <w:vAlign w:val="bottom"/>
            <w:gridSpan w:val="2"/>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391160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112395</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color w:val="auto"/>
        </w:rPr>
        <w:t>On March 29, 2022, Academy Sports and Outdoors, Inc. (the “Company”) issued a press release announcing financial results for the fiscal year ended January 29, 2022. A copy of the release is furnished herewith as Exhibit 99.1 and incorporated by reference herein.</w:t>
      </w:r>
    </w:p>
    <w:p>
      <w:pPr>
        <w:spacing w:after="0" w:line="189"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5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3"/>
        </w:trPr>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2"/>
            <w:shd w:val="clear" w:color="auto" w:fill="CCEEFF"/>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March 29, 2022.</w:t>
            </w:r>
          </w:p>
        </w:tc>
        <w:tc>
          <w:tcPr>
            <w:tcW w:w="120" w:type="dxa"/>
            <w:vAlign w:val="bottom"/>
          </w:tcPr>
          <w:p>
            <w:pPr>
              <w:spacing w:after="0"/>
              <w:rPr>
                <w:sz w:val="21"/>
                <w:szCs w:val="21"/>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1"/>
                <w:szCs w:val="21"/>
                <w:color w:val="auto"/>
              </w:rPr>
            </w:pPr>
          </w:p>
        </w:tc>
      </w:tr>
      <w:tr>
        <w:trPr>
          <w:trHeight w:val="1532"/>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March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499745</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Record Fourth Quarter and Fiscal 2021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Fourth Quarter Comparable Sales Increased 13.1%; FY 2021 Comparable Sales Increased 18.9%</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Fourth Quarter Pre-tax Income Grew 55% to $188.4 million; FY 2021 Pre-tax Income Grew 154% to $859.5 million</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Fourth Quarter and FY EPS of $1.57 and $7.12; Adjusted Fourth Quarter and FY EPS of $1.61 and $7.60</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Repurchased 10.6 million shares for $411.4 million in fiscal 2021</w:t>
      </w:r>
    </w:p>
    <w:p>
      <w:pPr>
        <w:spacing w:after="0" w:line="2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 xml:space="preserve">KATY, TEXAS (Globe Newswire — March 29, 2022)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fourth quarter ended January 29, 2022. Unless otherwise indicated, comparisons are to the same period in the prior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and Fiscal 2021 Results</w:t>
      </w:r>
    </w:p>
    <w:p>
      <w:pPr>
        <w:spacing w:after="0" w:line="1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"2021 was an extraordinary year for Academy Sports + Outdoors. The team delivered the highest sales and profits in the Company's history while navigating the many challenges faced by the Company and the retail industry," said Ken Hicks, Chairman, President and Chief Executive Officer. "We are proud of what our company has accomplished over the past three years, but even more excited about our future growth prospects. Academy is well positioned for substantial long term growth in its existing stores with our broad assortment of great products from the best national and quality private brands, excellent customer service, expanding omnichannel capabilities, and multiple new store openings in our current and new markets."</w:t>
      </w:r>
    </w:p>
    <w:p>
      <w:pPr>
        <w:spacing w:after="0" w:line="19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For the fourth quarter, net sales increased 13.2% to a quarterly record of $ 1.8 billion. When compared to the fourth quarter of 2019, net sales increased 32.0%. Comparable sales were 13.1%, on top of 16.1% in the fourth quarter of 2020, making it the 10th consecutive quarter of positive comparable sales. Strong consumer demand for sports and outdoors products drove sales growth and led to an increase in total transactions and average ticket.</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fiscal 2021, net sales increased 19.1% to a record $6.77 billion. When compared to fiscal 2019, net sales increased 40.2%. Comparable sales increased 18.9% on top of 16.1% in fiscal 2020. All four merchandise divisions and geographic regions posted double digit sales growth for the year.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e-commerce sales grew 22.7% compared to the prior year quarter and 97.2% compared to the fourth quarter of 2019. For the fiscal year, e-commerce sales increased 6.2% compared to 2020 and increased 153.1% compared to 2019.</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fourth quarter, gross margin increased 17.0% to a record $584.1 million. The gross margin rate improved by 110 basis points to 32.3%. For fiscal 2021, gross margin increased 35.6% to a record $2.4 billion. The gross margin rate improved by 420 basis points to an all time annual high of 34.7%. For the quarter and the year, this growth was primarily driven by higher merchandise margins resulting from a greater mix of regular price sales, higher retail prices and a favorable product mix, which offset higher freight costs.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fourth quarter, pre-tax income increased 55.0% to $188.4 million compared to $121.6 million. For fiscal 2021, pre-tax income increased 153.5% to $859.5 million, the highest in the Company's history.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fourth quarter, GAAP net income increased 54.9% to $141.8 million compared to $91.5 million. Diluted earnings per share were $1.57 compared to $0.97 per share. Pro forma adjusted net income, which excludes the impact of certain non-cash and extraordinary items, increased 40.9% to $145.3 million. Pro forma diluted earnings per share were $1.61 compared to $1.09 per share.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fiscal 2021, GAAP net income increased 117.4% to $671.4 million compared to $308.8 million, making it the most profitable year in the Company's history. GAAP diluted earnings per share were $7.12 compared to $3.79 per share.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 forma adjusted net income, which excludes the impact of certain non-cash and extraordinary items, increased 129.9% to $716.5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 forma diluted earnings per share were $7.60 compared to $3.83 per share.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8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Balance Sheet and Capital Allocation Update</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the end of fiscal 2021 (January 29, 2022), the Company’s cash and cash equivalents totaled $486.0 million with no borrowings under the $1 billion credit facility. Adjusted free cash flow was $140.9 million during the fourth quarter and $597.2 million for the full year. Merchandise inventories were $1.2 billion, an increase of 18.4% compared to the end of fiscal 2020.</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fourth quarter, the Company made open market purchases of 1.6 million shares for $65.6 million. In fiscal 2021, the Company repurchased and retired a total of 10.6 million shares of its common stock for $411.4 million, of which $311.4 million was completed under the current $500 million share repurchase program and $100.0 million as part of the May 2021 secondary offering. As of the end of fiscal 2021, the Company had $188.6 million remaining under its share repurchase program.</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Subsequent to the end of fiscal 2021, on March 3, 2022, Academy announced that its Board of Directors (the "Board") approved the initiation of a quarterly cash dividend. The Board declared an inaugural quarterly cash dividend with respect to the quarter ended January 29, 2022, of $0.075 per share of common stock. The dividend is payable on April 14, 2022, to stockholders of record as of the close of business on March 17,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Outlook</w:t>
      </w:r>
    </w:p>
    <w:p>
      <w:pPr>
        <w:jc w:val="both"/>
        <w:spacing w:after="0" w:line="231" w:lineRule="auto"/>
        <w:rPr>
          <w:sz w:val="20"/>
          <w:szCs w:val="20"/>
          <w:color w:val="auto"/>
        </w:rPr>
      </w:pPr>
      <w:r>
        <w:rPr>
          <w:rFonts w:ascii="Arial" w:cs="Arial" w:eastAsia="Arial" w:hAnsi="Arial"/>
          <w:sz w:val="18"/>
          <w:szCs w:val="18"/>
          <w:color w:val="auto"/>
        </w:rPr>
        <w:t>Michael Mullican, Executive Vice President and Chief Financial Officer said, “For the second consecutive year, Academy delivered record financial results, driven by a dedicated, adaptable team, lasting operational improvements and strong consumer demand. Looking ahead, we are focused on building upon this success by executing our internal initiatives, managing our expenses and deploying our free cash to grow</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the business and enhance shareholder value. Our outlook for 2022 reflects an expectation of continued strong financial performance and operational improvements, while thoughtfully considering the headwinds of inflation, supply-chain bottlenecks and the prospect of difficult prior year comparisons."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Academy is providing the following initial guidance for fiscal 2022 (year ending January 28, 2023). This guidance takes into consideration the benefits of the Company's internal sales and profit growth initiatives and strong consumer demand as well as the uncertainty of potential impacts from stimulus overlap, supply chain risks, inflation and other economic risks.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2019 is included in the table for context, and to illustrate the company's growth expectations post pandemic and relative to 2019.</w:t>
      </w:r>
    </w:p>
    <w:p>
      <w:pPr>
        <w:spacing w:after="0" w:line="246" w:lineRule="exact"/>
        <w:rPr>
          <w:sz w:val="20"/>
          <w:szCs w:val="20"/>
          <w:color w:val="auto"/>
        </w:rPr>
      </w:pPr>
    </w:p>
    <w:tbl>
      <w:tblPr>
        <w:tblLayout w:type="fixed"/>
        <w:tblInd w:w="470" w:type="dxa"/>
        <w:tblCellMar>
          <w:top w:w="0" w:type="dxa"/>
          <w:left w:w="0" w:type="dxa"/>
          <w:bottom w:w="0" w:type="dxa"/>
          <w:right w:w="0" w:type="dxa"/>
        </w:tblCellMar>
      </w:tblPr>
      <w:tr>
        <w:trPr>
          <w:trHeight w:val="276"/>
        </w:trPr>
        <w:tc>
          <w:tcPr>
            <w:tcW w:w="3480" w:type="dxa"/>
            <w:vAlign w:val="bottom"/>
            <w:tcBorders>
              <w:top w:val="single" w:sz="8" w:color="auto"/>
              <w:left w:val="single" w:sz="8" w:color="auto"/>
              <w:right w:val="single" w:sz="8" w:color="auto"/>
            </w:tcBorders>
          </w:tcPr>
          <w:p>
            <w:pPr>
              <w:spacing w:after="0"/>
              <w:rPr>
                <w:sz w:val="24"/>
                <w:szCs w:val="24"/>
                <w:color w:val="auto"/>
              </w:rPr>
            </w:pPr>
          </w:p>
        </w:tc>
        <w:tc>
          <w:tcPr>
            <w:tcW w:w="2300" w:type="dxa"/>
            <w:vAlign w:val="bottom"/>
            <w:tcBorders>
              <w:top w:val="single" w:sz="8" w:color="auto"/>
              <w:right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Fiscal 2022 Guidance</w:t>
            </w:r>
          </w:p>
        </w:tc>
        <w:tc>
          <w:tcPr>
            <w:tcW w:w="128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gridSpan w:val="2"/>
          </w:tcPr>
          <w:p>
            <w:pPr>
              <w:jc w:val="right"/>
              <w:ind w:right="459"/>
              <w:spacing w:after="0"/>
              <w:rPr>
                <w:sz w:val="20"/>
                <w:szCs w:val="20"/>
                <w:color w:val="auto"/>
              </w:rPr>
            </w:pPr>
            <w:r>
              <w:rPr>
                <w:rFonts w:ascii="Arial" w:cs="Arial" w:eastAsia="Arial" w:hAnsi="Arial"/>
                <w:sz w:val="11"/>
                <w:szCs w:val="11"/>
                <w:b w:val="1"/>
                <w:bCs w:val="1"/>
                <w:color w:val="auto"/>
              </w:rPr>
              <w:t>% change (at midpoint)</w:t>
            </w:r>
          </w:p>
        </w:tc>
      </w:tr>
      <w:tr>
        <w:trPr>
          <w:trHeight w:val="260"/>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(in millions, except per share amounts)</w:t>
            </w: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Low end</w:t>
            </w:r>
          </w:p>
        </w:tc>
        <w:tc>
          <w:tcPr>
            <w:tcW w:w="10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High end</w:t>
            </w: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3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vs. 2021</w:t>
            </w: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vs. 2019</w:t>
            </w:r>
          </w:p>
        </w:tc>
      </w:tr>
      <w:tr>
        <w:trPr>
          <w:trHeight w:val="233"/>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sales</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$6,560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$6,770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$6,773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$4,830</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(1.6)%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38.0 %</w:t>
            </w:r>
          </w:p>
        </w:tc>
      </w:tr>
      <w:tr>
        <w:trPr>
          <w:trHeight w:val="156"/>
        </w:trPr>
        <w:tc>
          <w:tcPr>
            <w:tcW w:w="348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080" w:type="dxa"/>
            <w:vAlign w:val="bottom"/>
            <w:tcBorders>
              <w:right w:val="single" w:sz="8" w:color="auto"/>
            </w:tcBorders>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020" w:type="dxa"/>
            <w:vAlign w:val="bottom"/>
            <w:tcBorders>
              <w:right w:val="single" w:sz="8" w:color="auto"/>
            </w:tcBorders>
            <w:shd w:val="clear" w:color="auto" w:fill="DBDBDB"/>
          </w:tcPr>
          <w:p>
            <w:pPr>
              <w:spacing w:after="0"/>
              <w:rPr>
                <w:sz w:val="13"/>
                <w:szCs w:val="13"/>
                <w:color w:val="auto"/>
              </w:rPr>
            </w:pPr>
          </w:p>
        </w:tc>
      </w:tr>
      <w:tr>
        <w:trPr>
          <w:trHeight w:val="23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Comparable sales</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18.9 %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3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1"/>
        </w:trPr>
        <w:tc>
          <w:tcPr>
            <w:tcW w:w="3480" w:type="dxa"/>
            <w:vAlign w:val="bottom"/>
            <w:tcBorders>
              <w:left w:val="single" w:sz="8" w:color="auto"/>
              <w:right w:val="single" w:sz="8" w:color="auto"/>
            </w:tcBorders>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080" w:type="dxa"/>
            <w:vAlign w:val="bottom"/>
            <w:tcBorders>
              <w:right w:val="single" w:sz="8" w:color="auto"/>
            </w:tcBorders>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960" w:type="dxa"/>
            <w:vAlign w:val="bottom"/>
            <w:tcBorders>
              <w:right w:val="single" w:sz="8" w:color="auto"/>
            </w:tcBorders>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1020" w:type="dxa"/>
            <w:vAlign w:val="bottom"/>
            <w:tcBorders>
              <w:right w:val="single" w:sz="8" w:color="auto"/>
            </w:tcBorders>
            <w:shd w:val="clear" w:color="auto" w:fill="DBDBDB"/>
          </w:tcPr>
          <w:p>
            <w:pPr>
              <w:spacing w:after="0"/>
              <w:rPr>
                <w:sz w:val="21"/>
                <w:szCs w:val="21"/>
                <w:color w:val="auto"/>
              </w:rPr>
            </w:pPr>
          </w:p>
        </w:tc>
      </w:tr>
      <w:tr>
        <w:trPr>
          <w:trHeight w:val="23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Income before taxes</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$780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$860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(5.5)%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560.6 %</w:t>
            </w:r>
          </w:p>
        </w:tc>
      </w:tr>
      <w:tr>
        <w:trPr>
          <w:trHeight w:val="156"/>
        </w:trPr>
        <w:tc>
          <w:tcPr>
            <w:tcW w:w="348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080" w:type="dxa"/>
            <w:vAlign w:val="bottom"/>
            <w:tcBorders>
              <w:right w:val="single" w:sz="8" w:color="auto"/>
            </w:tcBorders>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020" w:type="dxa"/>
            <w:vAlign w:val="bottom"/>
            <w:tcBorders>
              <w:right w:val="single" w:sz="8" w:color="auto"/>
            </w:tcBorders>
            <w:shd w:val="clear" w:color="auto" w:fill="DBDBDB"/>
          </w:tcPr>
          <w:p>
            <w:pPr>
              <w:spacing w:after="0"/>
              <w:rPr>
                <w:sz w:val="13"/>
                <w:szCs w:val="13"/>
                <w:color w:val="auto"/>
              </w:rPr>
            </w:pPr>
          </w:p>
        </w:tc>
      </w:tr>
      <w:tr>
        <w:trPr>
          <w:trHeight w:val="23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$590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$671</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(8.3)%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412.5 %</w:t>
            </w:r>
          </w:p>
        </w:tc>
      </w:tr>
      <w:tr>
        <w:trPr>
          <w:trHeight w:val="251"/>
        </w:trPr>
        <w:tc>
          <w:tcPr>
            <w:tcW w:w="3480" w:type="dxa"/>
            <w:vAlign w:val="bottom"/>
            <w:tcBorders>
              <w:left w:val="single" w:sz="8" w:color="auto"/>
              <w:right w:val="single" w:sz="8" w:color="auto"/>
            </w:tcBorders>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080" w:type="dxa"/>
            <w:vAlign w:val="bottom"/>
            <w:tcBorders>
              <w:right w:val="single" w:sz="8" w:color="auto"/>
            </w:tcBorders>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960" w:type="dxa"/>
            <w:vAlign w:val="bottom"/>
            <w:tcBorders>
              <w:right w:val="single" w:sz="8" w:color="auto"/>
            </w:tcBorders>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1020" w:type="dxa"/>
            <w:vAlign w:val="bottom"/>
            <w:tcBorders>
              <w:right w:val="single" w:sz="8" w:color="auto"/>
            </w:tcBorders>
            <w:shd w:val="clear" w:color="auto" w:fill="DBDBDB"/>
          </w:tcPr>
          <w:p>
            <w:pPr>
              <w:spacing w:after="0"/>
              <w:rPr>
                <w:sz w:val="21"/>
                <w:szCs w:val="21"/>
                <w:color w:val="auto"/>
              </w:rPr>
            </w:pPr>
          </w:p>
        </w:tc>
      </w:tr>
      <w:tr>
        <w:trPr>
          <w:trHeight w:val="23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GAAP earnings per share-diluted</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$6.55</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$7.12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(4.1)%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326.6 %</w:t>
            </w:r>
          </w:p>
        </w:tc>
      </w:tr>
      <w:tr>
        <w:trPr>
          <w:trHeight w:val="156"/>
        </w:trPr>
        <w:tc>
          <w:tcPr>
            <w:tcW w:w="348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080" w:type="dxa"/>
            <w:vAlign w:val="bottom"/>
            <w:tcBorders>
              <w:right w:val="single" w:sz="8" w:color="auto"/>
            </w:tcBorders>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020" w:type="dxa"/>
            <w:vAlign w:val="bottom"/>
            <w:tcBorders>
              <w:right w:val="single" w:sz="8" w:color="auto"/>
            </w:tcBorders>
            <w:shd w:val="clear" w:color="auto" w:fill="DBDBDB"/>
          </w:tcPr>
          <w:p>
            <w:pPr>
              <w:spacing w:after="0"/>
              <w:rPr>
                <w:sz w:val="13"/>
                <w:szCs w:val="13"/>
                <w:color w:val="auto"/>
              </w:rPr>
            </w:pPr>
          </w:p>
        </w:tc>
      </w:tr>
      <w:tr>
        <w:trPr>
          <w:trHeight w:val="23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Non-GAAP earnings per share-diluted</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$6.70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(8.2)%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583.8 %</w:t>
            </w:r>
          </w:p>
        </w:tc>
      </w:tr>
      <w:tr>
        <w:trPr>
          <w:trHeight w:val="251"/>
        </w:trPr>
        <w:tc>
          <w:tcPr>
            <w:tcW w:w="3480" w:type="dxa"/>
            <w:vAlign w:val="bottom"/>
            <w:tcBorders>
              <w:left w:val="single" w:sz="8" w:color="auto"/>
              <w:right w:val="single" w:sz="8" w:color="auto"/>
            </w:tcBorders>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080" w:type="dxa"/>
            <w:vAlign w:val="bottom"/>
            <w:tcBorders>
              <w:right w:val="single" w:sz="8" w:color="auto"/>
            </w:tcBorders>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960" w:type="dxa"/>
            <w:vAlign w:val="bottom"/>
            <w:tcBorders>
              <w:right w:val="single" w:sz="8" w:color="auto"/>
            </w:tcBorders>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1020" w:type="dxa"/>
            <w:vAlign w:val="bottom"/>
            <w:tcBorders>
              <w:right w:val="single" w:sz="8" w:color="auto"/>
            </w:tcBorders>
            <w:shd w:val="clear" w:color="auto" w:fill="DBDBDB"/>
          </w:tcPr>
          <w:p>
            <w:pPr>
              <w:spacing w:after="0"/>
              <w:rPr>
                <w:sz w:val="21"/>
                <w:szCs w:val="21"/>
                <w:color w:val="auto"/>
              </w:rPr>
            </w:pPr>
          </w:p>
        </w:tc>
      </w:tr>
      <w:tr>
        <w:trPr>
          <w:trHeight w:val="23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90.5</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94.3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1020" w:type="dxa"/>
            <w:vAlign w:val="bottom"/>
            <w:tcBorders>
              <w:right w:val="single" w:sz="8" w:color="auto"/>
            </w:tcBorders>
          </w:tcPr>
          <w:p>
            <w:pPr>
              <w:spacing w:after="0"/>
              <w:rPr>
                <w:sz w:val="20"/>
                <w:szCs w:val="20"/>
                <w:color w:val="auto"/>
              </w:rPr>
            </w:pPr>
          </w:p>
        </w:tc>
      </w:tr>
      <w:tr>
        <w:trPr>
          <w:trHeight w:val="156"/>
        </w:trPr>
        <w:tc>
          <w:tcPr>
            <w:tcW w:w="3480" w:type="dxa"/>
            <w:vAlign w:val="bottom"/>
            <w:tcBorders>
              <w:left w:val="single" w:sz="8" w:color="auto"/>
              <w:bottom w:val="single" w:sz="8" w:color="auto"/>
              <w:right w:val="single" w:sz="8" w:color="auto"/>
            </w:tcBorders>
            <w:shd w:val="clear" w:color="auto" w:fill="DBDBDB"/>
          </w:tcPr>
          <w:p>
            <w:pPr>
              <w:spacing w:after="0"/>
              <w:rPr>
                <w:sz w:val="13"/>
                <w:szCs w:val="13"/>
                <w:color w:val="auto"/>
              </w:rPr>
            </w:pPr>
          </w:p>
        </w:tc>
        <w:tc>
          <w:tcPr>
            <w:tcW w:w="1220" w:type="dxa"/>
            <w:vAlign w:val="bottom"/>
            <w:tcBorders>
              <w:bottom w:val="single" w:sz="8" w:color="auto"/>
            </w:tcBorders>
            <w:shd w:val="clear" w:color="auto" w:fill="DBDBDB"/>
          </w:tcPr>
          <w:p>
            <w:pPr>
              <w:spacing w:after="0"/>
              <w:rPr>
                <w:sz w:val="13"/>
                <w:szCs w:val="13"/>
                <w:color w:val="auto"/>
              </w:rPr>
            </w:pPr>
          </w:p>
        </w:tc>
        <w:tc>
          <w:tcPr>
            <w:tcW w:w="1080" w:type="dxa"/>
            <w:vAlign w:val="bottom"/>
            <w:tcBorders>
              <w:bottom w:val="single" w:sz="8" w:color="auto"/>
              <w:right w:val="single" w:sz="8" w:color="auto"/>
            </w:tcBorders>
            <w:shd w:val="clear" w:color="auto" w:fill="DBDBDB"/>
          </w:tcPr>
          <w:p>
            <w:pPr>
              <w:spacing w:after="0"/>
              <w:rPr>
                <w:sz w:val="13"/>
                <w:szCs w:val="13"/>
                <w:color w:val="auto"/>
              </w:rPr>
            </w:pPr>
          </w:p>
        </w:tc>
        <w:tc>
          <w:tcPr>
            <w:tcW w:w="1280" w:type="dxa"/>
            <w:vAlign w:val="bottom"/>
            <w:tcBorders>
              <w:bottom w:val="single" w:sz="8" w:color="auto"/>
            </w:tcBorders>
            <w:shd w:val="clear" w:color="auto" w:fill="DBDBDB"/>
          </w:tcPr>
          <w:p>
            <w:pPr>
              <w:spacing w:after="0"/>
              <w:rPr>
                <w:sz w:val="13"/>
                <w:szCs w:val="13"/>
                <w:color w:val="auto"/>
              </w:rPr>
            </w:pPr>
          </w:p>
        </w:tc>
        <w:tc>
          <w:tcPr>
            <w:tcW w:w="960" w:type="dxa"/>
            <w:vAlign w:val="bottom"/>
            <w:tcBorders>
              <w:bottom w:val="single" w:sz="8" w:color="auto"/>
              <w:right w:val="single" w:sz="8" w:color="auto"/>
            </w:tcBorders>
            <w:shd w:val="clear" w:color="auto" w:fill="DBDBDB"/>
          </w:tcPr>
          <w:p>
            <w:pPr>
              <w:spacing w:after="0"/>
              <w:rPr>
                <w:sz w:val="13"/>
                <w:szCs w:val="13"/>
                <w:color w:val="auto"/>
              </w:rPr>
            </w:pPr>
          </w:p>
        </w:tc>
        <w:tc>
          <w:tcPr>
            <w:tcW w:w="130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right w:val="single" w:sz="8" w:color="auto"/>
            </w:tcBorders>
            <w:shd w:val="clear" w:color="auto" w:fill="DBDBDB"/>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-2112645</wp:posOffset>
            </wp:positionV>
            <wp:extent cx="147383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835" cy="342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earnings per share estimate reflects a tax rate of 24.0% and does not include any potential future share repurchases.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Listeners may access the call by dialing 1-877-407-3982 (U.S.) or 1-201-493-6780 (International). The passcode is 13727594.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13727594.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4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20 private label brands, which go well beyond traditional sporting goods and apparel offerings.</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then-existing members of NAHC for every 3.15 membership units of NAHC contributed to ASO, Inc. (the "Contribution Ratio"). Unless indicated otherwise, the information in this press release has been adjusted to give retrospective effect to the Contribution Ratio.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Adjusted EBITDA, Adjusted EBIT, Adjusted Net Income (Loss), Pro Forma Adjusted Net Income (Loss), Pro Forma Adjusted Earnings Per Share, Adjusted Selling, General and Administrative Expenses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fiscal year 2020 filed on April 7, 2021 (the “Annual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ind w:right="20"/>
        <w:spacing w:after="0" w:line="221" w:lineRule="auto"/>
        <w:rPr>
          <w:sz w:val="20"/>
          <w:szCs w:val="20"/>
          <w:color w:val="auto"/>
        </w:rPr>
      </w:pPr>
      <w:r>
        <w:rPr>
          <w:rFonts w:ascii="Arial" w:cs="Arial" w:eastAsia="Arial" w:hAnsi="Arial"/>
          <w:sz w:val="18"/>
          <w:szCs w:val="18"/>
          <w:color w:val="404040"/>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and declaration of future dividends,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4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42"/>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80" w:type="dxa"/>
            <w:vAlign w:val="bottom"/>
            <w:gridSpan w:val="3"/>
          </w:tcPr>
          <w:p>
            <w:pPr>
              <w:jc w:val="right"/>
              <w:ind w:right="112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Thirteen Weeks Ended</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29, 2022</w:t>
            </w:r>
          </w:p>
        </w:tc>
        <w:tc>
          <w:tcPr>
            <w:tcW w:w="174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30, 2021</w:t>
            </w:r>
          </w:p>
        </w:tc>
        <w:tc>
          <w:tcPr>
            <w:tcW w:w="1680" w:type="dxa"/>
            <w:vAlign w:val="bottom"/>
          </w:tcPr>
          <w:p>
            <w:pPr>
              <w:jc w:val="right"/>
              <w:ind w:right="1"/>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80" w:type="dxa"/>
            <w:vAlign w:val="bottom"/>
          </w:tcPr>
          <w:p>
            <w:pPr>
              <w:jc w:val="right"/>
              <w:ind w:right="70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1,808,470</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1,597,436</w:t>
            </w:r>
          </w:p>
        </w:tc>
        <w:tc>
          <w:tcPr>
            <w:tcW w:w="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1,224,410</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1,098,348</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584,060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499,088</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385,858</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358,056</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198,202</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141,032</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10,859</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0.6 %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16,027</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 net</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(1,075)</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188,418</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121,553</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46,648</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30,031</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141,770</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91,522</w:t>
            </w:r>
          </w:p>
        </w:tc>
        <w:tc>
          <w:tcPr>
            <w:tcW w:w="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87,970</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90,253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90,475</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94,377</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Column may not add due to rounding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rPr>
              <w:t>Fiscal Year Ended</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29, 2022</w:t>
            </w:r>
          </w:p>
        </w:tc>
        <w:tc>
          <w:tcPr>
            <w:tcW w:w="1800" w:type="dxa"/>
            <w:vAlign w:val="bottom"/>
            <w:gridSpan w:val="2"/>
          </w:tcPr>
          <w:p>
            <w:pPr>
              <w:ind w:left="8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30, 2021</w:t>
            </w:r>
          </w:p>
        </w:tc>
        <w:tc>
          <w:tcPr>
            <w:tcW w:w="166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720" w:type="dxa"/>
            <w:vAlign w:val="bottom"/>
          </w:tcPr>
          <w:p>
            <w:pPr>
              <w:jc w:val="right"/>
              <w:ind w:right="72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6,773,128</w:t>
            </w:r>
          </w:p>
        </w:tc>
        <w:tc>
          <w:tcPr>
            <w:tcW w:w="8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5,689,233</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4,422,033</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65.3 %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3,955,188</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2,351,095</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1,734,045</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1,443,148</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1,313,647</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907,947</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420,398</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48,989</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86,514</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(2,821)</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859,540</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188,159</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671,381</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308,764</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7.12</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90,956</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77,994</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94,284</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81,431</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29, 2022</w:t>
            </w:r>
          </w:p>
        </w:tc>
        <w:tc>
          <w:tcPr>
            <w:tcW w:w="18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30, 2021</w:t>
            </w:r>
          </w:p>
        </w:tc>
        <w:tc>
          <w:tcPr>
            <w:tcW w:w="0" w:type="dxa"/>
            <w:vAlign w:val="bottom"/>
          </w:tcPr>
          <w:p>
            <w:pPr>
              <w:spacing w:after="0"/>
              <w:rPr>
                <w:sz w:val="1"/>
                <w:szCs w:val="1"/>
                <w:color w:val="auto"/>
              </w:rPr>
            </w:pPr>
          </w:p>
        </w:tc>
      </w:tr>
      <w:tr>
        <w:trPr>
          <w:trHeight w:val="227"/>
        </w:trPr>
        <w:tc>
          <w:tcPr>
            <w:tcW w:w="7440" w:type="dxa"/>
            <w:vAlign w:val="bottom"/>
            <w:tcBorders>
              <w:top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485,998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377,604</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$732 and $1,172, respectively</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19,718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17,306</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1,171,808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990,034</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36,460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28,313</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1,715,747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1,415,020</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345,836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378,260</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1,079,546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1,143,699</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577,215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577,000</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8,583</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4,584,940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4,384,482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440"/>
              <w:spacing w:after="0"/>
              <w:rPr>
                <w:sz w:val="20"/>
                <w:szCs w:val="20"/>
                <w:color w:val="auto"/>
              </w:rPr>
            </w:pPr>
            <w:r>
              <w:rPr>
                <w:rFonts w:ascii="Arial" w:cs="Arial" w:eastAsia="Arial" w:hAnsi="Arial"/>
                <w:sz w:val="16"/>
                <w:szCs w:val="16"/>
                <w:b w:val="1"/>
                <w:bCs w:val="1"/>
                <w:color w:val="auto"/>
              </w:rPr>
              <w:t>LIABILITIES AND STOCKHOLDERS' / PARTNERS' EQUITY</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737,826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791,404</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303,207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291,351</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83,077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80,338</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1,127,110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1,167,093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683,585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781,489</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1,077,667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1,150,088</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217,212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138,703</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12,420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35,126</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3,117,994</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3,272,499</w:t>
            </w:r>
          </w:p>
        </w:tc>
        <w:tc>
          <w:tcPr>
            <w:tcW w:w="0" w:type="dxa"/>
            <w:vAlign w:val="bottom"/>
          </w:tcPr>
          <w:p>
            <w:pPr>
              <w:spacing w:after="0"/>
              <w:rPr>
                <w:sz w:val="1"/>
                <w:szCs w:val="1"/>
                <w:color w:val="auto"/>
              </w:rPr>
            </w:pPr>
          </w:p>
        </w:tc>
      </w:tr>
      <w:tr>
        <w:trPr>
          <w:trHeight w:val="200"/>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 PARTNERS' EQUITY:</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 and outstanding</w:t>
            </w:r>
          </w:p>
        </w:tc>
        <w:tc>
          <w:tcPr>
            <w:tcW w:w="1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$0.01 par value, authorized 300,000,000 shares; 87,079,394 and 91,114,475</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issued and outstanding as of January 29, 2022 and January 30, 2021, respectively</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198,016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127,228</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1,268,060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987,168</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Stockholders' / partners'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1,466,946</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1,111,983</w:t>
            </w:r>
          </w:p>
        </w:tc>
        <w:tc>
          <w:tcPr>
            <w:tcW w:w="0" w:type="dxa"/>
            <w:vAlign w:val="bottom"/>
          </w:tcPr>
          <w:p>
            <w:pPr>
              <w:spacing w:after="0"/>
              <w:rPr>
                <w:sz w:val="1"/>
                <w:szCs w:val="1"/>
                <w:color w:val="auto"/>
              </w:rPr>
            </w:pPr>
          </w:p>
        </w:tc>
      </w:tr>
      <w:tr>
        <w:trPr>
          <w:trHeight w:val="240"/>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 partners'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4,584,940</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4,384,482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00"/>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6"/>
        </w:trPr>
        <w:tc>
          <w:tcPr>
            <w:tcW w:w="7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00" w:top="769" w:right="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09"/>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29, 2022</w:t>
            </w:r>
          </w:p>
        </w:tc>
        <w:tc>
          <w:tcPr>
            <w:tcW w:w="1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January 30, 2021</w:t>
            </w:r>
          </w:p>
        </w:tc>
        <w:tc>
          <w:tcPr>
            <w:tcW w:w="200" w:type="dxa"/>
            <w:vAlign w:val="bottom"/>
          </w:tcPr>
          <w:p>
            <w:pPr>
              <w:spacing w:after="0"/>
              <w:rPr>
                <w:sz w:val="18"/>
                <w:szCs w:val="18"/>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1, 2020</w:t>
            </w:r>
          </w:p>
        </w:tc>
      </w:tr>
      <w:tr>
        <w:trPr>
          <w:trHeight w:val="197"/>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671,381</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308,764</w:t>
            </w:r>
          </w:p>
        </w:tc>
        <w:tc>
          <w:tcPr>
            <w:tcW w:w="8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120,043</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58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105,274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105,481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117,254</w:t>
            </w:r>
          </w:p>
        </w:tc>
      </w:tr>
      <w:tr>
        <w:trPr>
          <w:trHeight w:val="21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w:t>
            </w:r>
          </w:p>
        </w:tc>
      </w:tr>
      <w:tr>
        <w:trPr>
          <w:trHeight w:val="215"/>
        </w:trPr>
        <w:tc>
          <w:tcPr>
            <w:tcW w:w="5880" w:type="dxa"/>
            <w:vAlign w:val="bottom"/>
          </w:tcPr>
          <w:p>
            <w:pPr>
              <w:ind w:left="460"/>
              <w:spacing w:after="0"/>
              <w:rPr>
                <w:sz w:val="20"/>
                <w:szCs w:val="20"/>
                <w:color w:val="auto"/>
              </w:rPr>
            </w:pPr>
            <w:r>
              <w:rPr>
                <w:rFonts w:ascii="Arial" w:cs="Arial" w:eastAsia="Arial" w:hAnsi="Arial"/>
                <w:sz w:val="14"/>
                <w:szCs w:val="14"/>
                <w:color w:val="auto"/>
              </w:rPr>
              <w:t>Equity compensation</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39,264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31,617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7,881</w:t>
            </w:r>
          </w:p>
        </w:tc>
      </w:tr>
      <w:tr>
        <w:trPr>
          <w:trHeight w:val="21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 of terminated interest rate swaps, deferred loan and other costs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w:t>
            </w:r>
          </w:p>
        </w:tc>
      </w:tr>
      <w:tr>
        <w:trPr>
          <w:trHeight w:val="215"/>
        </w:trPr>
        <w:tc>
          <w:tcPr>
            <w:tcW w:w="5880" w:type="dxa"/>
            <w:vAlign w:val="bottom"/>
          </w:tcPr>
          <w:p>
            <w:pPr>
              <w:ind w:left="460"/>
              <w:spacing w:after="0"/>
              <w:rPr>
                <w:sz w:val="20"/>
                <w:szCs w:val="20"/>
                <w:color w:val="auto"/>
              </w:rPr>
            </w:pPr>
            <w:r>
              <w:rPr>
                <w:rFonts w:ascii="Arial" w:cs="Arial" w:eastAsia="Arial" w:hAnsi="Arial"/>
                <w:sz w:val="14"/>
                <w:szCs w:val="14"/>
                <w:color w:val="auto"/>
              </w:rPr>
              <w:t>Loss on swaps from debt refinancing</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79,490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r>
      <w:tr>
        <w:trPr>
          <w:trHeight w:val="215"/>
        </w:trPr>
        <w:tc>
          <w:tcPr>
            <w:tcW w:w="5880" w:type="dxa"/>
            <w:vAlign w:val="bottom"/>
          </w:tcPr>
          <w:p>
            <w:pPr>
              <w:ind w:left="460"/>
              <w:spacing w:after="0"/>
              <w:rPr>
                <w:sz w:val="20"/>
                <w:szCs w:val="20"/>
                <w:color w:val="auto"/>
              </w:rPr>
            </w:pPr>
            <w:r>
              <w:rPr>
                <w:rFonts w:ascii="Arial" w:cs="Arial" w:eastAsia="Arial" w:hAnsi="Arial"/>
                <w:sz w:val="14"/>
                <w:szCs w:val="14"/>
                <w:color w:val="auto"/>
              </w:rPr>
              <w:t>Non-cash (gain) loss on early retirement of debt, net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2,239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(3,582)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(42,265)</w:t>
            </w:r>
          </w:p>
        </w:tc>
      </w:tr>
      <w:tr>
        <w:trPr>
          <w:trHeight w:val="21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disposal of property and equipment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15"/>
        </w:trPr>
        <w:tc>
          <w:tcPr>
            <w:tcW w:w="5880" w:type="dxa"/>
            <w:vAlign w:val="bottom"/>
          </w:tcPr>
          <w:p>
            <w:pPr>
              <w:ind w:left="460"/>
              <w:spacing w:after="0"/>
              <w:rPr>
                <w:sz w:val="20"/>
                <w:szCs w:val="20"/>
                <w:color w:val="auto"/>
              </w:rPr>
            </w:pPr>
            <w:r>
              <w:rPr>
                <w:rFonts w:ascii="Arial" w:cs="Arial" w:eastAsia="Arial" w:hAnsi="Arial"/>
                <w:sz w:val="14"/>
                <w:szCs w:val="14"/>
                <w:color w:val="auto"/>
              </w:rPr>
              <w:t>Casualty loss</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21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588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(2,412)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4,476</w:t>
            </w:r>
          </w:p>
        </w:tc>
      </w:tr>
      <w:tr>
        <w:trPr>
          <w:trHeight w:val="217"/>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Merchandise inventories,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(181,774)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w:t>
            </w:r>
          </w:p>
        </w:tc>
      </w:tr>
      <w:tr>
        <w:trPr>
          <w:trHeight w:val="215"/>
        </w:trPr>
        <w:tc>
          <w:tcPr>
            <w:tcW w:w="588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(3,732)</w:t>
            </w:r>
          </w:p>
        </w:tc>
      </w:tr>
      <w:tr>
        <w:trPr>
          <w:trHeight w:val="217"/>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215"/>
        </w:trPr>
        <w:tc>
          <w:tcPr>
            <w:tcW w:w="588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(50,627)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361,518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(2,904)</w:t>
            </w:r>
          </w:p>
        </w:tc>
      </w:tr>
      <w:tr>
        <w:trPr>
          <w:trHeight w:val="217"/>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20,615</w:t>
            </w:r>
          </w:p>
        </w:tc>
      </w:tr>
      <w:tr>
        <w:trPr>
          <w:trHeight w:val="215"/>
        </w:trPr>
        <w:tc>
          <w:tcPr>
            <w:tcW w:w="5880" w:type="dxa"/>
            <w:vAlign w:val="bottom"/>
          </w:tcPr>
          <w:p>
            <w:pPr>
              <w:ind w:left="68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(14,129)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209"/>
        </w:trPr>
        <w:tc>
          <w:tcPr>
            <w:tcW w:w="588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673,265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1,011,597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263,669</w:t>
            </w:r>
          </w:p>
        </w:tc>
      </w:tr>
      <w:tr>
        <w:trPr>
          <w:trHeight w:val="184"/>
        </w:trPr>
        <w:tc>
          <w:tcPr>
            <w:tcW w:w="5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2"/>
        </w:trPr>
        <w:tc>
          <w:tcPr>
            <w:tcW w:w="58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0"/>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(75,802)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(62,818)</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Purchases of intangible assets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sale of property and equipment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Note receivable from member</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(3,988)</w:t>
            </w:r>
          </w:p>
        </w:tc>
      </w:tr>
      <w:tr>
        <w:trPr>
          <w:trHeight w:val="210"/>
        </w:trPr>
        <w:tc>
          <w:tcPr>
            <w:tcW w:w="58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(76,017)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(66,783)</w:t>
            </w:r>
          </w:p>
        </w:tc>
      </w:tr>
      <w:tr>
        <w:trPr>
          <w:trHeight w:val="183"/>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ABL Facility</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502,500</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ABL Facility</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(502,500)</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Term Loan, net of discount</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396,000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Term Loan</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(102,250)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(1,461,072)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(122,819)</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Notes</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issuance fees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Share-Based Award Payments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(11,214)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(20,970)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Equity contributions from Managers</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net of Offering Costs</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206,970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under employee stock purchase program</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(15,418)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 for retirement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(411,409)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880" w:type="dxa"/>
            <w:vAlign w:val="bottom"/>
          </w:tcPr>
          <w:p>
            <w:pPr>
              <w:ind w:left="240"/>
              <w:spacing w:after="0"/>
              <w:rPr>
                <w:sz w:val="20"/>
                <w:szCs w:val="20"/>
                <w:color w:val="auto"/>
              </w:rPr>
            </w:pPr>
            <w:r>
              <w:rPr>
                <w:rFonts w:ascii="Arial" w:cs="Arial" w:eastAsia="Arial" w:hAnsi="Arial"/>
                <w:sz w:val="14"/>
                <w:szCs w:val="14"/>
                <w:color w:val="auto"/>
              </w:rPr>
              <w:t>Repurchase of Redeemable Membership Units</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209"/>
        </w:trPr>
        <w:tc>
          <w:tcPr>
            <w:tcW w:w="58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(488,854)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(750,234)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(123,192)</w:t>
            </w:r>
          </w:p>
        </w:tc>
      </w:tr>
      <w:tr>
        <w:trPr>
          <w:trHeight w:val="184"/>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73,694</w:t>
            </w:r>
          </w:p>
        </w:tc>
      </w:tr>
      <w:tr>
        <w:trPr>
          <w:trHeight w:val="21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377,604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149,385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75,691</w:t>
            </w:r>
          </w:p>
        </w:tc>
      </w:tr>
      <w:tr>
        <w:trPr>
          <w:trHeight w:val="23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485,998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377,604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149,385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769"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2"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and amortization, and impairment, further adjusted to exclude consulting fees, private equity sponsor monitoring fees, equity compensation expense, (gain) loss on early retirement of debt, net, severance and executive transition costs, costs related to the COVID-19 pandemic, payroll taxes associated with a vesting event, as a result of a secondary offering, of certain time and performance-based equity awards, both of which occurred in May 2021 (the “2021 Vesting Event”)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Adjusted EBIT in the following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30, 2021</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4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30, 2021</w:t>
            </w:r>
          </w:p>
        </w:tc>
      </w:tr>
      <w:tr>
        <w:trPr>
          <w:trHeight w:val="24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141,770</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91,522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671,381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308,764</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16,027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48,989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86,514</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46,648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188,159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30,356</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27,507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25,763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105,274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105,481</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Consulting fees (a)</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14,793</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(c)</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31,617</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(3,582)</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17,632</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(g)</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8,592</w:t>
            </w:r>
          </w:p>
        </w:tc>
      </w:tr>
      <w:tr>
        <w:trPr>
          <w:trHeight w:val="237"/>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231,731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178,383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1,073,842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607,023</w:t>
            </w:r>
          </w:p>
        </w:tc>
      </w:tr>
      <w:tr>
        <w:trPr>
          <w:trHeight w:val="23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(27,507)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(105,274)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(105,481)</w:t>
            </w:r>
          </w:p>
        </w:tc>
      </w:tr>
      <w:tr>
        <w:trPr>
          <w:trHeight w:val="238"/>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204,224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968,568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501,542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outside consulting fees associated with our strategic cost savings and business optimization initiatives.</w:t>
      </w:r>
    </w:p>
    <w:p>
      <w:pPr>
        <w:spacing w:after="0" w:line="53"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our contractual payments under a monitoring agreement ("Monitoring Agreement") with our former private equity sponsor Kohlberg Kravis Roberts &amp; Co. L.P.</w:t>
      </w:r>
    </w:p>
    <w:p>
      <w:pPr>
        <w:spacing w:after="0" w:line="53"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severance costs associated with executive leadership changes and enterprise-wide organizational changes.</w:t>
      </w:r>
    </w:p>
    <w:p>
      <w:pPr>
        <w:spacing w:after="0" w:line="53" w:lineRule="exact"/>
        <w:rPr>
          <w:rFonts w:ascii="Arial" w:cs="Arial" w:eastAsia="Arial" w:hAnsi="Arial"/>
          <w:sz w:val="13"/>
          <w:szCs w:val="13"/>
          <w:color w:val="auto"/>
        </w:rPr>
      </w:pPr>
    </w:p>
    <w:p>
      <w:pPr>
        <w:jc w:val="both"/>
        <w:ind w:left="400" w:right="20" w:hanging="374"/>
        <w:spacing w:after="0" w:line="251"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14" w:lineRule="exact"/>
        <w:rPr>
          <w:sz w:val="20"/>
          <w:szCs w:val="20"/>
          <w:color w:val="auto"/>
        </w:rPr>
      </w:pPr>
    </w:p>
    <w:p>
      <w:pPr>
        <w:jc w:val="both"/>
        <w:ind w:left="400" w:right="20" w:hanging="374"/>
        <w:spacing w:after="0" w:line="218"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22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(Loss)” as Adjusted Net Income (Loss) less the retrospective tax effect of Adjusted Net Income at our estimated effective tax rate of approximately 25% for periods prior to October 1, 2020, the effective date of our conversion to a C-Corporation. We define “Pro Forma Adjusted Earnings per Common Share, Basic” as Pro Forma Adjusted Net Income divided by the basic weighted average common shares outstanding during the period and “Pro Forma Adjusted Earnings per Common Share, Diluted”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30, 2021</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30, 2021</w:t>
            </w:r>
          </w:p>
        </w:tc>
      </w:tr>
      <w:tr>
        <w:trPr>
          <w:trHeight w:val="24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141,770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91,522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671,381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308,764</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3,138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39,264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31,617</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6,571</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w:t>
            </w:r>
          </w:p>
        </w:tc>
      </w:tr>
      <w:tr>
        <w:trPr>
          <w:trHeight w:val="23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(h)</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(14,884)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40"/>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145,320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716,536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384,536</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Estimated tax effect of change to C-Corporation status (i)</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(72,844)</w:t>
            </w:r>
          </w:p>
        </w:tc>
      </w:tr>
      <w:tr>
        <w:trPr>
          <w:trHeight w:val="265"/>
        </w:trPr>
        <w:tc>
          <w:tcPr>
            <w:tcW w:w="4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 Forma Adjusted 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145,320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716,536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311,692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Adjusted Earnings per Share</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7.88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47"/>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87,970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90,956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77,994</w:t>
            </w:r>
          </w:p>
        </w:tc>
      </w:tr>
      <w:tr>
        <w:trPr>
          <w:trHeight w:val="236"/>
        </w:trPr>
        <w:tc>
          <w:tcPr>
            <w:tcW w:w="43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90,475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94,377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94,284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81,431</w:t>
            </w:r>
          </w:p>
        </w:tc>
      </w:tr>
    </w:tbl>
    <w:p>
      <w:pPr>
        <w:spacing w:after="0" w:line="125" w:lineRule="exact"/>
        <w:rPr>
          <w:sz w:val="20"/>
          <w:szCs w:val="20"/>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outside consulting fees associated with our strategic cost savings and business optimization initiatives.</w:t>
      </w:r>
    </w:p>
    <w:p>
      <w:pPr>
        <w:spacing w:after="0" w:line="53" w:lineRule="exact"/>
        <w:rPr>
          <w:rFonts w:ascii="Arial" w:cs="Arial" w:eastAsia="Arial" w:hAnsi="Arial"/>
          <w:sz w:val="13"/>
          <w:szCs w:val="13"/>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our contractual payments under our Monitoring Agreement with our former private equity sponsor Kohlberg Kravis Roberts &amp; Co. L.P.</w:t>
      </w:r>
    </w:p>
    <w:p>
      <w:pPr>
        <w:spacing w:after="0" w:line="53"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severance costs associated with executive leadership changes and enterprise-wide organizational changes.</w:t>
      </w:r>
    </w:p>
    <w:p>
      <w:pPr>
        <w:spacing w:after="0" w:line="53" w:lineRule="exact"/>
        <w:rPr>
          <w:rFonts w:ascii="Arial" w:cs="Arial" w:eastAsia="Arial" w:hAnsi="Arial"/>
          <w:sz w:val="13"/>
          <w:szCs w:val="13"/>
          <w:color w:val="auto"/>
        </w:rPr>
      </w:pPr>
    </w:p>
    <w:p>
      <w:pPr>
        <w:jc w:val="both"/>
        <w:ind w:left="400" w:right="20" w:hanging="374"/>
        <w:spacing w:after="0" w:line="251"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30" w:lineRule="exact"/>
        <w:rPr>
          <w:rFonts w:ascii="Arial" w:cs="Arial" w:eastAsia="Arial" w:hAnsi="Arial"/>
          <w:sz w:val="13"/>
          <w:szCs w:val="13"/>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jc w:val="both"/>
        <w:ind w:left="400" w:right="20" w:hanging="374"/>
        <w:spacing w:after="0" w:line="251"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30" w:lineRule="exact"/>
        <w:rPr>
          <w:rFonts w:ascii="Arial" w:cs="Arial" w:eastAsia="Arial" w:hAnsi="Arial"/>
          <w:sz w:val="13"/>
          <w:szCs w:val="13"/>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the tax effect of the total adjustments made to arrive at Adjusted Net Income at our historical tax rate.</w:t>
      </w:r>
    </w:p>
    <w:p>
      <w:pPr>
        <w:spacing w:after="0" w:line="53"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Selling, General and Administrative Expenses</w:t>
      </w:r>
    </w:p>
    <w:p>
      <w:pPr>
        <w:spacing w:after="0" w:line="2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define “Adjusted Selling, General and Administrative Expenses” as selling, general and administrative expenses, less consulting fees, private equity sponsor monitoring fees, equity compensation expense, severance and executive transition costs, costs related to the COVID-19 pandemic, payroll taxes associated with the 2021 Vesting Event and other adjustments. We describe these adjustments reconciling selling, general and administrative expenses to Adjusted Selling, General and Administrative Expenses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30, 2021</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30, 2021</w:t>
            </w:r>
          </w:p>
        </w:tc>
        <w:tc>
          <w:tcPr>
            <w:tcW w:w="0" w:type="dxa"/>
            <w:vAlign w:val="bottom"/>
          </w:tcPr>
          <w:p>
            <w:pPr>
              <w:spacing w:after="0"/>
              <w:rPr>
                <w:sz w:val="1"/>
                <w:szCs w:val="1"/>
                <w:color w:val="auto"/>
              </w:rPr>
            </w:pPr>
          </w:p>
        </w:tc>
      </w:tr>
      <w:tr>
        <w:trPr>
          <w:trHeight w:val="24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385,858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358,056</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1,443,148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1,313,647</w:t>
            </w:r>
          </w:p>
        </w:tc>
        <w:tc>
          <w:tcPr>
            <w:tcW w:w="0" w:type="dxa"/>
            <w:vAlign w:val="bottom"/>
          </w:tcPr>
          <w:p>
            <w:pPr>
              <w:spacing w:after="0"/>
              <w:rPr>
                <w:sz w:val="1"/>
                <w:szCs w:val="1"/>
                <w:color w:val="auto"/>
              </w:rPr>
            </w:pPr>
          </w:p>
        </w:tc>
      </w:tr>
      <w:tr>
        <w:trPr>
          <w:trHeight w:val="235"/>
        </w:trPr>
        <w:tc>
          <w:tcPr>
            <w:tcW w:w="4060" w:type="dxa"/>
            <w:vAlign w:val="bottom"/>
          </w:tcPr>
          <w:p>
            <w:pPr>
              <w:ind w:left="2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Consulting fees (a)</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9"/>
        </w:trPr>
        <w:tc>
          <w:tcPr>
            <w:tcW w:w="4060" w:type="dxa"/>
            <w:vAlign w:val="bottom"/>
          </w:tcPr>
          <w:p>
            <w:pPr>
              <w:ind w:left="140"/>
              <w:spacing w:after="0"/>
              <w:rPr>
                <w:sz w:val="20"/>
                <w:szCs w:val="20"/>
                <w:color w:val="auto"/>
              </w:rPr>
            </w:pPr>
            <w:r>
              <w:rPr>
                <w:rFonts w:ascii="Arial" w:cs="Arial" w:eastAsia="Arial" w:hAnsi="Arial"/>
                <w:sz w:val="16"/>
                <w:szCs w:val="16"/>
                <w:color w:val="auto"/>
              </w:rPr>
              <w:t>Private equity sponsor monitoring fee (b)</w:t>
            </w:r>
          </w:p>
        </w:tc>
        <w:tc>
          <w:tcPr>
            <w:tcW w:w="1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(14,793)</w:t>
            </w:r>
          </w:p>
        </w:tc>
        <w:tc>
          <w:tcPr>
            <w:tcW w:w="0" w:type="dxa"/>
            <w:vAlign w:val="bottom"/>
          </w:tcPr>
          <w:p>
            <w:pPr>
              <w:spacing w:after="0"/>
              <w:rPr>
                <w:sz w:val="1"/>
                <w:szCs w:val="1"/>
                <w:color w:val="auto"/>
              </w:rPr>
            </w:pPr>
          </w:p>
        </w:tc>
      </w:tr>
      <w:tr>
        <w:trPr>
          <w:trHeight w:val="24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compensation (c)</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(4,568)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(39,264)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(31,617)</w:t>
            </w:r>
          </w:p>
        </w:tc>
        <w:tc>
          <w:tcPr>
            <w:tcW w:w="0" w:type="dxa"/>
            <w:vAlign w:val="bottom"/>
          </w:tcPr>
          <w:p>
            <w:pPr>
              <w:spacing w:after="0"/>
              <w:rPr>
                <w:sz w:val="1"/>
                <w:szCs w:val="1"/>
                <w:color w:val="auto"/>
              </w:rPr>
            </w:pPr>
          </w:p>
        </w:tc>
      </w:tr>
      <w:tr>
        <w:trPr>
          <w:trHeight w:val="239"/>
        </w:trPr>
        <w:tc>
          <w:tcPr>
            <w:tcW w:w="4060" w:type="dxa"/>
            <w:vAlign w:val="bottom"/>
          </w:tcPr>
          <w:p>
            <w:pPr>
              <w:ind w:left="140"/>
              <w:spacing w:after="0"/>
              <w:rPr>
                <w:sz w:val="20"/>
                <w:szCs w:val="20"/>
                <w:color w:val="auto"/>
              </w:rPr>
            </w:pPr>
            <w:r>
              <w:rPr>
                <w:rFonts w:ascii="Arial" w:cs="Arial" w:eastAsia="Arial" w:hAnsi="Arial"/>
                <w:sz w:val="16"/>
                <w:szCs w:val="16"/>
                <w:color w:val="auto"/>
              </w:rPr>
              <w:t>Severance and executive transition costs (d)</w:t>
            </w:r>
          </w:p>
        </w:tc>
        <w:tc>
          <w:tcPr>
            <w:tcW w:w="1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(2,434)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4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 related to the COVID-19 pandemic (e)</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(17,632)</w:t>
            </w:r>
          </w:p>
        </w:tc>
        <w:tc>
          <w:tcPr>
            <w:tcW w:w="0" w:type="dxa"/>
            <w:vAlign w:val="bottom"/>
          </w:tcPr>
          <w:p>
            <w:pPr>
              <w:spacing w:after="0"/>
              <w:rPr>
                <w:sz w:val="1"/>
                <w:szCs w:val="1"/>
                <w:color w:val="auto"/>
              </w:rPr>
            </w:pPr>
          </w:p>
        </w:tc>
      </w:tr>
      <w:tr>
        <w:trPr>
          <w:trHeight w:val="202"/>
        </w:trPr>
        <w:tc>
          <w:tcPr>
            <w:tcW w:w="4060" w:type="dxa"/>
            <w:vAlign w:val="bottom"/>
          </w:tcPr>
          <w:p>
            <w:pPr>
              <w:ind w:left="140"/>
              <w:spacing w:after="0"/>
              <w:rPr>
                <w:sz w:val="20"/>
                <w:szCs w:val="20"/>
                <w:color w:val="auto"/>
              </w:rPr>
            </w:pPr>
            <w:r>
              <w:rPr>
                <w:rFonts w:ascii="Arial" w:cs="Arial" w:eastAsia="Arial" w:hAnsi="Arial"/>
                <w:sz w:val="16"/>
                <w:szCs w:val="16"/>
                <w:color w:val="auto"/>
              </w:rPr>
              <w:t>Payroll taxes associated with the 2021 Vesting Event</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140"/>
              <w:spacing w:after="0"/>
              <w:rPr>
                <w:sz w:val="20"/>
                <w:szCs w:val="20"/>
                <w:color w:val="auto"/>
              </w:rPr>
            </w:pPr>
            <w:r>
              <w:rPr>
                <w:rFonts w:ascii="Arial" w:cs="Arial" w:eastAsia="Arial" w:hAnsi="Arial"/>
                <w:sz w:val="16"/>
                <w:szCs w:val="16"/>
                <w:color w:val="auto"/>
              </w:rPr>
              <w:t>(f)</w:t>
            </w:r>
          </w:p>
        </w:tc>
        <w:tc>
          <w:tcPr>
            <w:tcW w:w="16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(g)</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(1,809)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(3,698)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(3,118)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(8,592)</w:t>
            </w:r>
          </w:p>
        </w:tc>
        <w:tc>
          <w:tcPr>
            <w:tcW w:w="0" w:type="dxa"/>
            <w:vAlign w:val="bottom"/>
          </w:tcPr>
          <w:p>
            <w:pPr>
              <w:spacing w:after="0"/>
              <w:rPr>
                <w:sz w:val="1"/>
                <w:szCs w:val="1"/>
                <w:color w:val="auto"/>
              </w:rPr>
            </w:pPr>
          </w:p>
        </w:tc>
      </w:tr>
      <w:tr>
        <w:trPr>
          <w:trHeight w:val="182"/>
        </w:trPr>
        <w:tc>
          <w:tcPr>
            <w:tcW w:w="4060" w:type="dxa"/>
            <w:vAlign w:val="bottom"/>
          </w:tcPr>
          <w:p>
            <w:pPr>
              <w:ind w:left="240"/>
              <w:spacing w:after="0" w:line="182" w:lineRule="exact"/>
              <w:rPr>
                <w:sz w:val="20"/>
                <w:szCs w:val="20"/>
                <w:color w:val="auto"/>
              </w:rPr>
            </w:pPr>
            <w:r>
              <w:rPr>
                <w:rFonts w:ascii="Arial" w:cs="Arial" w:eastAsia="Arial" w:hAnsi="Arial"/>
                <w:sz w:val="16"/>
                <w:szCs w:val="16"/>
                <w:color w:val="auto"/>
              </w:rPr>
              <w:t>Adjusted Selling, General and Administrative</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380,911</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80" w:type="dxa"/>
            <w:vAlign w:val="bottom"/>
            <w:vMerge w:val="restart"/>
          </w:tcPr>
          <w:p>
            <w:pPr>
              <w:jc w:val="right"/>
              <w:ind w:right="139"/>
              <w:spacing w:after="0"/>
              <w:rPr>
                <w:sz w:val="20"/>
                <w:szCs w:val="20"/>
                <w:color w:val="auto"/>
              </w:rPr>
            </w:pPr>
            <w:r>
              <w:rPr>
                <w:rFonts w:ascii="Arial" w:cs="Arial" w:eastAsia="Arial" w:hAnsi="Arial"/>
                <w:sz w:val="16"/>
                <w:szCs w:val="16"/>
                <w:color w:val="auto"/>
              </w:rPr>
              <w:t>347,265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1,385,348</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color w:val="auto"/>
              </w:rPr>
              <w:t>1,234,157</w:t>
            </w:r>
          </w:p>
        </w:tc>
        <w:tc>
          <w:tcPr>
            <w:tcW w:w="0" w:type="dxa"/>
            <w:vAlign w:val="bottom"/>
          </w:tcPr>
          <w:p>
            <w:pPr>
              <w:spacing w:after="0"/>
              <w:rPr>
                <w:sz w:val="1"/>
                <w:szCs w:val="1"/>
                <w:color w:val="auto"/>
              </w:rPr>
            </w:pPr>
          </w:p>
        </w:tc>
      </w:tr>
      <w:tr>
        <w:trPr>
          <w:trHeight w:val="208"/>
        </w:trPr>
        <w:tc>
          <w:tcPr>
            <w:tcW w:w="4060" w:type="dxa"/>
            <w:vAlign w:val="bottom"/>
          </w:tcPr>
          <w:p>
            <w:pPr>
              <w:ind w:left="2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
              <w:spacing w:after="0"/>
              <w:rPr>
                <w:sz w:val="20"/>
                <w:szCs w:val="20"/>
                <w:color w:val="auto"/>
              </w:rPr>
            </w:pPr>
            <w:r>
              <w:rPr>
                <w:rFonts w:ascii="Arial" w:cs="Arial" w:eastAsia="Arial" w:hAnsi="Arial"/>
                <w:sz w:val="16"/>
                <w:szCs w:val="16"/>
                <w:color w:val="auto"/>
              </w:rPr>
              <w:t>Adjusted Selling, General and Administrative Expense</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as a percentage of Net Sales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outside consulting fees associated with our strategic cost savings and business optimization initiatives.</w:t>
      </w:r>
    </w:p>
    <w:p>
      <w:pPr>
        <w:spacing w:after="0" w:line="53" w:lineRule="exact"/>
        <w:rPr>
          <w:rFonts w:ascii="Arial" w:cs="Arial" w:eastAsia="Arial" w:hAnsi="Arial"/>
          <w:sz w:val="13"/>
          <w:szCs w:val="13"/>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our contractual payments under our Monitoring Agreement with our former private equity sponsor Kohlberg Kravis Roberts &amp; Co. L.P.</w:t>
      </w:r>
    </w:p>
    <w:p>
      <w:pPr>
        <w:spacing w:after="0" w:line="53" w:lineRule="exact"/>
        <w:rPr>
          <w:rFonts w:ascii="Arial" w:cs="Arial" w:eastAsia="Arial" w:hAnsi="Arial"/>
          <w:sz w:val="13"/>
          <w:szCs w:val="13"/>
          <w:color w:val="auto"/>
        </w:rPr>
      </w:pPr>
    </w:p>
    <w:p>
      <w:pPr>
        <w:ind w:left="380" w:right="20" w:hanging="354"/>
        <w:spacing w:after="0" w:line="264"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severance costs associated with executive leadership changes and enterprise-wide organizational changes.</w:t>
      </w:r>
    </w:p>
    <w:p>
      <w:pPr>
        <w:spacing w:after="0" w:line="53" w:lineRule="exact"/>
        <w:rPr>
          <w:rFonts w:ascii="Arial" w:cs="Arial" w:eastAsia="Arial" w:hAnsi="Arial"/>
          <w:sz w:val="13"/>
          <w:szCs w:val="13"/>
          <w:color w:val="auto"/>
        </w:rPr>
      </w:pPr>
    </w:p>
    <w:p>
      <w:pPr>
        <w:jc w:val="both"/>
        <w:ind w:left="380" w:right="20" w:hanging="354"/>
        <w:spacing w:after="0" w:line="251"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30" w:lineRule="exact"/>
        <w:rPr>
          <w:rFonts w:ascii="Arial" w:cs="Arial" w:eastAsia="Arial" w:hAnsi="Arial"/>
          <w:sz w:val="13"/>
          <w:szCs w:val="13"/>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jc w:val="both"/>
        <w:ind w:left="380" w:right="20" w:hanging="354"/>
        <w:spacing w:after="0" w:line="251"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30, 2021</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rPr>
              <w:t>January 30, 2021</w:t>
            </w:r>
          </w:p>
        </w:tc>
      </w:tr>
      <w:tr>
        <w:trPr>
          <w:trHeight w:val="24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158,202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154,379</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673,265</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1,011,597</w:t>
            </w:r>
          </w:p>
        </w:tc>
      </w:tr>
      <w:tr>
        <w:trPr>
          <w:trHeight w:val="23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(17,306)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(76,017)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(33,144)</w:t>
            </w:r>
          </w:p>
        </w:tc>
      </w:tr>
      <w:tr>
        <w:trPr>
          <w:trHeight w:val="265"/>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140,896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597,248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978,453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749"/>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141"/>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7"/>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2022-03-29T07:08:36Z</dcterms:created>
  <dcterms:modified xsi:type="dcterms:W3CDTF">2022-03-29T07:08:36Z</dcterms:modified>
</cp:coreProperties>
</file>