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6322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322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Mullican Michael P.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14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49,757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17.3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160,182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31,325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128,857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28,421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157,278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21,684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135,594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17.3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49,757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03/05/2030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49,757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5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26.99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28,421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03/31/2031</w:t>
            </w: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28,421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28,422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(3)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net settlement of shares to cover the cost of exercise and tax withholding obligations arising from the stock option exercise reported above.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options previously granted under the Issuer's 2011 Unit Incentive Plan, or the 2011 Equity Plan, are fully vested due to a Change of Control (as defined in the 2011 Equity Plan) that resulted from the Issuer's secondary public offering that closed on May 10, 2021.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Plan, as amended (the "Plan").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31, 2021, the Report Person was granted 56,843 time-based options. 50% of these time-based options have vested and the remaining 50% will vest in two equal installments on each March 31, 2024 and March 31, 2025.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5630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2023-10-13T15:25:15Z</dcterms:created>
  <dcterms:modified xsi:type="dcterms:W3CDTF">2023-10-13T15:25:15Z</dcterms:modified>
</cp:coreProperties>
</file>