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f-form4_169463773058324.xml.htm"/>
      <w:bookmarkStart w:id="1" w:name="kswfform4_16946377305832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Johnson Samuel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77449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pPr>
                  <w:r>
                    <w:rPr>
                      <w:rFonts w:ascii="Times;serif" w:hAnsi="Times;serif"/>
                      <w:color w:val="0000FF"/>
                      <w:sz w:val="24"/>
                      <w:shd w:fill="FFFFFF" w:val="clear"/>
                    </w:rPr>
                    <w:t>EVP, Retail Operations</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09/12/2023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09/12/2023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17.3</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85,256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09/12/2023</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25,578</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26.99</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110,834</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09/12/2023</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40,531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50.03</w:t>
            </w:r>
            <w:r>
              <w:rPr>
                <w:rFonts w:ascii="Times;serif" w:hAnsi="Times;serif"/>
                <w:color w:val="008000"/>
                <w:position w:val="7"/>
                <w:sz w:val="16"/>
                <w:sz w:val="20"/>
                <w:shd w:fill="FFFFFF" w:val="clear"/>
              </w:rPr>
              <w:t>(1)</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70,303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17.3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09/12/2023</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1,952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1,952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(Right to Buy)</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26.99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09/12/2023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25,578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25,578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25,580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ranging from $49.45 to $50.32, inclusive. The Reporting Person undertakes to provide to the Issuer, any security holder of the Issuer, or the staff of the U.S. Securities and Exchange Commission, upon request, full information regarding the number of shares sold at each separate price within the range set forth above.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time-based options previously granted under the Issuer's 2011 Unit Incentive Plan, or the 2011 Equity Plan, are fully vested due to a Change of Control (as defined in the 2011 Equity Plan) that resulted from the Issuer's secondary public offering that closed on May 10, 2021.</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Granted under the Company's Amended and Restated 2020 Omnibus Incentive Plan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March 31, 2021, the Reporting Person was granted 51,158 time-based options. These time-based options vest in four equal installments beginning on first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09/13/2023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82299" TargetMode="External"/><Relationship Id="rId4" Type="http://schemas.openxmlformats.org/officeDocument/2006/relationships/hyperlink" Target="http://www.sec.gov/cgi-bin/browse-edgar?action=getcompany&amp;CIK=0001817358"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777</Words>
  <Characters>4171</Characters>
  <CharactersWithSpaces>4852</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