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Filed Pursuant to 424(b)(4)</w:t>
      </w:r>
    </w:p>
    <w:p>
      <w:pPr>
        <w:spacing w:after="0" w:line="27"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No. 333-259477</w:t>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18,645,602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260350</wp:posOffset>
            </wp:positionV>
            <wp:extent cx="166306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Academy Sports and Outdoors, Inc.</w:t>
      </w: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191770</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400" w:right="559" w:firstLine="360"/>
        <w:spacing w:after="0" w:line="263" w:lineRule="auto"/>
        <w:rPr>
          <w:sz w:val="20"/>
          <w:szCs w:val="20"/>
          <w:color w:val="auto"/>
        </w:rPr>
      </w:pPr>
      <w:r>
        <w:rPr>
          <w:rFonts w:ascii="Arial" w:cs="Arial" w:eastAsia="Arial" w:hAnsi="Arial"/>
          <w:sz w:val="18"/>
          <w:szCs w:val="18"/>
          <w:color w:val="auto"/>
        </w:rPr>
        <w:t>The selling stockholders named in this prospectus are offering 18,645,602 shares of common stock of Academy Sports and Outdoors, Inc. We will not receive any proceeds from the sale of our common stock by the selling stockholders.</w:t>
      </w:r>
    </w:p>
    <w:p>
      <w:pPr>
        <w:spacing w:after="0" w:line="184" w:lineRule="exact"/>
        <w:rPr>
          <w:sz w:val="24"/>
          <w:szCs w:val="24"/>
          <w:color w:val="auto"/>
        </w:rPr>
      </w:pPr>
    </w:p>
    <w:p>
      <w:pPr>
        <w:ind w:left="400" w:right="579" w:firstLine="360"/>
        <w:spacing w:after="0" w:line="263" w:lineRule="auto"/>
        <w:rPr>
          <w:sz w:val="20"/>
          <w:szCs w:val="20"/>
          <w:color w:val="auto"/>
        </w:rPr>
      </w:pPr>
      <w:r>
        <w:rPr>
          <w:rFonts w:ascii="Arial" w:cs="Arial" w:eastAsia="Arial" w:hAnsi="Arial"/>
          <w:sz w:val="18"/>
          <w:szCs w:val="18"/>
          <w:color w:val="auto"/>
        </w:rPr>
        <w:t>Our common stock is listed on the Nasdaq Global Select Market, or Nasdaq, under the symbol “ASO.” On September 13, 2021, the closing sales price of our common stock as reported on the Nasdaq was $46.16 per share.</w:t>
      </w:r>
    </w:p>
    <w:p>
      <w:pPr>
        <w:spacing w:after="0" w:line="184" w:lineRule="exact"/>
        <w:rPr>
          <w:sz w:val="24"/>
          <w:szCs w:val="24"/>
          <w:color w:val="auto"/>
        </w:rPr>
      </w:pPr>
    </w:p>
    <w:p>
      <w:pPr>
        <w:ind w:left="400" w:right="439" w:firstLine="360"/>
        <w:spacing w:after="0" w:line="296"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underwriters, out of the aggregate 18,645,602 shares of our common stock that are the subject of the offering, a number of shares (rounded down to the nearest whole share) having an aggregate purchase price of up to $200 million. The price per share to be paid by us will equal the price at which the underwriters will purchase the shares from the selling stockholder in the offering. The offering is not conditioned upon the completion of the share repurchase.</w:t>
      </w:r>
    </w:p>
    <w:p>
      <w:pPr>
        <w:spacing w:after="0" w:line="157" w:lineRule="exact"/>
        <w:rPr>
          <w:sz w:val="24"/>
          <w:szCs w:val="24"/>
          <w:color w:val="auto"/>
        </w:rPr>
      </w:pPr>
    </w:p>
    <w:p>
      <w:pPr>
        <w:ind w:left="400" w:right="51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risks. See “Risk Factors” beginning on page </w:t>
      </w:r>
      <w:hyperlink w:anchor="page24">
        <w:r>
          <w:rPr>
            <w:rFonts w:ascii="Arial" w:cs="Arial" w:eastAsia="Arial" w:hAnsi="Arial"/>
            <w:sz w:val="18"/>
            <w:szCs w:val="18"/>
            <w:b w:val="1"/>
            <w:bCs w:val="1"/>
            <w:u w:val="single" w:color="auto"/>
            <w:color w:val="0000EE"/>
          </w:rPr>
          <w:t>18</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to read about factors you should consider before buying shares of our common stock.</w:t>
      </w:r>
    </w:p>
    <w:p>
      <w:pPr>
        <w:spacing w:after="0" w:line="162" w:lineRule="exact"/>
        <w:rPr>
          <w:sz w:val="24"/>
          <w:szCs w:val="24"/>
          <w:color w:val="auto"/>
        </w:rPr>
      </w:pPr>
    </w:p>
    <w:p>
      <w:pPr>
        <w:ind w:left="400" w:right="43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1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Price to</w:t>
            </w:r>
          </w:p>
        </w:tc>
        <w:tc>
          <w:tcPr>
            <w:tcW w:w="1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Underwriting</w:t>
            </w:r>
          </w:p>
        </w:tc>
        <w:tc>
          <w:tcPr>
            <w:tcW w:w="140" w:type="dxa"/>
            <w:vAlign w:val="bottom"/>
          </w:tcPr>
          <w:p>
            <w:pPr>
              <w:spacing w:after="0"/>
              <w:rPr>
                <w:sz w:val="14"/>
                <w:szCs w:val="14"/>
                <w:color w:val="auto"/>
              </w:rPr>
            </w:pPr>
          </w:p>
        </w:tc>
        <w:tc>
          <w:tcPr>
            <w:tcW w:w="1060" w:type="dxa"/>
            <w:vAlign w:val="bottom"/>
          </w:tcPr>
          <w:p>
            <w:pPr>
              <w:jc w:val="center"/>
              <w:ind w:right="84"/>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5"/>
        </w:trPr>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Discounts and</w:t>
            </w:r>
          </w:p>
        </w:tc>
        <w:tc>
          <w:tcPr>
            <w:tcW w:w="140" w:type="dxa"/>
            <w:vAlign w:val="bottom"/>
          </w:tcPr>
          <w:p>
            <w:pPr>
              <w:spacing w:after="0"/>
              <w:rPr>
                <w:sz w:val="12"/>
                <w:szCs w:val="12"/>
                <w:color w:val="auto"/>
              </w:rPr>
            </w:pPr>
          </w:p>
        </w:tc>
        <w:tc>
          <w:tcPr>
            <w:tcW w:w="106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0"/>
              </w:rPr>
              <w:t>the Selling</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Public</w:t>
            </w:r>
            <w:r>
              <w:rPr>
                <w:rFonts w:ascii="Arial" w:cs="Arial" w:eastAsia="Arial" w:hAnsi="Arial"/>
                <w:sz w:val="23"/>
                <w:szCs w:val="23"/>
                <w:b w:val="1"/>
                <w:bCs w:val="1"/>
                <w:color w:val="auto"/>
                <w:w w:val="88"/>
                <w:vertAlign w:val="superscript"/>
              </w:rPr>
              <w:t>(1)</w:t>
            </w: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Commissions</w:t>
            </w:r>
            <w:r>
              <w:rPr>
                <w:rFonts w:ascii="Arial" w:cs="Arial" w:eastAsia="Arial" w:hAnsi="Arial"/>
                <w:sz w:val="23"/>
                <w:szCs w:val="23"/>
                <w:b w:val="1"/>
                <w:bCs w:val="1"/>
                <w:color w:val="auto"/>
                <w:w w:val="85"/>
                <w:vertAlign w:val="superscript"/>
              </w:rPr>
              <w:t>(2)(3)</w:t>
            </w:r>
          </w:p>
        </w:tc>
        <w:tc>
          <w:tcPr>
            <w:tcW w:w="140" w:type="dxa"/>
            <w:vAlign w:val="bottom"/>
          </w:tcPr>
          <w:p>
            <w:pPr>
              <w:spacing w:after="0"/>
              <w:rPr>
                <w:sz w:val="24"/>
                <w:szCs w:val="24"/>
                <w:color w:val="auto"/>
              </w:rPr>
            </w:pPr>
          </w:p>
        </w:tc>
        <w:tc>
          <w:tcPr>
            <w:tcW w:w="106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31"/>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2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1.230625</w:t>
            </w:r>
          </w:p>
        </w:tc>
        <w:tc>
          <w:tcPr>
            <w:tcW w:w="2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43.519375</w:t>
            </w:r>
          </w:p>
        </w:tc>
        <w:tc>
          <w:tcPr>
            <w:tcW w:w="0" w:type="dxa"/>
            <w:vAlign w:val="bottom"/>
          </w:tcPr>
          <w:p>
            <w:pPr>
              <w:spacing w:after="0"/>
              <w:rPr>
                <w:sz w:val="1"/>
                <w:szCs w:val="1"/>
                <w:color w:val="auto"/>
              </w:rPr>
            </w:pPr>
          </w:p>
        </w:tc>
      </w:tr>
      <w:tr>
        <w:trPr>
          <w:trHeight w:val="108"/>
        </w:trPr>
        <w:tc>
          <w:tcPr>
            <w:tcW w:w="4160" w:type="dxa"/>
            <w:vAlign w:val="bottom"/>
            <w:shd w:val="clear" w:color="auto" w:fill="CCEEFF"/>
          </w:tcPr>
          <w:p>
            <w:pPr>
              <w:spacing w:after="0"/>
              <w:rPr>
                <w:sz w:val="9"/>
                <w:szCs w:val="9"/>
                <w:color w:val="auto"/>
              </w:rPr>
            </w:pPr>
          </w:p>
        </w:tc>
        <w:tc>
          <w:tcPr>
            <w:tcW w:w="1220" w:type="dxa"/>
            <w:vAlign w:val="bottom"/>
            <w:gridSpan w:val="2"/>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gridSpan w:val="2"/>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88"/>
              </w:rPr>
              <w:t>$834,390,689.50</w:t>
            </w:r>
          </w:p>
        </w:tc>
        <w:tc>
          <w:tcPr>
            <w:tcW w:w="2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87"/>
              </w:rPr>
              <w:t>$22,945,743.96</w:t>
            </w:r>
          </w:p>
        </w:tc>
        <w:tc>
          <w:tcPr>
            <w:tcW w:w="2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w w:val="87"/>
              </w:rPr>
              <w:t>$811,444,945.54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4540250</wp:posOffset>
            </wp:positionH>
            <wp:positionV relativeFrom="paragraph">
              <wp:posOffset>-496570</wp:posOffset>
            </wp:positionV>
            <wp:extent cx="154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-496570</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-496570</wp:posOffset>
            </wp:positionV>
            <wp:extent cx="76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188595</wp:posOffset>
            </wp:positionV>
            <wp:extent cx="822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4"/>
          <w:szCs w:val="24"/>
          <w:color w:val="auto"/>
        </w:rPr>
      </w:pPr>
    </w:p>
    <w:p>
      <w:pPr>
        <w:ind w:left="760" w:right="639" w:hanging="360"/>
        <w:spacing w:after="0" w:line="253" w:lineRule="auto"/>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public offering price for the 14,145,602 shares offered to the public was $44.75 per share. The price for the 4,500,000 shares we intend to repurchase from the underwriters was $43.519375 per share.</w:t>
      </w:r>
    </w:p>
    <w:p>
      <w:pPr>
        <w:spacing w:after="0" w:line="11" w:lineRule="exact"/>
        <w:rPr>
          <w:rFonts w:ascii="Arial" w:cs="Arial" w:eastAsia="Arial" w:hAnsi="Arial"/>
          <w:sz w:val="14"/>
          <w:szCs w:val="14"/>
          <w:color w:val="auto"/>
        </w:rPr>
      </w:pPr>
    </w:p>
    <w:p>
      <w:pPr>
        <w:ind w:left="760" w:right="879" w:hanging="360"/>
        <w:spacing w:after="0" w:line="253" w:lineRule="auto"/>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underwriting discount for the 14,145,602 shares offered to the public was $1.230625 per share. No underwriting discount or commissions will be paid to the underwriters with respect to the 4,500,000 shares we intend to repurchase.</w:t>
      </w:r>
    </w:p>
    <w:p>
      <w:pPr>
        <w:spacing w:after="0" w:line="11" w:lineRule="exact"/>
        <w:rPr>
          <w:rFonts w:ascii="Arial" w:cs="Arial" w:eastAsia="Arial" w:hAnsi="Arial"/>
          <w:sz w:val="14"/>
          <w:szCs w:val="14"/>
          <w:color w:val="auto"/>
        </w:rPr>
      </w:pPr>
    </w:p>
    <w:p>
      <w:pPr>
        <w:ind w:left="760" w:hanging="360"/>
        <w:spacing w:after="0"/>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underwriters expect to deliver the shares on or about September 17, 2021.</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Bookrunners</w:t>
      </w:r>
    </w:p>
    <w:p>
      <w:pPr>
        <w:spacing w:after="0" w:line="248" w:lineRule="exact"/>
        <w:rPr>
          <w:sz w:val="24"/>
          <w:szCs w:val="24"/>
          <w:color w:val="auto"/>
        </w:rPr>
      </w:pPr>
    </w:p>
    <w:p>
      <w:pPr>
        <w:ind w:left="520"/>
        <w:spacing w:after="0"/>
        <w:tabs>
          <w:tab w:leader="none" w:pos="3080" w:val="left"/>
          <w:tab w:leader="none" w:pos="4760" w:val="left"/>
          <w:tab w:leader="none" w:pos="668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9"/>
          <w:szCs w:val="29"/>
          <w:b w:val="1"/>
          <w:bCs w:val="1"/>
          <w:color w:val="auto"/>
        </w:rPr>
        <w:t>KKR</w:t>
      </w:r>
      <w:r>
        <w:rPr>
          <w:sz w:val="20"/>
          <w:szCs w:val="20"/>
          <w:color w:val="auto"/>
        </w:rPr>
        <w:tab/>
      </w: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5"/>
          <w:szCs w:val="25"/>
          <w:b w:val="1"/>
          <w:bCs w:val="1"/>
          <w:color w:val="auto"/>
        </w:rPr>
        <w:t>BofA Securities</w:t>
      </w:r>
    </w:p>
    <w:p>
      <w:pPr>
        <w:sectPr>
          <w:pgSz w:w="11900" w:h="16838" w:orient="portrait"/>
          <w:cols w:equalWidth="0" w:num="1">
            <w:col w:w="9019"/>
          </w:cols>
          <w:pgMar w:left="1440" w:top="22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is September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150495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type w:val="continuous"/>
        </w:sectPr>
      </w:pPr>
    </w:p>
    <w:bookmarkStart w:id="1" w:name="page2"/>
    <w:bookmarkEnd w:id="1"/>
    <w:tbl>
      <w:tblPr>
        <w:tblLayout w:type="fixed"/>
        <w:tblInd w:w="300" w:type="dxa"/>
        <w:tblCellMar>
          <w:top w:w="0" w:type="dxa"/>
          <w:left w:w="0" w:type="dxa"/>
          <w:bottom w:w="0" w:type="dxa"/>
          <w:right w:w="0" w:type="dxa"/>
        </w:tblCellMar>
      </w:tblPr>
      <w:tr>
        <w:trPr>
          <w:trHeight w:val="161"/>
        </w:trPr>
        <w:tc>
          <w:tcPr>
            <w:tcW w:w="8300" w:type="dxa"/>
            <w:vAlign w:val="bottom"/>
            <w:gridSpan w:val="19"/>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gridSpan w:val="3"/>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and Market Data</w:t>
              </w:r>
            </w:hyperlink>
          </w:p>
        </w:tc>
        <w:tc>
          <w:tcPr>
            <w:tcW w:w="120" w:type="dxa"/>
            <w:vAlign w:val="bottom"/>
            <w:gridSpan w:val="2"/>
            <w:shd w:val="clear" w:color="auto" w:fill="CCEEFF"/>
          </w:tcPr>
          <w:p>
            <w:pPr>
              <w:jc w:val="right"/>
              <w:ind w:right="2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Trademarks, Tradenames, Service Marks and Copyrights</w:t>
              </w:r>
            </w:hyperlink>
          </w:p>
        </w:tc>
        <w:tc>
          <w:tcPr>
            <w:tcW w:w="120" w:type="dxa"/>
            <w:vAlign w:val="bottom"/>
            <w:gridSpan w:val="2"/>
          </w:tcPr>
          <w:p>
            <w:pPr>
              <w:jc w:val="right"/>
              <w:ind w:right="2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Basis of Presentation</w:t>
              </w:r>
            </w:hyperlink>
          </w:p>
        </w:tc>
        <w:tc>
          <w:tcPr>
            <w:tcW w:w="120" w:type="dxa"/>
            <w:vAlign w:val="bottom"/>
            <w:gridSpan w:val="2"/>
            <w:shd w:val="clear" w:color="auto" w:fill="CCEEFF"/>
          </w:tcPr>
          <w:p>
            <w:pPr>
              <w:jc w:val="right"/>
              <w:ind w:right="20"/>
              <w:spacing w:after="0"/>
              <w:rPr>
                <w:rFonts w:ascii="Arial" w:cs="Arial" w:eastAsia="Arial" w:hAnsi="Arial"/>
                <w:sz w:val="17"/>
                <w:szCs w:val="17"/>
                <w:color w:val="0000EE"/>
                <w:w w:val="70"/>
              </w:rPr>
            </w:pPr>
            <w:hyperlink w:anchor="page4">
              <w:r>
                <w:rPr>
                  <w:rFonts w:ascii="Arial" w:cs="Arial" w:eastAsia="Arial" w:hAnsi="Arial"/>
                  <w:sz w:val="17"/>
                  <w:szCs w:val="17"/>
                  <w:color w:val="0000EE"/>
                  <w:w w:val="70"/>
                </w:rPr>
                <w:t>iii</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Non-GAAP Financial Measures</w:t>
              </w:r>
            </w:hyperlink>
          </w:p>
        </w:tc>
        <w:tc>
          <w:tcPr>
            <w:tcW w:w="120" w:type="dxa"/>
            <w:vAlign w:val="bottom"/>
            <w:gridSpan w:val="2"/>
          </w:tcPr>
          <w:p>
            <w:pPr>
              <w:jc w:val="right"/>
              <w:ind w:right="20"/>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v</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100" w:type="dxa"/>
            <w:vAlign w:val="bottom"/>
            <w:shd w:val="clear" w:color="auto" w:fill="CCEEFF"/>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24">
              <w:r>
                <w:rPr>
                  <w:rFonts w:ascii="Arial" w:cs="Arial" w:eastAsia="Arial" w:hAnsi="Arial"/>
                  <w:sz w:val="10"/>
                  <w:szCs w:val="10"/>
                  <w:color w:val="0000EE"/>
                  <w:w w:val="71"/>
                </w:rPr>
                <w:t>18</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Forward-Looking Statements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29">
              <w:r>
                <w:rPr>
                  <w:rFonts w:ascii="Arial" w:cs="Arial" w:eastAsia="Arial" w:hAnsi="Arial"/>
                  <w:sz w:val="10"/>
                  <w:szCs w:val="10"/>
                  <w:color w:val="0000EE"/>
                  <w:w w:val="71"/>
                </w:rPr>
                <w:t>23</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31">
              <w:r>
                <w:rPr>
                  <w:rFonts w:ascii="Arial" w:cs="Arial" w:eastAsia="Arial" w:hAnsi="Arial"/>
                  <w:sz w:val="10"/>
                  <w:szCs w:val="10"/>
                  <w:color w:val="0000EE"/>
                  <w:w w:val="71"/>
                </w:rPr>
                <w:t>25</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Dividend Policy</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2">
              <w:r>
                <w:rPr>
                  <w:rFonts w:ascii="Arial" w:cs="Arial" w:eastAsia="Arial" w:hAnsi="Arial"/>
                  <w:sz w:val="10"/>
                  <w:szCs w:val="10"/>
                  <w:color w:val="0000EE"/>
                  <w:w w:val="71"/>
                </w:rPr>
                <w:t>26</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Selling Stockholders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33">
              <w:r>
                <w:rPr>
                  <w:rFonts w:ascii="Arial" w:cs="Arial" w:eastAsia="Arial" w:hAnsi="Arial"/>
                  <w:sz w:val="10"/>
                  <w:szCs w:val="10"/>
                  <w:color w:val="0000EE"/>
                  <w:w w:val="71"/>
                </w:rPr>
                <w:t>27</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Capital Stock</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4">
              <w:r>
                <w:rPr>
                  <w:rFonts w:ascii="Arial" w:cs="Arial" w:eastAsia="Arial" w:hAnsi="Arial"/>
                  <w:sz w:val="10"/>
                  <w:szCs w:val="10"/>
                  <w:color w:val="0000EE"/>
                  <w:w w:val="71"/>
                </w:rPr>
                <w:t>28</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Shares Eligible for Future Sale</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41">
              <w:r>
                <w:rPr>
                  <w:rFonts w:ascii="Arial" w:cs="Arial" w:eastAsia="Arial" w:hAnsi="Arial"/>
                  <w:sz w:val="10"/>
                  <w:szCs w:val="10"/>
                  <w:color w:val="0000EE"/>
                  <w:w w:val="71"/>
                </w:rPr>
                <w:t>35</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Material U.S. Federal Income and Estate Tax Consequences to Non-U.S. Holders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43">
              <w:r>
                <w:rPr>
                  <w:rFonts w:ascii="Arial" w:cs="Arial" w:eastAsia="Arial" w:hAnsi="Arial"/>
                  <w:sz w:val="10"/>
                  <w:szCs w:val="10"/>
                  <w:color w:val="0000EE"/>
                  <w:w w:val="71"/>
                </w:rPr>
                <w:t>37</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740" w:type="dxa"/>
            <w:vAlign w:val="bottom"/>
            <w:tcBorders>
              <w:top w:val="single" w:sz="8" w:color="0000EE"/>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Underwriting (Conflicts of Interest)</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46">
              <w:r>
                <w:rPr>
                  <w:rFonts w:ascii="Arial" w:cs="Arial" w:eastAsia="Arial" w:hAnsi="Arial"/>
                  <w:sz w:val="10"/>
                  <w:szCs w:val="10"/>
                  <w:color w:val="0000EE"/>
                  <w:w w:val="71"/>
                </w:rPr>
                <w:t>40</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51">
              <w:r>
                <w:rPr>
                  <w:rFonts w:ascii="Arial" w:cs="Arial" w:eastAsia="Arial" w:hAnsi="Arial"/>
                  <w:sz w:val="10"/>
                  <w:szCs w:val="10"/>
                  <w:color w:val="0000EE"/>
                  <w:w w:val="71"/>
                </w:rPr>
                <w:t>45</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51">
              <w:r>
                <w:rPr>
                  <w:rFonts w:ascii="Arial" w:cs="Arial" w:eastAsia="Arial" w:hAnsi="Arial"/>
                  <w:sz w:val="10"/>
                  <w:szCs w:val="10"/>
                  <w:color w:val="0000EE"/>
                  <w:w w:val="71"/>
                </w:rPr>
                <w:t>45</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Where You Can Find More Information</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51">
              <w:r>
                <w:rPr>
                  <w:rFonts w:ascii="Arial" w:cs="Arial" w:eastAsia="Arial" w:hAnsi="Arial"/>
                  <w:sz w:val="10"/>
                  <w:szCs w:val="10"/>
                  <w:color w:val="0000EE"/>
                  <w:w w:val="71"/>
                </w:rPr>
                <w:t>45</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980" w:type="dxa"/>
            <w:vAlign w:val="bottom"/>
            <w:gridSpan w:val="10"/>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Incorporation by Reference</w:t>
              </w:r>
            </w:hyperlink>
          </w:p>
        </w:tc>
        <w:tc>
          <w:tcPr>
            <w:tcW w:w="6320" w:type="dxa"/>
            <w:vAlign w:val="bottom"/>
            <w:gridSpan w:val="9"/>
          </w:tcPr>
          <w:p>
            <w:pPr>
              <w:spacing w:after="0"/>
              <w:rPr>
                <w:sz w:val="19"/>
                <w:szCs w:val="19"/>
                <w:color w:val="auto"/>
              </w:rPr>
            </w:pPr>
          </w:p>
        </w:tc>
        <w:tc>
          <w:tcPr>
            <w:tcW w:w="120" w:type="dxa"/>
            <w:vAlign w:val="bottom"/>
            <w:gridSpan w:val="2"/>
          </w:tcPr>
          <w:p>
            <w:pPr>
              <w:jc w:val="right"/>
              <w:ind w:right="20"/>
              <w:spacing w:after="0"/>
              <w:rPr>
                <w:rFonts w:ascii="Arial" w:cs="Arial" w:eastAsia="Arial" w:hAnsi="Arial"/>
                <w:sz w:val="10"/>
                <w:szCs w:val="10"/>
                <w:color w:val="0000EE"/>
                <w:w w:val="71"/>
              </w:rPr>
            </w:pPr>
            <w:hyperlink w:anchor="page52">
              <w:r>
                <w:rPr>
                  <w:rFonts w:ascii="Arial" w:cs="Arial" w:eastAsia="Arial" w:hAnsi="Arial"/>
                  <w:sz w:val="10"/>
                  <w:szCs w:val="10"/>
                  <w:color w:val="0000EE"/>
                  <w:w w:val="71"/>
                </w:rPr>
                <w:t>46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205740</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or in any free writing prospectus we may authorize to be delivered or made available to you. None of us, the selling stockholders or the underwriters have authorized anyone to provide you with different information. The information contained, or incorporated by reference, in this prospectus or any free writing prospectus prepared by us or on our behalf is accurate only as of their respective dates, regardless of the time of delivery of this prospectus, or any free writing prospectus, as the case may be, or any sale of shares of our common stock.</w:t>
      </w:r>
    </w:p>
    <w:p>
      <w:pPr>
        <w:spacing w:after="0" w:line="70"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Within this prospectus and the documents incorporated by reference herein,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including Allied Market Research and Sporting Goods Intelligence, Inc. Some data and other information contained, or incorporated by reference,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in this prospectus and “Risk Factors” in our Annual Report (as defined herein) incorporated by reference in this prospectus.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TRADENAMES, SERVICE MARKS AND COPYRIGHTS</w:t>
      </w:r>
    </w:p>
    <w:p>
      <w:pPr>
        <w:spacing w:after="0" w:line="12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6"/>
          <w:szCs w:val="16"/>
          <w:color w:val="auto"/>
        </w:rPr>
        <w:t>We own and license a number of registered and common law trademarks and pending applications for trademark registrations in the United States, primarily through our subsidiaries, including, for example: Academy Sports + Outdoors</w:t>
      </w:r>
      <w:r>
        <w:rPr>
          <w:rFonts w:ascii="Arial" w:cs="Arial" w:eastAsia="Arial" w:hAnsi="Arial"/>
          <w:sz w:val="26"/>
          <w:szCs w:val="26"/>
          <w:color w:val="auto"/>
          <w:vertAlign w:val="superscript"/>
        </w:rPr>
        <w:t>®</w:t>
      </w:r>
      <w:r>
        <w:rPr>
          <w:rFonts w:ascii="Arial" w:cs="Arial" w:eastAsia="Arial" w:hAnsi="Arial"/>
          <w:sz w:val="16"/>
          <w:szCs w:val="16"/>
          <w:color w:val="auto"/>
        </w:rPr>
        <w:t>, Magellan Outdoors</w:t>
      </w:r>
      <w:r>
        <w:rPr>
          <w:rFonts w:ascii="Arial" w:cs="Arial" w:eastAsia="Arial" w:hAnsi="Arial"/>
          <w:sz w:val="26"/>
          <w:szCs w:val="26"/>
          <w:color w:val="auto"/>
          <w:vertAlign w:val="superscript"/>
        </w:rPr>
        <w:t>®</w:t>
      </w:r>
      <w:r>
        <w:rPr>
          <w:rFonts w:ascii="Arial" w:cs="Arial" w:eastAsia="Arial" w:hAnsi="Arial"/>
          <w:sz w:val="16"/>
          <w:szCs w:val="16"/>
          <w:color w:val="auto"/>
        </w:rPr>
        <w:t>, BCG</w:t>
      </w:r>
      <w:r>
        <w:rPr>
          <w:rFonts w:ascii="Arial" w:cs="Arial" w:eastAsia="Arial" w:hAnsi="Arial"/>
          <w:sz w:val="26"/>
          <w:szCs w:val="26"/>
          <w:color w:val="auto"/>
          <w:vertAlign w:val="superscript"/>
        </w:rPr>
        <w:t>®</w:t>
      </w:r>
      <w:r>
        <w:rPr>
          <w:rFonts w:ascii="Arial" w:cs="Arial" w:eastAsia="Arial" w:hAnsi="Arial"/>
          <w:sz w:val="16"/>
          <w:szCs w:val="16"/>
          <w:color w:val="auto"/>
        </w:rPr>
        <w:t>, O’rageous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Outdoor Gourmet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Unless otherwise indicated, all trademarks appearing in this prospectus are proprietary to us, our affiliates and/or licensors. This prospectus and the documents incorporated by reference herein also contain trademarks, tradenames, service marks and copyrights of other companies, which are the property of their respective owners. Solely for convenience, certain trademarks, tradenames, service marks and copyrights referred to in this prospectus (or in documents incorporated by reference herein)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are used in this prospectus unless otherwise noted or indicated by the context:</w:t>
      </w:r>
    </w:p>
    <w:p>
      <w:pPr>
        <w:spacing w:after="0" w:line="117" w:lineRule="exact"/>
        <w:rPr>
          <w:sz w:val="20"/>
          <w:szCs w:val="20"/>
          <w:color w:val="auto"/>
        </w:rPr>
      </w:pPr>
    </w:p>
    <w:p>
      <w:pPr>
        <w:ind w:left="1000" w:right="33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“2015 Term Loan Facility” means our senior secured term loans facility due July 2, 2022, which was repaid in full on November 6, 2020 with the net proceeds from the 2027 Notes and the Term Loan Facility, together with cash on hand;</w:t>
      </w:r>
    </w:p>
    <w:p>
      <w:pPr>
        <w:spacing w:after="0" w:line="75"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“2021 Vesting Event” means the vesting event that occurred in connection with the secondary offering of our shares of common stock in May 2021 which resulted in a reduction of KKR’s ownership interest in the Company, as described under Note 1 to our financial statements included in our Q2 Quarterly Report incorporated by reference herein;</w:t>
      </w:r>
    </w:p>
    <w:p>
      <w:pPr>
        <w:spacing w:after="0" w:line="78" w:lineRule="exact"/>
        <w:rPr>
          <w:rFonts w:ascii="Arial" w:cs="Arial" w:eastAsia="Arial" w:hAnsi="Arial"/>
          <w:sz w:val="18"/>
          <w:szCs w:val="18"/>
          <w:color w:val="auto"/>
        </w:rPr>
      </w:pPr>
    </w:p>
    <w:p>
      <w:pPr>
        <w:ind w:left="1000" w:right="479" w:hanging="348"/>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“2027 Notes” means our 6.00% senior secured notes due November 15, 2027, as described under Note 4 to our audited consolidated financial statements in our Annual Report incorporated by reference herein;</w:t>
      </w:r>
    </w:p>
    <w:p>
      <w:pPr>
        <w:spacing w:after="0" w:line="15" w:lineRule="exact"/>
        <w:rPr>
          <w:rFonts w:ascii="Arial" w:cs="Arial" w:eastAsia="Arial" w:hAnsi="Arial"/>
          <w:sz w:val="16"/>
          <w:szCs w:val="16"/>
          <w:color w:val="auto"/>
        </w:rPr>
      </w:pPr>
    </w:p>
    <w:p>
      <w:pPr>
        <w:ind w:left="1000" w:right="479" w:hanging="348"/>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“ABL Facility” means our senior secured asset-based revolving credit facility, as described under Note 4 to our audited consolidated financial statements in our Annual Report incorporated by reference herein;</w:t>
      </w:r>
    </w:p>
    <w:p>
      <w:pPr>
        <w:spacing w:after="0" w:line="15" w:lineRule="exact"/>
        <w:rPr>
          <w:rFonts w:ascii="Arial" w:cs="Arial" w:eastAsia="Arial" w:hAnsi="Arial"/>
          <w:sz w:val="16"/>
          <w:szCs w:val="16"/>
          <w:color w:val="auto"/>
        </w:rPr>
      </w:pPr>
    </w:p>
    <w:p>
      <w:pPr>
        <w:ind w:left="1000" w:right="559" w:hanging="348"/>
        <w:spacing w:after="0" w:line="275"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“Academy,” “Academy Sports + Outdoors,” the “Company,” “we,” “us” and “our”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for our operations, and its consolidated subsidiaries;</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“Adviser” means Kohlberg Kravis Roberts &amp; Co. L.P.;</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means our Annual Report on Form 10-K for the fiscal year ended January 30, 2021, filed on April 7, 2021;</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“Average order value” means in-store and e-commerce merchandise sales divided by the number of sales transactions, which indicates the average amount of a sales receipt;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“BOPIS” means our buy-online-pickup-in-store program;</w:t>
      </w:r>
    </w:p>
    <w:p>
      <w:pPr>
        <w:spacing w:after="0" w:line="117" w:lineRule="exact"/>
        <w:rPr>
          <w:rFonts w:ascii="Arial" w:cs="Arial" w:eastAsia="Arial" w:hAnsi="Arial"/>
          <w:sz w:val="18"/>
          <w:szCs w:val="18"/>
          <w:color w:val="auto"/>
        </w:rPr>
      </w:pPr>
    </w:p>
    <w:p>
      <w:pPr>
        <w:ind w:left="1000" w:right="419" w:hanging="348"/>
        <w:spacing w:after="0" w:line="291"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in our Annual Report incorporated by reference herein. There may be variations in the way in which some of our competitors and other retailers calculate comparable sales. As a result, data included, or incorporated by reference, in this prospectus regarding our comparable sales may not be comparable to similar data made available by other retailers;</w:t>
      </w:r>
    </w:p>
    <w:p>
      <w:pPr>
        <w:spacing w:after="0" w:line="58" w:lineRule="exact"/>
        <w:rPr>
          <w:rFonts w:ascii="Arial" w:cs="Arial" w:eastAsia="Arial" w:hAnsi="Arial"/>
          <w:sz w:val="16"/>
          <w:szCs w:val="16"/>
          <w:color w:val="auto"/>
        </w:rPr>
      </w:pPr>
    </w:p>
    <w:p>
      <w:pPr>
        <w:ind w:left="1000" w:right="479" w:hanging="348"/>
        <w:spacing w:after="0" w:line="259"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78" w:lineRule="exact"/>
        <w:rPr>
          <w:rFonts w:ascii="Arial" w:cs="Arial" w:eastAsia="Arial" w:hAnsi="Arial"/>
          <w:sz w:val="18"/>
          <w:szCs w:val="18"/>
          <w:color w:val="auto"/>
        </w:rPr>
      </w:pPr>
    </w:p>
    <w:p>
      <w:pPr>
        <w:ind w:left="1000" w:right="339" w:hanging="348"/>
        <w:spacing w:after="0" w:line="272"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2020 is the second highest;</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“IPO” means the initial public offering of our common stock, which closed on October 6,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means, collectively, investment funds and other entities affiliated with Kohlberg Kravis Roberts &amp; Co. L.P.;</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Stockholders” means, collectively, investment entities owned by KKR;</w:t>
      </w:r>
    </w:p>
    <w:p>
      <w:pPr>
        <w:spacing w:after="0" w:line="117" w:lineRule="exact"/>
        <w:rPr>
          <w:rFonts w:ascii="Arial" w:cs="Arial" w:eastAsia="Arial" w:hAnsi="Arial"/>
          <w:sz w:val="18"/>
          <w:szCs w:val="18"/>
          <w:color w:val="auto"/>
        </w:rPr>
      </w:pPr>
    </w:p>
    <w:p>
      <w:pPr>
        <w:ind w:left="1000" w:right="339" w:hanging="348"/>
        <w:spacing w:after="0" w:line="273"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four years;</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sales transactions” means total quantity of sales transactions generated, whether in-store or online;</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“owned brands” means our private label brands, which include both our own brands, as well as brands we license under exclusive license contracts;</w:t>
      </w:r>
    </w:p>
    <w:p>
      <w:pPr>
        <w:spacing w:after="0" w:line="62" w:lineRule="exact"/>
        <w:rPr>
          <w:rFonts w:ascii="Arial" w:cs="Arial" w:eastAsia="Arial" w:hAnsi="Arial"/>
          <w:sz w:val="18"/>
          <w:szCs w:val="18"/>
          <w:color w:val="auto"/>
        </w:rPr>
      </w:pPr>
    </w:p>
    <w:p>
      <w:pPr>
        <w:ind w:left="1000" w:right="9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“Proxy Statement” means our Proxy Statement on Schedule 14A for our 2021 Annual Meeting of Stockholders filed on April 23, 2021;</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“Q2 Quarterly Report” means our Quarterly Report on Form 10-Q for the quarter ended July 31, 2021, filed on September 9, 2021; and</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“Term Loan Facility” means our senior secured term loan facility, as described under Note 4 to our audited consolidated financial statements in our Annual Report incorporated by reference herein.</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Presentation of Financial Information</w:t>
      </w:r>
    </w:p>
    <w:p>
      <w:pPr>
        <w:spacing w:after="0" w:line="117" w:lineRule="exact"/>
        <w:rPr>
          <w:sz w:val="20"/>
          <w:szCs w:val="20"/>
          <w:color w:val="auto"/>
        </w:rPr>
      </w:pPr>
    </w:p>
    <w:p>
      <w:pPr>
        <w:ind w:left="300" w:right="799" w:firstLine="360"/>
        <w:spacing w:after="0" w:line="342" w:lineRule="auto"/>
        <w:rPr>
          <w:sz w:val="20"/>
          <w:szCs w:val="20"/>
          <w:color w:val="auto"/>
        </w:rPr>
      </w:pPr>
      <w:r>
        <w:rPr>
          <w:rFonts w:ascii="Arial" w:cs="Arial" w:eastAsia="Arial" w:hAnsi="Arial"/>
          <w:sz w:val="16"/>
          <w:szCs w:val="16"/>
          <w:color w:val="auto"/>
        </w:rPr>
        <w:t>Academy Sports and Outdoors, Inc. conducts its operations through its subsidiaries, including its indirect subsidiary, Academy, Ltd., an operating company which is doing business as “Academy Sports + Outdoors.”</w:t>
      </w:r>
    </w:p>
    <w:p>
      <w:pPr>
        <w:spacing w:after="0" w:line="16"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“2017,” “2018,” “2019,” “2020” and “2021” relate to our fiscal years ended February 3, 2018, February 2, 2019, February 1, 2020, January 30, 2021 and January 29, 2022, respectively, unless the context requires otherwise.</w:t>
      </w:r>
    </w:p>
    <w:p>
      <w:pPr>
        <w:spacing w:after="0" w:line="70"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Numerical figures included, or incorporated by reference, in this prospectus have been subject to rounding adjustments. Accordingly, numerical figures shown as totals in various tables may not be arithmetic aggregations of the figures that precede them.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This prospectus and the documents incorporated by reference herein contain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and “Adjusted Free Cash Flow.”</w:t>
      </w:r>
    </w:p>
    <w:p>
      <w:pPr>
        <w:spacing w:after="0" w:line="68"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Adjusted EBITDA, Adjusted Net Income and Adjusted Free Cash Flow have been presented in this prospectus and the documents incorporated by reference herein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60"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 Summary Historical Consolidated Financial and Other Data.”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0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77108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20" w:right="359" w:firstLine="360"/>
        <w:spacing w:after="0" w:line="289"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or incorporated by reference herein from our filings with the SEC listed under “Incorporation by Reference.” This summary does not contain all of the information that you should consider before deciding to invest in our common stock. You should carefully read this entire prospectus and the information incorporated by reference in this prospectus, including any free writing prospectus prepared by us or on our behalf, including the sections entitled “Risk Factors” and “Forward-Looking Statements” included elsewhere in this prospectus and “Risk Factors,” “Management’s Discussion and Analysis of Financial Condition and Results of Operations” and our audited consolidated financial statements and related notes thereto in our Annual Report incorporated by reference herein, before making an investment decision. This summary contains forward-looking statements that involve risks and uncertainties.</w:t>
      </w: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Academy Sports + Outdoors is one of the leading full-line sporting goods and outdoor recreation retailers in the United States. We estimate that we served approximately 30 million unique customers and completed approximately 80 million transactions in 2020 across our seamless omnichannel platform and highly productive stores, resulting in net sales of $5.7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17" w:lineRule="exact"/>
        <w:rPr>
          <w:sz w:val="20"/>
          <w:szCs w:val="20"/>
          <w:color w:val="auto"/>
        </w:rPr>
      </w:pPr>
    </w:p>
    <w:p>
      <w:pPr>
        <w:ind w:left="1020" w:hanging="350"/>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Value-based assortment that enables our customers to participate and have fun, no matter their budget.</w:t>
      </w:r>
    </w:p>
    <w:p>
      <w:pPr>
        <w:spacing w:after="0" w:line="140" w:lineRule="exact"/>
        <w:rPr>
          <w:rFonts w:ascii="Arial" w:cs="Arial" w:eastAsia="Arial" w:hAnsi="Arial"/>
          <w:sz w:val="16"/>
          <w:szCs w:val="16"/>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17" w:lineRule="exact"/>
        <w:rPr>
          <w:rFonts w:ascii="Arial" w:cs="Arial" w:eastAsia="Arial" w:hAnsi="Arial"/>
          <w:sz w:val="18"/>
          <w:szCs w:val="18"/>
          <w:color w:val="auto"/>
        </w:rPr>
      </w:pPr>
    </w:p>
    <w:p>
      <w:pPr>
        <w:ind w:left="1020" w:right="73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Emerging, rapidly growing and profitable omnichannel strategy that leverages our strong BOPIS and shipping fulfillment capabilities.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17" w:lineRule="exact"/>
        <w:rPr>
          <w:rFonts w:ascii="Arial" w:cs="Arial" w:eastAsia="Arial" w:hAnsi="Arial"/>
          <w:sz w:val="18"/>
          <w:szCs w:val="18"/>
          <w:color w:val="auto"/>
        </w:rPr>
      </w:pPr>
    </w:p>
    <w:p>
      <w:pPr>
        <w:ind w:left="1020" w:right="9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Metropolitan Statistical Areas (“MSAs”).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117" w:lineRule="exact"/>
        <w:rPr>
          <w:sz w:val="20"/>
          <w:szCs w:val="20"/>
          <w:color w:val="auto"/>
        </w:rPr>
      </w:pPr>
    </w:p>
    <w:p>
      <w:pPr>
        <w:ind w:left="320" w:right="339" w:firstLine="360"/>
        <w:spacing w:after="0" w:line="293" w:lineRule="auto"/>
        <w:rPr>
          <w:sz w:val="20"/>
          <w:szCs w:val="20"/>
          <w:color w:val="auto"/>
        </w:rPr>
      </w:pPr>
      <w:r>
        <w:rPr>
          <w:rFonts w:ascii="Arial" w:cs="Arial" w:eastAsia="Arial" w:hAnsi="Arial"/>
          <w:sz w:val="16"/>
          <w:szCs w:val="16"/>
          <w:color w:val="auto"/>
        </w:rPr>
        <w:t>Originally founded in 1938 as a family business in Texas, we have grown to 259 stores across 16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35%, 25%, 22% and 18% of our 2020 net sales, respectively) through both leading national brands and a portfolio of 19 owned brands, which go well beyond traditional sporting goods and apparel offerings.</w:t>
      </w:r>
    </w:p>
    <w:p>
      <w:pPr>
        <w:spacing w:after="0" w:line="56" w:lineRule="exact"/>
        <w:rPr>
          <w:sz w:val="20"/>
          <w:szCs w:val="20"/>
          <w:color w:val="auto"/>
        </w:rPr>
      </w:pPr>
    </w:p>
    <w:p>
      <w:pPr>
        <w:ind w:left="320" w:right="319" w:firstLine="360"/>
        <w:spacing w:after="0" w:line="288" w:lineRule="auto"/>
        <w:rPr>
          <w:sz w:val="20"/>
          <w:szCs w:val="20"/>
          <w:color w:val="auto"/>
        </w:rPr>
      </w:pPr>
      <w:r>
        <w:rPr>
          <w:rFonts w:ascii="Arial" w:cs="Arial" w:eastAsia="Arial" w:hAnsi="Arial"/>
          <w:sz w:val="16"/>
          <w:szCs w:val="16"/>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22,000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2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79" w:firstLine="360"/>
        <w:spacing w:after="0" w:line="286" w:lineRule="auto"/>
        <w:rPr>
          <w:sz w:val="20"/>
          <w:szCs w:val="20"/>
          <w:color w:val="auto"/>
        </w:rPr>
      </w:pPr>
      <w:r>
        <w:rPr>
          <w:rFonts w:ascii="Arial" w:cs="Arial" w:eastAsia="Arial" w:hAnsi="Arial"/>
          <w:sz w:val="17"/>
          <w:szCs w:val="17"/>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57" w:lineRule="exact"/>
        <w:rPr>
          <w:sz w:val="20"/>
          <w:szCs w:val="20"/>
          <w:color w:val="auto"/>
        </w:rPr>
      </w:pPr>
    </w:p>
    <w:p>
      <w:pPr>
        <w:ind w:left="320" w:right="379" w:firstLine="360"/>
        <w:spacing w:after="0" w:line="271" w:lineRule="auto"/>
        <w:rPr>
          <w:sz w:val="20"/>
          <w:szCs w:val="20"/>
          <w:color w:val="auto"/>
        </w:rPr>
      </w:pPr>
      <w:r>
        <w:rPr>
          <w:rFonts w:ascii="Arial" w:cs="Arial" w:eastAsia="Arial" w:hAnsi="Arial"/>
          <w:sz w:val="17"/>
          <w:szCs w:val="17"/>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70" w:lineRule="exact"/>
        <w:rPr>
          <w:sz w:val="20"/>
          <w:szCs w:val="20"/>
          <w:color w:val="auto"/>
        </w:rPr>
      </w:pPr>
    </w:p>
    <w:p>
      <w:pPr>
        <w:ind w:left="320" w:right="299" w:firstLine="360"/>
        <w:spacing w:after="0" w:line="287" w:lineRule="auto"/>
        <w:rPr>
          <w:sz w:val="20"/>
          <w:szCs w:val="20"/>
          <w:color w:val="auto"/>
        </w:rPr>
      </w:pPr>
      <w:r>
        <w:rPr>
          <w:rFonts w:ascii="Arial" w:cs="Arial" w:eastAsia="Arial" w:hAnsi="Arial"/>
          <w:sz w:val="16"/>
          <w:szCs w:val="16"/>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19 owned brands. Nearly 20% of our 2020 sales were from our owned brands, such as Magellan Outdoors and BCG, which offer a distinct offering to our customers and approximately 56% of our customers purchased an owned brand item from us in 2020. Our merchandising creates a balanced sales mix throughout the year with no single season accounting for more than 28% of our annual sales.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stores deliver industry-leading unit sales and profitability, including 2020 net sales per store of</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$22.0 million, average total sales per square foot of $311, and average EBITDA per store of $2.3 million. Our</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customers love the Academy store shopping experience because they are able to easily find, learn about, feel, try 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and walk out with their favorite items. Our one-stop, convenient store layout, together with our highly trained team</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members offering value-added customer services, drive strong and consistent store foot traffic and transaction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volume, with our average customers visiting our stores two to three times per year and our best customers visiting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stores nine times per year. The majority of our stores are located in high-traffic shopping centers, while none of</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stores are located in, or anchored to, malls.</w:t>
      </w:r>
    </w:p>
    <w:p>
      <w:pPr>
        <w:spacing w:after="0" w:line="103" w:lineRule="exact"/>
        <w:rPr>
          <w:sz w:val="20"/>
          <w:szCs w:val="20"/>
          <w:color w:val="auto"/>
        </w:rPr>
      </w:pPr>
    </w:p>
    <w:p>
      <w:pPr>
        <w:ind w:left="320" w:right="299" w:firstLine="360"/>
        <w:spacing w:after="0" w:line="270" w:lineRule="auto"/>
        <w:rPr>
          <w:sz w:val="20"/>
          <w:szCs w:val="20"/>
          <w:color w:val="auto"/>
        </w:rPr>
      </w:pPr>
      <w:r>
        <w:rPr>
          <w:rFonts w:ascii="Arial" w:cs="Arial" w:eastAsia="Arial" w:hAnsi="Arial"/>
          <w:sz w:val="17"/>
          <w:szCs w:val="17"/>
          <w:color w:val="auto"/>
        </w:rPr>
        <w:t>Our emerging, profitable e-commerce platform that leverages our strong BOPIS and shipping fulfillment capabilities has achieved year-over-year sales growth of 138% and 8% during 2020 and 2019, respectively. Our e-commerce sales represented 10.4% and 5.1% of our merchandise sales in 2020 and 2019, respectively. We are deepening our customer relationships, further integrating our e-commerce platform with our stores and driving operating efficiencies by developing our omnichannel capabilities. Our BOPIS program, launched in 2019,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39% of our e-commerce sales during 2020 coming from new households.</w:t>
      </w:r>
    </w:p>
    <w:p>
      <w:pPr>
        <w:spacing w:after="0" w:line="73" w:lineRule="exact"/>
        <w:rPr>
          <w:sz w:val="20"/>
          <w:szCs w:val="20"/>
          <w:color w:val="auto"/>
        </w:rPr>
      </w:pPr>
    </w:p>
    <w:p>
      <w:pPr>
        <w:ind w:left="320" w:right="379" w:firstLine="360"/>
        <w:spacing w:after="0" w:line="255" w:lineRule="auto"/>
        <w:rPr>
          <w:sz w:val="20"/>
          <w:szCs w:val="20"/>
          <w:color w:val="auto"/>
        </w:rPr>
      </w:pPr>
      <w:r>
        <w:rPr>
          <w:rFonts w:ascii="Arial" w:cs="Arial" w:eastAsia="Arial" w:hAnsi="Arial"/>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84" w:lineRule="exact"/>
        <w:rPr>
          <w:sz w:val="20"/>
          <w:szCs w:val="20"/>
          <w:color w:val="auto"/>
        </w:rPr>
      </w:pPr>
    </w:p>
    <w:p>
      <w:pPr>
        <w:ind w:left="320" w:right="379" w:firstLine="360"/>
        <w:spacing w:after="0" w:line="272" w:lineRule="auto"/>
        <w:rPr>
          <w:sz w:val="20"/>
          <w:szCs w:val="20"/>
          <w:color w:val="auto"/>
        </w:rPr>
      </w:pPr>
      <w:r>
        <w:rPr>
          <w:rFonts w:ascii="Arial" w:cs="Arial" w:eastAsia="Arial" w:hAnsi="Arial"/>
          <w:sz w:val="17"/>
          <w:szCs w:val="17"/>
          <w:color w:val="auto"/>
        </w:rPr>
        <w:t>We finished 2020 with approximately $5.7 billion in sales, $308.8 million of net income and $607.0 million in Adjusted EBITDA. Although comparable sales were negative for 2017, 2018 and 2019, as of the end of the fourth quarter of 2020, we have seen six consecutive quarters of positive comparable sales and Adjusted EBITDA growth. We earned net income of $308.8 million, $120.0 million and $21.4 million during 2020, 2019 and 2018, respectively. See “—Summary Historical Consolidated Financial and Other Data” for definitions of Adjusted EBITDA and Adjusted Free Cash Flow and reconciliations of Adjusted EBITDA to net income and Adjusted Free Cash Flow to net cash provided by operating activities.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93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jc w:val="both"/>
        <w:ind w:left="320" w:right="599" w:firstLine="360"/>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six consecutive quarters ended January 30, 2021, and created a foundation for our future growth. These key initiatives include:</w:t>
      </w:r>
    </w:p>
    <w:p>
      <w:pPr>
        <w:spacing w:after="0" w:line="76" w:lineRule="exact"/>
        <w:rPr>
          <w:sz w:val="20"/>
          <w:szCs w:val="20"/>
          <w:color w:val="auto"/>
        </w:rPr>
      </w:pPr>
    </w:p>
    <w:p>
      <w:pPr>
        <w:ind w:left="1020" w:right="319" w:hanging="350"/>
        <w:spacing w:after="0" w:line="27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Strengthened leadership team </w:t>
      </w:r>
      <w:r>
        <w:rPr>
          <w:rFonts w:ascii="Arial" w:cs="Arial" w:eastAsia="Arial" w:hAnsi="Arial"/>
          <w:sz w:val="17"/>
          <w:szCs w:val="17"/>
          <w:color w:val="auto"/>
        </w:rPr>
        <w:t>– Our leadership team comprises nine highly experienced and proven</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seven of whom joined Academy since 2017, led by our Chief Executive Officer and including our Chief Financial Officer, Chief Merchandising Officer, EVP of Retail Operations, SVP of Logistics and Supply Chain,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70" w:lineRule="exact"/>
        <w:rPr>
          <w:rFonts w:ascii="Arial" w:cs="Arial" w:eastAsia="Arial" w:hAnsi="Arial"/>
          <w:sz w:val="17"/>
          <w:szCs w:val="17"/>
          <w:color w:val="auto"/>
        </w:rPr>
      </w:pPr>
    </w:p>
    <w:p>
      <w:pPr>
        <w:ind w:left="1020" w:right="299" w:hanging="350"/>
        <w:spacing w:after="0" w:line="273"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Build omnichannel </w:t>
      </w:r>
      <w:r>
        <w:rPr>
          <w:rFonts w:ascii="Arial" w:cs="Arial" w:eastAsia="Arial" w:hAnsi="Arial"/>
          <w:sz w:val="17"/>
          <w:szCs w:val="17"/>
          <w:color w:val="auto"/>
        </w:rPr>
        <w:t>– After investing approximately $50 million in our omnichannel capabilities from 2017</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2019, we launched several new omnichannel initiatives in 2019, including our BOPIS program, ship-to-store program and new website design, content and functionality. Our mobile app, which launched in the second quarter of 2021, also supports our stores with digital marketing and our BOPIS and ship-to-store programs. While still early in our omnichannel strategy, we have built a profitable omnichannel business that is poised for continued growth and improvement of capabilities.</w:t>
      </w:r>
    </w:p>
    <w:p>
      <w:pPr>
        <w:spacing w:after="0" w:line="69" w:lineRule="exact"/>
        <w:rPr>
          <w:rFonts w:ascii="Arial" w:cs="Arial" w:eastAsia="Arial" w:hAnsi="Arial"/>
          <w:sz w:val="17"/>
          <w:szCs w:val="17"/>
          <w:color w:val="auto"/>
        </w:rPr>
      </w:pPr>
    </w:p>
    <w:p>
      <w:pPr>
        <w:ind w:left="1020" w:right="51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Localized merchandising </w:t>
      </w:r>
      <w:r>
        <w:rPr>
          <w:rFonts w:ascii="Arial" w:cs="Arial" w:eastAsia="Arial" w:hAnsi="Arial"/>
          <w:sz w:val="18"/>
          <w:szCs w:val="18"/>
          <w:color w:val="auto"/>
        </w:rPr>
        <w:t>– Since 2018, we improved the localization of our assortment across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offerings. This initiative resulted in an improved customer shopping experience and increased sales.</w:t>
      </w:r>
    </w:p>
    <w:p>
      <w:pPr>
        <w:spacing w:after="0" w:line="75" w:lineRule="exact"/>
        <w:rPr>
          <w:rFonts w:ascii="Arial" w:cs="Arial" w:eastAsia="Arial" w:hAnsi="Arial"/>
          <w:sz w:val="18"/>
          <w:szCs w:val="18"/>
          <w:color w:val="auto"/>
        </w:rPr>
      </w:pPr>
    </w:p>
    <w:p>
      <w:pPr>
        <w:ind w:left="1020" w:right="379" w:hanging="350"/>
        <w:spacing w:after="0" w:line="25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and continuing into 2020, we improved and focused our assortments in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categories, such as team sports, fishing and 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Arial" w:cs="Arial" w:eastAsia="Arial" w:hAnsi="Arial"/>
          <w:sz w:val="18"/>
          <w:szCs w:val="18"/>
          <w:color w:val="auto"/>
        </w:rPr>
      </w:pPr>
    </w:p>
    <w:p>
      <w:pPr>
        <w:ind w:left="1020" w:right="33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Enhance store optimization </w:t>
      </w:r>
      <w:r>
        <w:rPr>
          <w:rFonts w:ascii="Arial" w:cs="Arial" w:eastAsia="Arial" w:hAnsi="Arial"/>
          <w:sz w:val="18"/>
          <w:szCs w:val="18"/>
          <w:color w:val="auto"/>
        </w:rPr>
        <w:t>– We leverage technology to enable our store team members to better manage,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prioritize and reduce tasks to give them more time to engage in customer service, thereby increasing our productivity and sales conversion.</w:t>
      </w:r>
    </w:p>
    <w:p>
      <w:pPr>
        <w:spacing w:after="0" w:line="75" w:lineRule="exact"/>
        <w:rPr>
          <w:rFonts w:ascii="Arial" w:cs="Arial" w:eastAsia="Arial" w:hAnsi="Arial"/>
          <w:sz w:val="18"/>
          <w:szCs w:val="18"/>
          <w:color w:val="auto"/>
        </w:rPr>
      </w:pPr>
    </w:p>
    <w:p>
      <w:pPr>
        <w:jc w:val="both"/>
        <w:ind w:left="1020" w:right="339" w:hanging="350"/>
        <w:spacing w:after="0" w:line="286"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Digital marketing program </w:t>
      </w:r>
      <w:r>
        <w:rPr>
          <w:rFonts w:ascii="Arial" w:cs="Arial" w:eastAsia="Arial" w:hAnsi="Arial"/>
          <w:sz w:val="17"/>
          <w:szCs w:val="17"/>
          <w:color w:val="auto"/>
        </w:rPr>
        <w:t>– During the last two years, we shifted our primary marketing focus from print</w:t>
      </w:r>
      <w:r>
        <w:rPr>
          <w:rFonts w:ascii="Arial" w:cs="Arial" w:eastAsia="Arial" w:hAnsi="Arial"/>
          <w:sz w:val="17"/>
          <w:szCs w:val="17"/>
          <w:i w:val="1"/>
          <w:iCs w:val="1"/>
          <w:color w:val="auto"/>
        </w:rPr>
        <w:t xml:space="preserve"> </w:t>
      </w:r>
      <w:r>
        <w:rPr>
          <w:rFonts w:ascii="Arial" w:cs="Arial" w:eastAsia="Arial" w:hAnsi="Arial"/>
          <w:sz w:val="17"/>
          <w:szCs w:val="17"/>
          <w:color w:val="auto"/>
        </w:rPr>
        <w:t>to digital marketing. Our improved website also supports our stores with digital marketing and our BOPIS program. Each of these initiatives has given us a closer connection with our customers.</w:t>
      </w:r>
    </w:p>
    <w:p>
      <w:pPr>
        <w:spacing w:after="0" w:line="57" w:lineRule="exact"/>
        <w:rPr>
          <w:rFonts w:ascii="Arial" w:cs="Arial" w:eastAsia="Arial" w:hAnsi="Arial"/>
          <w:sz w:val="17"/>
          <w:szCs w:val="17"/>
          <w:color w:val="auto"/>
        </w:rPr>
      </w:pPr>
    </w:p>
    <w:p>
      <w:pPr>
        <w:ind w:left="1020" w:right="579" w:hanging="350"/>
        <w:spacing w:after="0" w:line="25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constituted approximately 4.5% of 2020 net sales. Academy Credit Card represents a significant opportunity to build customer loyalty, as our Academy Credit Card customers both spend more per trip and visit our stores more often.</w:t>
      </w:r>
    </w:p>
    <w:p>
      <w:pPr>
        <w:spacing w:after="0" w:line="78" w:lineRule="exact"/>
        <w:rPr>
          <w:rFonts w:ascii="Arial" w:cs="Arial" w:eastAsia="Arial" w:hAnsi="Arial"/>
          <w:sz w:val="18"/>
          <w:szCs w:val="18"/>
          <w:color w:val="auto"/>
        </w:rPr>
      </w:pPr>
    </w:p>
    <w:p>
      <w:pPr>
        <w:ind w:left="1020" w:right="419" w:hanging="350"/>
        <w:spacing w:after="0" w:line="275"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Programmatic inventory management </w:t>
      </w:r>
      <w:r>
        <w:rPr>
          <w:rFonts w:ascii="Arial" w:cs="Arial" w:eastAsia="Arial" w:hAnsi="Arial"/>
          <w:sz w:val="17"/>
          <w:szCs w:val="17"/>
          <w:color w:val="auto"/>
        </w:rPr>
        <w:t>– We implemented a new disciplined price markdown strategy that</w:t>
      </w:r>
      <w:r>
        <w:rPr>
          <w:rFonts w:ascii="Arial" w:cs="Arial" w:eastAsia="Arial" w:hAnsi="Arial"/>
          <w:sz w:val="17"/>
          <w:szCs w:val="17"/>
          <w:i w:val="1"/>
          <w:iCs w:val="1"/>
          <w:color w:val="auto"/>
        </w:rPr>
        <w:t xml:space="preserve"> </w:t>
      </w:r>
      <w:r>
        <w:rPr>
          <w:rFonts w:ascii="Arial" w:cs="Arial" w:eastAsia="Arial" w:hAnsi="Arial"/>
          <w:sz w:val="17"/>
          <w:szCs w:val="17"/>
          <w:color w:val="auto"/>
        </w:rPr>
        <w:t>has improved our margins 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2.84x in 2019 to 3.89x in 2020.</w:t>
      </w:r>
    </w:p>
    <w:p>
      <w:pPr>
        <w:spacing w:after="0" w:line="68" w:lineRule="exact"/>
        <w:rPr>
          <w:rFonts w:ascii="Arial" w:cs="Arial" w:eastAsia="Arial" w:hAnsi="Arial"/>
          <w:sz w:val="17"/>
          <w:szCs w:val="17"/>
          <w:color w:val="auto"/>
        </w:rPr>
      </w:pPr>
    </w:p>
    <w:p>
      <w:pPr>
        <w:ind w:left="1020" w:right="319" w:hanging="350"/>
        <w:spacing w:after="0" w:line="29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Develop small box format </w:t>
      </w:r>
      <w:r>
        <w:rPr>
          <w:rFonts w:ascii="Arial" w:cs="Arial" w:eastAsia="Arial" w:hAnsi="Arial"/>
          <w:sz w:val="16"/>
          <w:szCs w:val="16"/>
          <w:color w:val="auto"/>
        </w:rPr>
        <w:t>– We opened our first small format store (approximately 40,000 square feet) in</w:t>
      </w:r>
      <w:r>
        <w:rPr>
          <w:rFonts w:ascii="Arial" w:cs="Arial" w:eastAsia="Arial" w:hAnsi="Arial"/>
          <w:sz w:val="16"/>
          <w:szCs w:val="16"/>
          <w:i w:val="1"/>
          <w:iCs w:val="1"/>
          <w:color w:val="auto"/>
        </w:rPr>
        <w:t xml:space="preserve"> </w:t>
      </w:r>
      <w:r>
        <w:rPr>
          <w:rFonts w:ascii="Arial" w:cs="Arial" w:eastAsia="Arial" w:hAnsi="Arial"/>
          <w:sz w:val="16"/>
          <w:szCs w:val="16"/>
          <w:color w:val="auto"/>
        </w:rPr>
        <w:t>Dallas, Texas in 2019. We believe this new smaller format store allows us to open new stores in urban and less dense areas. During 2020, this smaller format store experienced approximately 28% higher sales per square foot and 37% higher inventory turns than the average of all Academy stores, the latter of which had $311 sales per square foot and 3.89x inventory turns. We evaluate performance inclusive of store sales, as well as BOPIS sales and other fulfilled sales from the location.</w:t>
      </w:r>
    </w:p>
    <w:p>
      <w:pPr>
        <w:spacing w:after="0" w:line="56" w:lineRule="exact"/>
        <w:rPr>
          <w:sz w:val="20"/>
          <w:szCs w:val="20"/>
          <w:color w:val="auto"/>
        </w:rPr>
      </w:pPr>
    </w:p>
    <w:p>
      <w:pPr>
        <w:ind w:left="320" w:right="299" w:firstLine="360"/>
        <w:spacing w:after="0" w:line="279" w:lineRule="auto"/>
        <w:rPr>
          <w:sz w:val="20"/>
          <w:szCs w:val="20"/>
          <w:color w:val="auto"/>
        </w:rPr>
      </w:pPr>
      <w:r>
        <w:rPr>
          <w:rFonts w:ascii="Arial" w:cs="Arial" w:eastAsia="Arial" w:hAnsi="Arial"/>
          <w:sz w:val="17"/>
          <w:szCs w:val="17"/>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49% of Americans expect to be doing more outdoor recreational activities in the future in order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13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78136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299"/>
        <w:spacing w:after="0" w:line="269" w:lineRule="auto"/>
        <w:rPr>
          <w:sz w:val="20"/>
          <w:szCs w:val="20"/>
          <w:color w:val="auto"/>
        </w:rPr>
      </w:pPr>
      <w:r>
        <w:rPr>
          <w:rFonts w:ascii="Arial" w:cs="Arial" w:eastAsia="Arial" w:hAnsi="Arial"/>
          <w:sz w:val="17"/>
          <w:szCs w:val="17"/>
          <w:color w:val="auto"/>
        </w:rPr>
        <w:t>to facilitate social distancing. We expect that this will continue throughout the duration of the pandemic and will result in a long-term increase to our customer base. The industry has seen unprecedented increases in participation across several categories which we consider to be some of our “power categories.” This includes camping/hiking/kayaking, fitness, running and team sports, which saw participation increases of 9%, 4%, 3% and 2%, respectively, from 2015 to 2019.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 It is difficult to ascertain with precision what portion of our increased comparable sales during 2020 is attributable to the increase in e-commerce sales due to the COVID-19 pandemic as compared to the impact of the business improvements described above.</w:t>
      </w:r>
    </w:p>
    <w:p>
      <w:pPr>
        <w:spacing w:after="0" w:line="3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320" w:right="379" w:firstLine="360"/>
        <w:spacing w:after="0" w:line="275" w:lineRule="auto"/>
        <w:rPr>
          <w:sz w:val="20"/>
          <w:szCs w:val="20"/>
          <w:color w:val="auto"/>
        </w:rPr>
      </w:pPr>
      <w:r>
        <w:rPr>
          <w:rFonts w:ascii="Arial" w:cs="Arial" w:eastAsia="Arial" w:hAnsi="Arial"/>
          <w:sz w:val="17"/>
          <w:szCs w:val="17"/>
          <w:color w:val="auto"/>
        </w:rPr>
        <w:t>We compete in a $110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retail sporting goods and outdoor recreation retail industry comprises six principal categories of retailers:</w:t>
      </w:r>
    </w:p>
    <w:p>
      <w:pPr>
        <w:spacing w:after="0" w:line="140" w:lineRule="exact"/>
        <w:rPr>
          <w:sz w:val="20"/>
          <w:szCs w:val="20"/>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Mass general merchants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Large format sporting goods stores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Traditional sporting goods stores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Specialty outdoor retailers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Specialty footwear retailers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Catalogue &amp; Internet retailers</w:t>
      </w:r>
    </w:p>
    <w:p>
      <w:pPr>
        <w:spacing w:after="0" w:line="117" w:lineRule="exact"/>
        <w:rPr>
          <w:sz w:val="20"/>
          <w:szCs w:val="20"/>
          <w:color w:val="auto"/>
        </w:rPr>
      </w:pPr>
    </w:p>
    <w:p>
      <w:pPr>
        <w:ind w:left="320" w:right="379" w:firstLine="360"/>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62" w:lineRule="exact"/>
        <w:rPr>
          <w:sz w:val="20"/>
          <w:szCs w:val="20"/>
          <w:color w:val="auto"/>
        </w:rPr>
      </w:pPr>
    </w:p>
    <w:p>
      <w:pPr>
        <w:ind w:left="320" w:right="319" w:firstLine="360"/>
        <w:spacing w:after="0" w:line="268" w:lineRule="auto"/>
        <w:rPr>
          <w:sz w:val="20"/>
          <w:szCs w:val="20"/>
          <w:color w:val="auto"/>
        </w:rPr>
      </w:pPr>
      <w:r>
        <w:rPr>
          <w:rFonts w:ascii="Arial" w:cs="Arial" w:eastAsia="Arial" w:hAnsi="Arial"/>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74" w:lineRule="exact"/>
        <w:rPr>
          <w:sz w:val="20"/>
          <w:szCs w:val="20"/>
          <w:color w:val="auto"/>
        </w:rPr>
      </w:pPr>
    </w:p>
    <w:p>
      <w:pPr>
        <w:ind w:left="320" w:right="339" w:firstLine="360"/>
        <w:spacing w:after="0" w:line="255" w:lineRule="auto"/>
        <w:rPr>
          <w:sz w:val="20"/>
          <w:szCs w:val="20"/>
          <w:color w:val="auto"/>
        </w:rPr>
      </w:pPr>
      <w:r>
        <w:rPr>
          <w:rFonts w:ascii="Arial" w:cs="Arial" w:eastAsia="Arial" w:hAnsi="Arial"/>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44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80448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the second largest full-line sporting goods and outdoor recreation retailer in the United States, with</w:t>
      </w:r>
    </w:p>
    <w:p>
      <w:pPr>
        <w:spacing w:after="0" w:line="35" w:lineRule="exact"/>
        <w:rPr>
          <w:sz w:val="20"/>
          <w:szCs w:val="20"/>
          <w:color w:val="auto"/>
        </w:rPr>
      </w:pPr>
    </w:p>
    <w:p>
      <w:pPr>
        <w:ind w:left="320" w:right="359"/>
        <w:spacing w:after="0" w:line="253" w:lineRule="auto"/>
        <w:rPr>
          <w:sz w:val="20"/>
          <w:szCs w:val="20"/>
          <w:color w:val="auto"/>
        </w:rPr>
      </w:pPr>
      <w:r>
        <w:rPr>
          <w:rFonts w:ascii="Arial" w:cs="Arial" w:eastAsia="Arial" w:hAnsi="Arial"/>
          <w:sz w:val="18"/>
          <w:szCs w:val="18"/>
          <w:color w:val="auto"/>
        </w:rPr>
        <w:t>2020 net sales of $5.7 billion. We believe our stores are well positioned geographically, with a strong and growing presence in six of the top 10 fastest-growing MSAs, including Austin, Atlanta, Houston, San Antonio, Dallas and Charlotte. As of January 30, 2021, 29% of our stores are in four of the top five fastest-growing MSAs. This deep penetration of our established markets results in high customer awareness of, and loyalty to, the Academy name and frequent visits to our conveniently located stores.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size of the sporting goods and outdoor recreation industry was estimated at $110 billion in the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United States in 2020, based on SGI Market Facts—Athletic Footwear &amp; Apparel 2020 and SGI Market Facts—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Sports Equipment 2020 by Sporting Goods Intelligence, Inc., and it is growing. According to Allied Market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Research, sales growth from 2019 through 2027 in categories we participate, such as outdoor, team sports, apparel</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 footwear, is expected to grow approximately 6% per annum.</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320" w:right="279" w:firstLine="360"/>
        <w:spacing w:after="0" w:line="285" w:lineRule="auto"/>
        <w:rPr>
          <w:sz w:val="20"/>
          <w:szCs w:val="20"/>
          <w:color w:val="auto"/>
        </w:rPr>
      </w:pPr>
      <w:r>
        <w:rPr>
          <w:rFonts w:ascii="Arial" w:cs="Arial" w:eastAsia="Arial" w:hAnsi="Arial"/>
          <w:sz w:val="16"/>
          <w:szCs w:val="16"/>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320" w:right="359" w:firstLine="360"/>
        <w:spacing w:after="0" w:line="293" w:lineRule="auto"/>
        <w:rPr>
          <w:sz w:val="20"/>
          <w:szCs w:val="20"/>
          <w:color w:val="auto"/>
        </w:rPr>
      </w:pPr>
      <w:r>
        <w:rPr>
          <w:rFonts w:ascii="Arial" w:cs="Arial" w:eastAsia="Arial" w:hAnsi="Arial"/>
          <w:sz w:val="16"/>
          <w:szCs w:val="16"/>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2020 merchandise sales was comprised of national brand products, with the remainder coming from exclusive products in our portfolio of 19 owned brands. We have minimal product overlap with direct-to-consumer brands and competitors. No single brand we carry accounted for more than 10% of our 2020 sales.</w:t>
      </w:r>
    </w:p>
    <w:p>
      <w:pPr>
        <w:spacing w:after="0" w:line="56" w:lineRule="exact"/>
        <w:rPr>
          <w:sz w:val="20"/>
          <w:szCs w:val="20"/>
          <w:color w:val="auto"/>
        </w:rPr>
      </w:pPr>
    </w:p>
    <w:p>
      <w:pPr>
        <w:ind w:left="320" w:right="319" w:firstLine="360"/>
        <w:spacing w:after="0" w:line="271" w:lineRule="auto"/>
        <w:rPr>
          <w:sz w:val="20"/>
          <w:szCs w:val="20"/>
          <w:color w:val="auto"/>
        </w:rPr>
      </w:pPr>
      <w:r>
        <w:rPr>
          <w:rFonts w:ascii="Arial" w:cs="Arial" w:eastAsia="Arial" w:hAnsi="Arial"/>
          <w:sz w:val="17"/>
          <w:szCs w:val="17"/>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70" w:lineRule="exact"/>
        <w:rPr>
          <w:sz w:val="20"/>
          <w:szCs w:val="20"/>
          <w:color w:val="auto"/>
        </w:rPr>
      </w:pPr>
    </w:p>
    <w:p>
      <w:pPr>
        <w:ind w:left="320" w:right="659" w:firstLine="360"/>
        <w:spacing w:after="0" w:line="342" w:lineRule="auto"/>
        <w:rPr>
          <w:sz w:val="20"/>
          <w:szCs w:val="20"/>
          <w:color w:val="auto"/>
        </w:rPr>
      </w:pPr>
      <w:r>
        <w:rPr>
          <w:rFonts w:ascii="Arial" w:cs="Arial" w:eastAsia="Arial" w:hAnsi="Arial"/>
          <w:sz w:val="16"/>
          <w:szCs w:val="16"/>
          <w:color w:val="auto"/>
        </w:rPr>
        <w:t>Our owned brand portfolio consists of 19 brands, including Magellan Outdoors, BCG, Academy Sports + Outdoors and Outdoor Gourmet. Our owned brand strategy focuses on in-filling categories and price points that</w:t>
      </w:r>
    </w:p>
    <w:p>
      <w:pPr>
        <w:sectPr>
          <w:pgSz w:w="11900" w:h="16838" w:orient="portrait"/>
          <w:cols w:equalWidth="0" w:num="1">
            <w:col w:w="9019"/>
          </w:cols>
          <w:pgMar w:left="1440" w:top="265" w:right="1440"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85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319"/>
        <w:spacing w:after="0" w:line="271" w:lineRule="auto"/>
        <w:rPr>
          <w:sz w:val="20"/>
          <w:szCs w:val="20"/>
          <w:color w:val="auto"/>
        </w:rPr>
      </w:pPr>
      <w:r>
        <w:rPr>
          <w:rFonts w:ascii="Arial" w:cs="Arial" w:eastAsia="Arial" w:hAnsi="Arial"/>
          <w:sz w:val="17"/>
          <w:szCs w:val="17"/>
          <w:color w:val="auto"/>
        </w:rPr>
        <w:t>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9.1% and 4.0% in 2020, respectively. Additionally, our owned brands generate strong brand equity and drive significant customer loyalty, as several of our exclusive products, such as the Academy-logo folding chair and folding wagon, are top-selling items. Approximately 56% of our customers purchased an owned brand item from us in 2020. Whether it is seeing a row of Academy-branded chairs at a softball game, or individuals wearing Magellan Outdoors shirts around town, our owned brands are worn and used throughout our footprint.</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320" w:right="319" w:firstLine="360"/>
        <w:spacing w:after="0" w:line="286"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66" w:lineRule="exact"/>
        <w:rPr>
          <w:sz w:val="20"/>
          <w:szCs w:val="20"/>
          <w:color w:val="auto"/>
        </w:rPr>
      </w:pPr>
    </w:p>
    <w:p>
      <w:pPr>
        <w:ind w:left="320" w:right="339" w:firstLine="360"/>
        <w:spacing w:after="0" w:line="286"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–passionate local experts who are specially recruited and trained for category-specific positions.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ind w:left="320" w:right="499" w:firstLine="360"/>
        <w:spacing w:after="0" w:line="30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2020, we estimate we served approximately 30 million unique customers and we completed approximately 80 million transactions, resulting in strong household penetration in our core markets.</w:t>
      </w:r>
    </w:p>
    <w:p>
      <w:pPr>
        <w:spacing w:after="0" w:line="49" w:lineRule="exact"/>
        <w:rPr>
          <w:sz w:val="20"/>
          <w:szCs w:val="20"/>
          <w:color w:val="auto"/>
        </w:rPr>
      </w:pPr>
    </w:p>
    <w:p>
      <w:pPr>
        <w:ind w:left="320" w:right="399" w:firstLine="360"/>
        <w:spacing w:after="0" w:line="273" w:lineRule="auto"/>
        <w:rPr>
          <w:sz w:val="20"/>
          <w:szCs w:val="20"/>
          <w:color w:val="auto"/>
        </w:rPr>
      </w:pPr>
      <w:r>
        <w:rPr>
          <w:rFonts w:ascii="Arial" w:cs="Arial" w:eastAsia="Arial" w:hAnsi="Arial"/>
          <w:sz w:val="17"/>
          <w:szCs w:val="17"/>
          <w:color w:val="auto"/>
        </w:rPr>
        <w:t>Our customers love shopping at Academy. Our average customer visits our stores anywhere from two to three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During 2020, we estimate we have gained approximately five million new customers.</w:t>
      </w:r>
    </w:p>
    <w:p>
      <w:pPr>
        <w:spacing w:after="0" w:line="70" w:lineRule="exact"/>
        <w:rPr>
          <w:sz w:val="20"/>
          <w:szCs w:val="20"/>
          <w:color w:val="auto"/>
        </w:rPr>
      </w:pPr>
    </w:p>
    <w:p>
      <w:pPr>
        <w:ind w:left="320" w:right="319" w:firstLine="360"/>
        <w:spacing w:after="0" w:line="311" w:lineRule="auto"/>
        <w:rPr>
          <w:sz w:val="20"/>
          <w:szCs w:val="20"/>
          <w:color w:val="auto"/>
        </w:rPr>
      </w:pPr>
      <w:r>
        <w:rPr>
          <w:rFonts w:ascii="Arial" w:cs="Arial" w:eastAsia="Arial" w:hAnsi="Arial"/>
          <w:sz w:val="16"/>
          <w:szCs w:val="16"/>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w:t>
      </w:r>
    </w:p>
    <w:p>
      <w:pPr>
        <w:sectPr>
          <w:pgSz w:w="11900" w:h="16838" w:orient="portrait"/>
          <w:cols w:equalWidth="0" w:num="1">
            <w:col w:w="9019"/>
          </w:cols>
          <w:pgMar w:left="1440" w:top="265" w:right="1440"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3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83362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399"/>
        <w:spacing w:after="0" w:line="259" w:lineRule="auto"/>
        <w:rPr>
          <w:sz w:val="20"/>
          <w:szCs w:val="20"/>
          <w:color w:val="auto"/>
        </w:rPr>
      </w:pPr>
      <w:r>
        <w:rPr>
          <w:rFonts w:ascii="Arial" w:cs="Arial" w:eastAsia="Arial" w:hAnsi="Arial"/>
          <w:sz w:val="18"/>
          <w:szCs w:val="18"/>
          <w:color w:val="auto"/>
        </w:rPr>
        <w:t>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79" w:lineRule="exact"/>
        <w:rPr>
          <w:sz w:val="20"/>
          <w:szCs w:val="20"/>
          <w:color w:val="auto"/>
        </w:rPr>
      </w:pPr>
    </w:p>
    <w:p>
      <w:pPr>
        <w:ind w:left="320" w:right="459" w:firstLine="360"/>
        <w:spacing w:after="0" w:line="271"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320" w:right="299" w:firstLine="360"/>
        <w:spacing w:after="0" w:line="269" w:lineRule="auto"/>
        <w:rPr>
          <w:sz w:val="20"/>
          <w:szCs w:val="20"/>
          <w:color w:val="auto"/>
        </w:rPr>
      </w:pPr>
      <w:r>
        <w:rPr>
          <w:rFonts w:ascii="Arial" w:cs="Arial" w:eastAsia="Arial" w:hAnsi="Arial"/>
          <w:sz w:val="17"/>
          <w:szCs w:val="17"/>
          <w:color w:val="auto"/>
        </w:rPr>
        <w:t>Our company is led by a highly 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over 20 years of retail experience. Seven out of the nine members of our senior management team, including our Chairman, President and Chief Executive Officer, Ken C. Hicks, were hired after early 2017 to lead the development and execution of our strategic growth and initiatives in merchandising, e-commerce and omnichannel, stores, information technology and finance. Together, our senior management has delivered strong results, with six consecutive quarters of positive comparable sales as of the fiscal year ended January 30, 2021, Adjusted EBITDA growth to $607.0 million in 2020, or 88% growth, compared to 2019, and Adjusted Free Cash Flow growth to $978.5 million in 2020 from $196.9 million in 2019.</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320" w:right="279" w:firstLine="360"/>
        <w:spacing w:after="0" w:line="272" w:lineRule="auto"/>
        <w:rPr>
          <w:sz w:val="20"/>
          <w:szCs w:val="20"/>
          <w:color w:val="auto"/>
        </w:rPr>
      </w:pPr>
      <w:r>
        <w:rPr>
          <w:rFonts w:ascii="Arial" w:cs="Arial" w:eastAsia="Arial" w:hAnsi="Arial"/>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69" w:lineRule="exact"/>
        <w:rPr>
          <w:sz w:val="20"/>
          <w:szCs w:val="20"/>
          <w:color w:val="auto"/>
        </w:rPr>
      </w:pPr>
    </w:p>
    <w:p>
      <w:pPr>
        <w:ind w:left="320" w:right="439" w:firstLine="360"/>
        <w:spacing w:after="0" w:line="255" w:lineRule="auto"/>
        <w:rPr>
          <w:sz w:val="20"/>
          <w:szCs w:val="20"/>
          <w:color w:val="auto"/>
        </w:rPr>
      </w:pPr>
      <w:r>
        <w:rPr>
          <w:rFonts w:ascii="Arial" w:cs="Arial" w:eastAsia="Arial" w:hAnsi="Arial"/>
          <w:sz w:val="18"/>
          <w:szCs w:val="18"/>
          <w:color w:val="auto"/>
        </w:rPr>
        <w:t>We have consistently demonstrated steady revenue growth, expanded profit margins and disciplined capital expenditures. We generated $5.7 billion in net sales, $308.8 million in net income and $607.0 million in Adjusted EBITDA in 2020. In 2020, we also generated $1,011.6 million of net cash provided by operating activities and $978.5 million in Adjusted Free Cash Flow, while limiting net capital expenditures to $41.3 million. We have reduced our net leverage ratio to 0.7x as of end of 2020 compared to 4.1x and 5.2x as of the end of 2019 and 2018, respectively.</w:t>
      </w:r>
    </w:p>
    <w:p>
      <w:pPr>
        <w:spacing w:after="0" w:line="84" w:lineRule="exact"/>
        <w:rPr>
          <w:sz w:val="20"/>
          <w:szCs w:val="20"/>
          <w:color w:val="auto"/>
        </w:rPr>
      </w:pPr>
    </w:p>
    <w:p>
      <w:pPr>
        <w:ind w:left="320" w:right="399" w:firstLine="360"/>
        <w:spacing w:after="0" w:line="259"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222 mature stores (stores opened longer than four years) were profitable on a four-wall basis during the fiscal year ended January 30, 2021 and our new stores have average payback periods of four to five years.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focused on the following four growth drivers: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ind w:left="320" w:right="359" w:firstLine="360"/>
        <w:spacing w:after="0" w:line="296" w:lineRule="auto"/>
        <w:rPr>
          <w:sz w:val="20"/>
          <w:szCs w:val="20"/>
          <w:color w:val="auto"/>
        </w:rPr>
      </w:pPr>
      <w:r>
        <w:rPr>
          <w:rFonts w:ascii="Arial" w:cs="Arial" w:eastAsia="Arial" w:hAnsi="Arial"/>
          <w:sz w:val="16"/>
          <w:szCs w:val="16"/>
          <w:color w:val="auto"/>
        </w:rPr>
        <w:t>Our e-commerce sales represented 10.4% and 5.1% of our merchandise sales for 2020 and 2019, respectively. E-commerce sales compared to the same quarter of the prior year increased 406% in the first quarter of 2020, 210% in the second quarter of 2020, 96% in the third quarter of 2020 and 61% in the fourth quarter of 2020. Our goal is to increase our omnichannel penetration quickly and significantly. To meet this goal, since 2011, we have invested $230 million in omnichannel and information technology initiatives to improve our</w:t>
      </w:r>
    </w:p>
    <w:p>
      <w:pPr>
        <w:sectPr>
          <w:pgSz w:w="11900" w:h="16838" w:orient="portrait"/>
          <w:cols w:equalWidth="0" w:num="1">
            <w:col w:w="9019"/>
          </w:cols>
          <w:pgMar w:left="1440" w:top="265" w:right="1440"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0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579"/>
        <w:spacing w:after="0" w:line="259" w:lineRule="auto"/>
        <w:rPr>
          <w:sz w:val="20"/>
          <w:szCs w:val="20"/>
          <w:color w:val="auto"/>
        </w:rPr>
      </w:pPr>
      <w:r>
        <w:rPr>
          <w:rFonts w:ascii="Arial" w:cs="Arial" w:eastAsia="Arial" w:hAnsi="Arial"/>
          <w:sz w:val="18"/>
          <w:szCs w:val="18"/>
          <w:color w:val="auto"/>
        </w:rPr>
        <w:t>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79" w:lineRule="exact"/>
        <w:rPr>
          <w:sz w:val="20"/>
          <w:szCs w:val="20"/>
          <w:color w:val="auto"/>
        </w:rPr>
      </w:pPr>
    </w:p>
    <w:p>
      <w:pPr>
        <w:ind w:left="320" w:right="379" w:firstLine="360"/>
        <w:spacing w:after="0" w:line="269" w:lineRule="auto"/>
        <w:rPr>
          <w:sz w:val="20"/>
          <w:szCs w:val="20"/>
          <w:color w:val="auto"/>
        </w:rPr>
      </w:pPr>
      <w:r>
        <w:rPr>
          <w:rFonts w:ascii="Arial" w:cs="Arial" w:eastAsia="Arial" w:hAnsi="Arial"/>
          <w:sz w:val="17"/>
          <w:szCs w:val="17"/>
          <w:color w:val="auto"/>
        </w:rPr>
        <w:t>Omnichannel offerings are becoming increasingly important, as our customers want options when they shop. During 2020, our omnichannel customers spent 50% more than our store-only customers and 316% more than our online only customers. Since we launched our BOPIS program in 2019, we have seen significant e-commerce penetration that generates higher average order value and incremental in-store purchases. BOPIS orders accounted for 51% of all e-commerce sales during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third quarter of 2020, which will continue to give our customers more options on how to shop Academy.</w:t>
      </w:r>
    </w:p>
    <w:p>
      <w:pPr>
        <w:spacing w:after="0" w:line="77" w:lineRule="exact"/>
        <w:rPr>
          <w:sz w:val="20"/>
          <w:szCs w:val="20"/>
          <w:color w:val="auto"/>
        </w:rPr>
      </w:pPr>
    </w:p>
    <w:p>
      <w:pPr>
        <w:ind w:left="320" w:right="299" w:firstLine="360"/>
        <w:spacing w:after="0" w:line="290" w:lineRule="auto"/>
        <w:rPr>
          <w:sz w:val="20"/>
          <w:szCs w:val="20"/>
          <w:color w:val="auto"/>
        </w:rPr>
      </w:pPr>
      <w:r>
        <w:rPr>
          <w:rFonts w:ascii="Arial" w:cs="Arial" w:eastAsia="Arial" w:hAnsi="Arial"/>
          <w:sz w:val="16"/>
          <w:szCs w:val="16"/>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2020, we reached approximately 6.3 million unique households in 47 states through ship-to-home orders made through our website. In 2020, 14%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320" w:right="339" w:firstLine="360"/>
        <w:spacing w:after="0" w:line="279" w:lineRule="auto"/>
        <w:rPr>
          <w:sz w:val="20"/>
          <w:szCs w:val="20"/>
          <w:color w:val="auto"/>
        </w:rPr>
      </w:pPr>
      <w:r>
        <w:rPr>
          <w:rFonts w:ascii="Arial" w:cs="Arial" w:eastAsia="Arial" w:hAnsi="Arial"/>
          <w:sz w:val="17"/>
          <w:szCs w:val="17"/>
          <w:color w:val="auto"/>
        </w:rPr>
        <w:t>We believe we have a significant opportunity to continue to expand our customer base. Better understanding our customers’ buying trends allows us to better target and cater to our customers. Our robust customer database has approximately 40 million unique customers, and we continue to grow this through increased penetration of e-commerce sales and through the success of our Academy Credit Card program.</w:t>
      </w:r>
    </w:p>
    <w:p>
      <w:pPr>
        <w:spacing w:after="0" w:line="63" w:lineRule="exact"/>
        <w:rPr>
          <w:sz w:val="20"/>
          <w:szCs w:val="20"/>
          <w:color w:val="auto"/>
        </w:rPr>
      </w:pPr>
    </w:p>
    <w:p>
      <w:pPr>
        <w:ind w:left="320" w:right="599" w:firstLine="360"/>
        <w:spacing w:after="0" w:line="271" w:lineRule="auto"/>
        <w:rPr>
          <w:sz w:val="20"/>
          <w:szCs w:val="20"/>
          <w:color w:val="auto"/>
        </w:rPr>
      </w:pPr>
      <w:r>
        <w:rPr>
          <w:rFonts w:ascii="Arial" w:cs="Arial" w:eastAsia="Arial" w:hAnsi="Arial"/>
          <w:sz w:val="17"/>
          <w:szCs w:val="17"/>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approximately 40 million customers in our database, there is ample opportunity to increase our communication directly with our customers via one-on-one marketing. We are also leveraging the information from our approximately 80 million annual transactions in 2020 to make more informed, localized decisions on promotion, marketing and inventory.</w:t>
      </w:r>
    </w:p>
    <w:p>
      <w:pPr>
        <w:spacing w:after="0" w:line="70" w:lineRule="exact"/>
        <w:rPr>
          <w:sz w:val="20"/>
          <w:szCs w:val="20"/>
          <w:color w:val="auto"/>
        </w:rPr>
      </w:pPr>
    </w:p>
    <w:p>
      <w:pPr>
        <w:ind w:left="320" w:right="359" w:firstLine="360"/>
        <w:spacing w:after="0" w:line="289" w:lineRule="auto"/>
        <w:rPr>
          <w:sz w:val="20"/>
          <w:szCs w:val="20"/>
          <w:color w:val="auto"/>
        </w:rPr>
      </w:pPr>
      <w:r>
        <w:rPr>
          <w:rFonts w:ascii="Arial" w:cs="Arial" w:eastAsia="Arial" w:hAnsi="Arial"/>
          <w:sz w:val="16"/>
          <w:szCs w:val="16"/>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4.5% of our net sales in 2020. We believe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58" w:lineRule="exact"/>
        <w:rPr>
          <w:sz w:val="20"/>
          <w:szCs w:val="20"/>
          <w:color w:val="auto"/>
        </w:rPr>
      </w:pPr>
    </w:p>
    <w:p>
      <w:pPr>
        <w:ind w:left="320" w:right="499" w:firstLine="360"/>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ind w:left="320" w:right="359" w:firstLine="360"/>
        <w:spacing w:after="0" w:line="259"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16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7916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39" w:firstLine="360"/>
        <w:spacing w:after="0" w:line="271" w:lineRule="auto"/>
        <w:rPr>
          <w:sz w:val="20"/>
          <w:szCs w:val="20"/>
          <w:color w:val="auto"/>
        </w:rPr>
      </w:pPr>
      <w:r>
        <w:rPr>
          <w:rFonts w:ascii="Arial" w:cs="Arial" w:eastAsia="Arial" w:hAnsi="Arial"/>
          <w:sz w:val="17"/>
          <w:szCs w:val="17"/>
          <w:color w:val="auto"/>
        </w:rPr>
        <w:t>Much of our margin expansion from 2019 to 2020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 This implementation, along with other factors, has allowed us to improve our inventory management in stores, increasing the average inventory turns from 2.84x in 2019 to 3.89x in 2020, and has helped us to identify and exit certain product categories, such as luggage and toys.</w:t>
      </w:r>
    </w:p>
    <w:p>
      <w:pPr>
        <w:spacing w:after="0" w:line="70" w:lineRule="exact"/>
        <w:rPr>
          <w:sz w:val="20"/>
          <w:szCs w:val="20"/>
          <w:color w:val="auto"/>
        </w:rPr>
      </w:pPr>
    </w:p>
    <w:p>
      <w:pPr>
        <w:ind w:left="320" w:right="359" w:firstLine="360"/>
        <w:spacing w:after="0" w:line="259"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79" w:lineRule="exact"/>
        <w:rPr>
          <w:sz w:val="20"/>
          <w:szCs w:val="20"/>
          <w:color w:val="auto"/>
        </w:rPr>
      </w:pPr>
    </w:p>
    <w:p>
      <w:pPr>
        <w:ind w:left="320" w:right="319" w:firstLine="360"/>
        <w:spacing w:after="0" w:line="290" w:lineRule="auto"/>
        <w:rPr>
          <w:sz w:val="20"/>
          <w:szCs w:val="20"/>
          <w:color w:val="auto"/>
        </w:rPr>
      </w:pPr>
      <w:r>
        <w:rPr>
          <w:rFonts w:ascii="Arial" w:cs="Arial" w:eastAsia="Arial" w:hAnsi="Arial"/>
          <w:sz w:val="16"/>
          <w:szCs w:val="16"/>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of 2020 as a result of a shift in consumer preferences due to the COVID-19 pandemic and the related increased popularity in our isolated recreation, outdoor and leisure activity products, which are generally lower margin goods.</w:t>
      </w:r>
    </w:p>
    <w:p>
      <w:pPr>
        <w:spacing w:after="0" w:line="57" w:lineRule="exact"/>
        <w:rPr>
          <w:sz w:val="20"/>
          <w:szCs w:val="20"/>
          <w:color w:val="auto"/>
        </w:rPr>
      </w:pPr>
    </w:p>
    <w:p>
      <w:pPr>
        <w:ind w:left="320" w:right="459" w:firstLine="360"/>
        <w:spacing w:after="0" w:line="311" w:lineRule="auto"/>
        <w:rPr>
          <w:sz w:val="20"/>
          <w:szCs w:val="20"/>
          <w:color w:val="auto"/>
        </w:rPr>
      </w:pPr>
      <w:r>
        <w:rPr>
          <w:rFonts w:ascii="Arial" w:cs="Arial" w:eastAsia="Arial" w:hAnsi="Arial"/>
          <w:sz w:val="16"/>
          <w:szCs w:val="16"/>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320" w:right="319" w:firstLine="360"/>
        <w:spacing w:after="0" w:line="273" w:lineRule="auto"/>
        <w:rPr>
          <w:sz w:val="20"/>
          <w:szCs w:val="20"/>
          <w:color w:val="auto"/>
        </w:rPr>
      </w:pPr>
      <w:r>
        <w:rPr>
          <w:rFonts w:ascii="Arial" w:cs="Arial" w:eastAsia="Arial" w:hAnsi="Arial"/>
          <w:sz w:val="17"/>
          <w:szCs w:val="17"/>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January 30, 2021, we had 222 mature stores, and all but one were profitable on a four-wall basis. We expect to open eight to 10 new stores per year starting in 2022, which is similar to our growth rates from 2018 to 2019.</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320" w:right="339" w:firstLine="360"/>
        <w:spacing w:after="0" w:line="257"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320" w:right="299" w:firstLine="360"/>
        <w:spacing w:after="0" w:line="259"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320" w:right="499" w:firstLine="360"/>
        <w:spacing w:after="0" w:line="259" w:lineRule="auto"/>
        <w:rPr>
          <w:sz w:val="20"/>
          <w:szCs w:val="20"/>
          <w:color w:val="auto"/>
        </w:rPr>
      </w:pPr>
      <w:r>
        <w:rPr>
          <w:rFonts w:ascii="Arial" w:cs="Arial" w:eastAsia="Arial" w:hAnsi="Arial"/>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19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83191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right="379" w:firstLine="360"/>
        <w:spacing w:after="0" w:line="286" w:lineRule="auto"/>
        <w:rPr>
          <w:sz w:val="20"/>
          <w:szCs w:val="20"/>
          <w:color w:val="auto"/>
        </w:rPr>
      </w:pPr>
      <w:r>
        <w:rPr>
          <w:rFonts w:ascii="Arial" w:cs="Arial" w:eastAsia="Arial" w:hAnsi="Arial"/>
          <w:sz w:val="17"/>
          <w:szCs w:val="17"/>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57" w:lineRule="exact"/>
        <w:rPr>
          <w:sz w:val="20"/>
          <w:szCs w:val="20"/>
          <w:color w:val="auto"/>
        </w:rPr>
      </w:pPr>
    </w:p>
    <w:p>
      <w:pPr>
        <w:ind w:left="320" w:right="379" w:firstLine="360"/>
        <w:spacing w:after="0" w:line="259"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Cessation of Controlled Company Status</w:t>
      </w:r>
    </w:p>
    <w:p>
      <w:pPr>
        <w:spacing w:after="0" w:line="117" w:lineRule="exact"/>
        <w:rPr>
          <w:sz w:val="20"/>
          <w:szCs w:val="20"/>
          <w:color w:val="auto"/>
        </w:rPr>
      </w:pPr>
    </w:p>
    <w:p>
      <w:pPr>
        <w:ind w:left="320" w:right="379" w:firstLine="360"/>
        <w:spacing w:after="0" w:line="269" w:lineRule="auto"/>
        <w:rPr>
          <w:sz w:val="20"/>
          <w:szCs w:val="20"/>
          <w:color w:val="auto"/>
        </w:rPr>
      </w:pPr>
      <w:r>
        <w:rPr>
          <w:rFonts w:ascii="Arial" w:cs="Arial" w:eastAsia="Arial" w:hAnsi="Arial"/>
          <w:sz w:val="17"/>
          <w:szCs w:val="17"/>
          <w:color w:val="auto"/>
        </w:rPr>
        <w:t>On April 12, 2021, certain of our stockholders completed a sale (the “April 2021 Sale”) of 9,000,000 shares of our common stock pursuant to Rule 144 under the Securities Act of 1933, as amended (the “Securities Act”). 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 from the date of the April 2021 Sale. See “Risk Factors—Risks Related to this Offering and Ownership of Our Common Stock—As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Concurrent Share Repurchase</w:t>
      </w:r>
    </w:p>
    <w:p>
      <w:pPr>
        <w:spacing w:after="0" w:line="121" w:lineRule="exact"/>
        <w:rPr>
          <w:sz w:val="20"/>
          <w:szCs w:val="20"/>
          <w:color w:val="auto"/>
        </w:rPr>
      </w:pPr>
    </w:p>
    <w:p>
      <w:pPr>
        <w:ind w:left="320" w:right="279" w:firstLine="360"/>
        <w:spacing w:after="0" w:line="301"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underwriters 4,500,000 of the aggregate 18,645,602 shares of our common stock that are the subject of the offering. The price per share to be paid by us will equal the price at which the underwriters will purchase the shares from the selling stockholders in the offering. We refer to this transaction as the “concurrent share repurchase.” At a purchase</w:t>
      </w:r>
    </w:p>
    <w:p>
      <w:pPr>
        <w:sectPr>
          <w:pgSz w:w="11900" w:h="16838" w:orient="portrait"/>
          <w:cols w:equalWidth="0" w:num="1">
            <w:col w:w="9019"/>
          </w:cols>
          <w:pgMar w:left="1440" w:top="265" w:right="1440"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22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339"/>
        <w:spacing w:after="0" w:line="259" w:lineRule="auto"/>
        <w:rPr>
          <w:sz w:val="20"/>
          <w:szCs w:val="20"/>
          <w:color w:val="auto"/>
        </w:rPr>
      </w:pPr>
      <w:r>
        <w:rPr>
          <w:rFonts w:ascii="Arial" w:cs="Arial" w:eastAsia="Arial" w:hAnsi="Arial"/>
          <w:sz w:val="18"/>
          <w:szCs w:val="18"/>
          <w:color w:val="auto"/>
        </w:rPr>
        <w:t>price of $43.519375 per share, the aggregate share repurchase price would be approximately $200 million. The closing of the concurrent share repurchase is conditioned on the closing of the offering and therefore there can be no assurance that the concurrent share repurchase will be completed. The offering is not conditioned upon the completion of the concurrent share repurchase.</w:t>
      </w:r>
    </w:p>
    <w:p>
      <w:pPr>
        <w:spacing w:after="0" w:line="79" w:lineRule="exact"/>
        <w:rPr>
          <w:sz w:val="20"/>
          <w:szCs w:val="20"/>
          <w:color w:val="auto"/>
        </w:rPr>
      </w:pPr>
    </w:p>
    <w:p>
      <w:pPr>
        <w:jc w:val="both"/>
        <w:ind w:left="320" w:right="379" w:firstLine="360"/>
        <w:spacing w:after="0" w:line="259" w:lineRule="auto"/>
        <w:rPr>
          <w:sz w:val="20"/>
          <w:szCs w:val="20"/>
          <w:color w:val="auto"/>
        </w:rPr>
      </w:pPr>
      <w:r>
        <w:rPr>
          <w:rFonts w:ascii="Arial" w:cs="Arial" w:eastAsia="Arial" w:hAnsi="Arial"/>
          <w:sz w:val="18"/>
          <w:szCs w:val="18"/>
          <w:color w:val="auto"/>
        </w:rPr>
        <w:t>The concurrent share repurchase was approved by our board of directors and its audit committee. We intend to fund the concurrent share repurchase with cash on hand. Any shares of our common stock that we repurchase in the concurrent share repurchase will be pursuant to our recently announced $500 million share repurchase program and will be retired.</w:t>
      </w:r>
    </w:p>
    <w:p>
      <w:pPr>
        <w:spacing w:after="0" w:line="79" w:lineRule="exact"/>
        <w:rPr>
          <w:sz w:val="20"/>
          <w:szCs w:val="20"/>
          <w:color w:val="auto"/>
        </w:rPr>
      </w:pPr>
    </w:p>
    <w:p>
      <w:pPr>
        <w:ind w:left="320" w:right="439" w:firstLine="360"/>
        <w:spacing w:after="0" w:line="259" w:lineRule="auto"/>
        <w:rPr>
          <w:sz w:val="20"/>
          <w:szCs w:val="20"/>
          <w:color w:val="auto"/>
        </w:rPr>
      </w:pPr>
      <w:r>
        <w:rPr>
          <w:rFonts w:ascii="Arial" w:cs="Arial" w:eastAsia="Arial" w:hAnsi="Arial"/>
          <w:sz w:val="18"/>
          <w:szCs w:val="18"/>
          <w:color w:val="auto"/>
        </w:rPr>
        <w:t>The description of, and the other information in this prospectus regarding, the concurrent share repurchase are included in this prospectus for informational purposes only. Nothing in this prospectus should be construed as an offer to sell, or the solicitation of an offer to buy, any of our common stock subject to the concurrent share repurchase.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320" w:right="299" w:firstLine="360"/>
        <w:spacing w:after="0" w:line="255"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described in “Risk Factors” included elsewhere in this prospectus and “Risk Factors” in our Annual Report incorporated by reference herein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84" w:lineRule="exact"/>
        <w:rPr>
          <w:sz w:val="20"/>
          <w:szCs w:val="20"/>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17" w:lineRule="exact"/>
        <w:rPr>
          <w:rFonts w:ascii="Arial" w:cs="Arial" w:eastAsia="Arial" w:hAnsi="Arial"/>
          <w:sz w:val="18"/>
          <w:szCs w:val="18"/>
          <w:color w:val="auto"/>
        </w:rPr>
      </w:pPr>
    </w:p>
    <w:p>
      <w:pPr>
        <w:ind w:left="1020" w:right="359" w:hanging="350"/>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predict or effectively react to changes in consumer tastes and preferences, to acquire and sell brand name merchandise at competitive prices, and/or to manage our inventory balances;</w:t>
      </w:r>
    </w:p>
    <w:p>
      <w:pPr>
        <w:spacing w:after="0" w:line="38" w:lineRule="exact"/>
        <w:rPr>
          <w:rFonts w:ascii="Arial" w:cs="Arial" w:eastAsia="Arial" w:hAnsi="Arial"/>
          <w:sz w:val="17"/>
          <w:szCs w:val="17"/>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17" w:lineRule="exact"/>
        <w:rPr>
          <w:rFonts w:ascii="Arial" w:cs="Arial" w:eastAsia="Arial" w:hAnsi="Arial"/>
          <w:sz w:val="18"/>
          <w:szCs w:val="18"/>
          <w:color w:val="auto"/>
        </w:rPr>
      </w:pPr>
    </w:p>
    <w:p>
      <w:pPr>
        <w:ind w:left="1020" w:right="39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17" w:lineRule="exact"/>
        <w:rPr>
          <w:rFonts w:ascii="Arial" w:cs="Arial" w:eastAsia="Arial" w:hAnsi="Arial"/>
          <w:sz w:val="18"/>
          <w:szCs w:val="18"/>
          <w:color w:val="auto"/>
        </w:rPr>
      </w:pPr>
    </w:p>
    <w:p>
      <w:pPr>
        <w:ind w:left="1020" w:right="35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62" w:lineRule="exact"/>
        <w:rPr>
          <w:rFonts w:ascii="Arial" w:cs="Arial" w:eastAsia="Arial" w:hAnsi="Arial"/>
          <w:sz w:val="18"/>
          <w:szCs w:val="18"/>
          <w:color w:val="auto"/>
        </w:rPr>
      </w:pPr>
    </w:p>
    <w:p>
      <w:pPr>
        <w:ind w:left="1020" w:right="73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disruptions in our supply chain and losses of merchandise purchasing incentives;</w:t>
      </w:r>
    </w:p>
    <w:p>
      <w:pPr>
        <w:spacing w:after="0" w:line="128" w:lineRule="exact"/>
        <w:rPr>
          <w:rFonts w:ascii="Arial" w:cs="Arial" w:eastAsia="Arial" w:hAnsi="Arial"/>
          <w:sz w:val="17"/>
          <w:szCs w:val="17"/>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indebtedness; and</w:t>
      </w:r>
    </w:p>
    <w:p>
      <w:pPr>
        <w:spacing w:after="0" w:line="117" w:lineRule="exact"/>
        <w:rPr>
          <w:rFonts w:ascii="Arial" w:cs="Arial" w:eastAsia="Arial" w:hAnsi="Arial"/>
          <w:sz w:val="18"/>
          <w:szCs w:val="18"/>
          <w:color w:val="auto"/>
        </w:rPr>
      </w:pPr>
    </w:p>
    <w:p>
      <w:pPr>
        <w:ind w:left="1020" w:right="439" w:hanging="350"/>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qualification for exemptions from certain corporate governance requirements during the one-year transition period after our loss of “controlled company” status within the meaning of Nasdaq listing rules upon completion of the April 2021 Sale.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20" w:right="1279" w:firstLine="360"/>
        <w:spacing w:after="0" w:line="277" w:lineRule="auto"/>
        <w:rPr>
          <w:sz w:val="20"/>
          <w:szCs w:val="20"/>
          <w:color w:val="auto"/>
        </w:rPr>
      </w:pPr>
      <w:r>
        <w:rPr>
          <w:rFonts w:ascii="Arial" w:cs="Arial" w:eastAsia="Arial" w:hAnsi="Arial"/>
          <w:sz w:val="18"/>
          <w:szCs w:val="18"/>
          <w:color w:val="auto"/>
        </w:rPr>
        <w:t>Our common stock began trading on Nasdaq under the symbol “ASO” on October 2, 2020 and we consummated the IPO on October 6, 2020.</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offices are located at 1800 North Mason Road, Katy, Texas 77449. Our telephone number</w:t>
      </w:r>
    </w:p>
    <w:p>
      <w:pPr>
        <w:spacing w:after="0" w:line="35" w:lineRule="exact"/>
        <w:rPr>
          <w:sz w:val="20"/>
          <w:szCs w:val="20"/>
          <w:color w:val="auto"/>
        </w:rPr>
      </w:pPr>
    </w:p>
    <w:p>
      <w:pPr>
        <w:ind w:left="320" w:right="299"/>
        <w:spacing w:after="0" w:line="255" w:lineRule="auto"/>
        <w:rPr>
          <w:sz w:val="20"/>
          <w:szCs w:val="20"/>
          <w:color w:val="auto"/>
        </w:rPr>
      </w:pPr>
      <w:r>
        <w:rPr>
          <w:rFonts w:ascii="Arial" w:cs="Arial" w:eastAsia="Arial" w:hAnsi="Arial"/>
          <w:sz w:val="18"/>
          <w:szCs w:val="18"/>
          <w:color w:val="auto"/>
        </w:rPr>
        <w:t xml:space="preserve">is (281) 646-5200. We maintain a website at academy.com. The reference to our website is intended to be an inactive textual reference only. </w:t>
      </w:r>
      <w:r>
        <w:rPr>
          <w:rFonts w:ascii="Arial" w:cs="Arial" w:eastAsia="Arial" w:hAnsi="Arial"/>
          <w:sz w:val="18"/>
          <w:szCs w:val="18"/>
          <w:b w:val="1"/>
          <w:bCs w:val="1"/>
          <w:color w:val="auto"/>
        </w:rPr>
        <w:t>The information contained on, or that can be accessed through, our website is not part</w:t>
      </w:r>
      <w:r>
        <w:rPr>
          <w:rFonts w:ascii="Arial" w:cs="Arial" w:eastAsia="Arial" w:hAnsi="Arial"/>
          <w:sz w:val="18"/>
          <w:szCs w:val="18"/>
          <w:color w:val="auto"/>
        </w:rPr>
        <w:t xml:space="preserve"> </w:t>
      </w:r>
      <w:r>
        <w:rPr>
          <w:rFonts w:ascii="Arial" w:cs="Arial" w:eastAsia="Arial" w:hAnsi="Arial"/>
          <w:sz w:val="18"/>
          <w:szCs w:val="18"/>
          <w:b w:val="1"/>
          <w:bCs w:val="1"/>
          <w:color w:val="auto"/>
        </w:rPr>
        <w:t>of this prospectus.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67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right="660" w:hanging="179"/>
        <w:spacing w:after="0" w:line="282" w:lineRule="auto"/>
        <w:rPr>
          <w:sz w:val="20"/>
          <w:szCs w:val="20"/>
          <w:color w:val="auto"/>
        </w:rPr>
      </w:pPr>
      <w:r>
        <w:rPr>
          <w:rFonts w:ascii="Arial" w:cs="Arial" w:eastAsia="Arial" w:hAnsi="Arial"/>
          <w:sz w:val="18"/>
          <w:szCs w:val="18"/>
          <w:b w:val="1"/>
          <w:bCs w:val="1"/>
          <w:color w:val="auto"/>
        </w:rPr>
        <w:t>Common stock offered by the selling stockholders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Common stock outstanding</w:t>
      </w:r>
    </w:p>
    <w:p>
      <w:pPr>
        <w:spacing w:after="0" w:line="158" w:lineRule="exact"/>
        <w:rPr>
          <w:sz w:val="20"/>
          <w:szCs w:val="20"/>
          <w:color w:val="auto"/>
        </w:rPr>
      </w:pPr>
    </w:p>
    <w:p>
      <w:pPr>
        <w:ind w:left="480" w:hanging="179"/>
        <w:spacing w:after="0" w:line="347" w:lineRule="auto"/>
        <w:rPr>
          <w:sz w:val="20"/>
          <w:szCs w:val="20"/>
          <w:color w:val="auto"/>
        </w:rPr>
      </w:pPr>
      <w:r>
        <w:rPr>
          <w:rFonts w:ascii="Arial" w:cs="Arial" w:eastAsia="Arial" w:hAnsi="Arial"/>
          <w:sz w:val="16"/>
          <w:szCs w:val="16"/>
          <w:b w:val="1"/>
          <w:bCs w:val="1"/>
          <w:color w:val="auto"/>
        </w:rPr>
        <w:t>Common stock outstanding after the offering and the concurrent share repurchase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18,645,602 shares.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92,883,540 shares (as of July 31, 2021).</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88,383,540 shares.</w:t>
      </w:r>
    </w:p>
    <w:p>
      <w:pPr>
        <w:spacing w:after="0" w:line="158" w:lineRule="exact"/>
        <w:rPr>
          <w:sz w:val="20"/>
          <w:szCs w:val="20"/>
          <w:color w:val="auto"/>
        </w:rPr>
      </w:pPr>
    </w:p>
    <w:p>
      <w:pPr>
        <w:ind w:left="180" w:right="319"/>
        <w:spacing w:after="0" w:line="273" w:lineRule="auto"/>
        <w:rPr>
          <w:sz w:val="20"/>
          <w:szCs w:val="20"/>
          <w:color w:val="auto"/>
        </w:rPr>
      </w:pPr>
      <w:r>
        <w:rPr>
          <w:rFonts w:ascii="Arial" w:cs="Arial" w:eastAsia="Arial" w:hAnsi="Arial"/>
          <w:sz w:val="17"/>
          <w:szCs w:val="17"/>
          <w:color w:val="auto"/>
        </w:rPr>
        <w:t>We will not receive any proceeds from the sale of shares being sold in this offering. The selling stockholders will receive all of the net proceeds and bear all commissions and discounts, if any, from the sale of our common stock pursuant to this prospectus. See “Use of Proceeds” and “Principal and Selling Stockholders.”</w:t>
      </w:r>
    </w:p>
    <w:p>
      <w:pPr>
        <w:spacing w:after="0" w:line="70" w:lineRule="exact"/>
        <w:rPr>
          <w:sz w:val="20"/>
          <w:szCs w:val="20"/>
          <w:color w:val="auto"/>
        </w:rPr>
      </w:pPr>
    </w:p>
    <w:p>
      <w:pPr>
        <w:ind w:left="180" w:right="299"/>
        <w:spacing w:after="0" w:line="269" w:lineRule="auto"/>
        <w:rPr>
          <w:sz w:val="20"/>
          <w:szCs w:val="20"/>
          <w:color w:val="auto"/>
        </w:rPr>
      </w:pPr>
      <w:r>
        <w:rPr>
          <w:rFonts w:ascii="Arial" w:cs="Arial" w:eastAsia="Arial" w:hAnsi="Arial"/>
          <w:sz w:val="17"/>
          <w:szCs w:val="17"/>
          <w:color w:val="auto"/>
        </w:rPr>
        <w:t>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w:t>
      </w:r>
    </w:p>
    <w:p>
      <w:pPr>
        <w:spacing w:after="0" w:line="114" w:lineRule="exact"/>
        <w:rPr>
          <w:sz w:val="20"/>
          <w:szCs w:val="20"/>
          <w:color w:val="auto"/>
        </w:rPr>
      </w:pPr>
    </w:p>
    <w:p>
      <w:pPr>
        <w:ind w:left="180" w:right="299"/>
        <w:spacing w:after="0" w:line="290"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underwriters 4,500,000 of the aggregate 18,645,602 shares of our common stock that are the subject of the offering. The price per share to be paid by us will equal the price at which the underwriters will purchase the shares from the selling stockholders in the offering. The offering is not conditioned upon the completion of the share repurchase. See “—Concurrent Share Repurchase.”</w:t>
      </w:r>
    </w:p>
    <w:p>
      <w:pPr>
        <w:spacing w:after="0" w:line="84" w:lineRule="exact"/>
        <w:rPr>
          <w:sz w:val="20"/>
          <w:szCs w:val="20"/>
          <w:color w:val="auto"/>
        </w:rPr>
      </w:pPr>
    </w:p>
    <w:p>
      <w:pPr>
        <w:ind w:left="180" w:right="279"/>
        <w:spacing w:after="0" w:line="268" w:lineRule="auto"/>
        <w:rPr>
          <w:sz w:val="20"/>
          <w:szCs w:val="20"/>
          <w:color w:val="auto"/>
        </w:rPr>
      </w:pPr>
      <w:r>
        <w:rPr>
          <w:rFonts w:ascii="Arial" w:cs="Arial" w:eastAsia="Arial" w:hAnsi="Arial"/>
          <w:sz w:val="17"/>
          <w:szCs w:val="17"/>
          <w:color w:val="auto"/>
        </w:rPr>
        <w:t>The KKR Stockholders beneficially own in excess of 10% of our issued and outstanding common stock and will be selling stockholders in this offering and, as such, will receive in excess of 5% of the net proceeds of the offering. Because KKR Capital Markets LLC, an affiliate of the KKR Stockholders, is an underwriter in this offering, KKR Capital Markets LLC is deemed to have a “conflict of interest” under Rule 5121, or Rule 5121, of the Financial Industry Regulatory Authority, Inc., or FINRA. Accordingly, this offering is being made in compliance with the requirements of Rule 5121. Pursuant to that rule, the appointment of a “qualified independent underwriter” is not required in connection with this offering, because a bona fide public market exists in the shares, as that term is defined in Rule 5121. See “Principal and Selling Stockholders” and “Underwriting (Conflicts of Interest).”</w:t>
      </w:r>
    </w:p>
    <w:p>
      <w:pPr>
        <w:spacing w:after="0" w:line="112" w:lineRule="exact"/>
        <w:rPr>
          <w:sz w:val="20"/>
          <w:szCs w:val="20"/>
          <w:color w:val="auto"/>
        </w:rPr>
      </w:pPr>
    </w:p>
    <w:p>
      <w:pPr>
        <w:ind w:left="180" w:right="359"/>
        <w:spacing w:after="0" w:line="286" w:lineRule="auto"/>
        <w:rPr>
          <w:sz w:val="20"/>
          <w:szCs w:val="20"/>
          <w:color w:val="auto"/>
        </w:rPr>
      </w:pPr>
      <w:r>
        <w:rPr>
          <w:rFonts w:ascii="Arial" w:cs="Arial" w:eastAsia="Arial" w:hAnsi="Arial"/>
          <w:sz w:val="17"/>
          <w:szCs w:val="17"/>
          <w:color w:val="auto"/>
        </w:rPr>
        <w:t>We have no current plans to pay dividends on our common stock. Any decision to declare and pay dividends in the future will be made at the sole discretion of our board of</w:t>
      </w:r>
    </w:p>
    <w:p>
      <w:pPr>
        <w:spacing w:after="0" w:line="200" w:lineRule="exact"/>
        <w:rPr>
          <w:sz w:val="20"/>
          <w:szCs w:val="20"/>
          <w:color w:val="auto"/>
        </w:rPr>
      </w:pPr>
    </w:p>
    <w:p>
      <w:pPr>
        <w:sectPr>
          <w:pgSz w:w="11900" w:h="16838" w:orient="portrait"/>
          <w:cols w:equalWidth="0" w:num="2">
            <w:col w:w="3780" w:space="240"/>
            <w:col w:w="4999"/>
          </w:cols>
          <w:pgMar w:left="1440" w:top="265" w:right="1440"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5044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50444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hanging="179"/>
        <w:spacing w:after="0" w:line="312" w:lineRule="auto"/>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319"/>
        <w:spacing w:after="0" w:line="273" w:lineRule="auto"/>
        <w:rPr>
          <w:sz w:val="20"/>
          <w:szCs w:val="20"/>
          <w:color w:val="auto"/>
        </w:rPr>
      </w:pPr>
      <w:r>
        <w:rPr>
          <w:rFonts w:ascii="Arial" w:cs="Arial" w:eastAsia="Arial" w:hAnsi="Arial"/>
          <w:sz w:val="17"/>
          <w:szCs w:val="17"/>
          <w:color w:val="auto"/>
        </w:rPr>
        <w:t>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pacing w:after="0" w:line="97" w:lineRule="exact"/>
        <w:rPr>
          <w:sz w:val="20"/>
          <w:szCs w:val="20"/>
          <w:color w:val="auto"/>
        </w:rPr>
      </w:pPr>
    </w:p>
    <w:p>
      <w:pPr>
        <w:ind w:right="319"/>
        <w:spacing w:after="0" w:line="259" w:lineRule="auto"/>
        <w:rPr>
          <w:sz w:val="20"/>
          <w:szCs w:val="20"/>
          <w:color w:val="auto"/>
        </w:rPr>
      </w:pPr>
      <w:r>
        <w:rPr>
          <w:rFonts w:ascii="Arial" w:cs="Arial" w:eastAsia="Arial" w:hAnsi="Arial"/>
          <w:sz w:val="18"/>
          <w:szCs w:val="18"/>
          <w:color w:val="auto"/>
        </w:rPr>
        <w:t>Investing in shares of our common stock involves a high degree of risk. See “Risk Factors” for a discussion of factors you should carefully consider before investing in shares of our common stock.</w:t>
      </w:r>
    </w:p>
    <w:p>
      <w:pPr>
        <w:spacing w:after="0" w:line="295" w:lineRule="exact"/>
        <w:rPr>
          <w:sz w:val="20"/>
          <w:szCs w:val="20"/>
          <w:color w:val="auto"/>
        </w:rPr>
      </w:pPr>
    </w:p>
    <w:p>
      <w:pPr>
        <w:ind w:right="419"/>
        <w:spacing w:after="0" w:line="254" w:lineRule="auto"/>
        <w:rPr>
          <w:sz w:val="20"/>
          <w:szCs w:val="20"/>
          <w:color w:val="auto"/>
        </w:rPr>
      </w:pPr>
      <w:r>
        <w:rPr>
          <w:rFonts w:ascii="Arial" w:cs="Arial" w:eastAsia="Arial" w:hAnsi="Arial"/>
          <w:sz w:val="18"/>
          <w:szCs w:val="18"/>
          <w:color w:val="auto"/>
        </w:rPr>
        <w:t>For a discussion of certain U.S. federal income and estate tax consequences that may be relevant to non-U.S. stockholders, see “Material U.S. Federal Income and Estate Tax Consequences to Non-U.S. Holders.”</w:t>
      </w:r>
    </w:p>
    <w:p>
      <w:pPr>
        <w:spacing w:after="0" w:line="2" w:lineRule="exact"/>
        <w:rPr>
          <w:sz w:val="20"/>
          <w:szCs w:val="20"/>
          <w:color w:val="auto"/>
        </w:rPr>
      </w:pPr>
    </w:p>
    <w:p>
      <w:pPr>
        <w:sectPr>
          <w:pgSz w:w="11900" w:h="16838" w:orient="portrait"/>
          <w:cols w:equalWidth="0" w:num="2">
            <w:col w:w="3620" w:space="580"/>
            <w:col w:w="4819"/>
          </w:cols>
          <w:pgMar w:left="1440" w:top="265" w:right="1440" w:bottom="1440" w:gutter="0" w:footer="0" w:header="0"/>
          <w:type w:val="continuous"/>
        </w:sectPr>
      </w:pPr>
    </w:p>
    <w:p>
      <w:pPr>
        <w:ind w:left="320"/>
        <w:spacing w:after="0"/>
        <w:tabs>
          <w:tab w:leader="none" w:pos="4180" w:val="left"/>
        </w:tabs>
        <w:rPr>
          <w:sz w:val="20"/>
          <w:szCs w:val="20"/>
          <w:color w:val="auto"/>
        </w:rPr>
      </w:pPr>
      <w:r>
        <w:rPr>
          <w:rFonts w:ascii="Arial" w:cs="Arial" w:eastAsia="Arial" w:hAnsi="Arial"/>
          <w:sz w:val="18"/>
          <w:szCs w:val="18"/>
          <w:b w:val="1"/>
          <w:bCs w:val="1"/>
          <w:color w:val="auto"/>
        </w:rPr>
        <w:t>Nasdaq trading symbol</w:t>
      </w:r>
      <w:r>
        <w:rPr>
          <w:sz w:val="20"/>
          <w:szCs w:val="20"/>
          <w:color w:val="auto"/>
        </w:rPr>
        <w:tab/>
      </w:r>
      <w:r>
        <w:rPr>
          <w:rFonts w:ascii="Arial" w:cs="Arial" w:eastAsia="Arial" w:hAnsi="Arial"/>
          <w:sz w:val="26"/>
          <w:szCs w:val="26"/>
          <w:color w:val="auto"/>
          <w:vertAlign w:val="subscript"/>
        </w:rPr>
        <w:t>“ASO.”</w:t>
      </w:r>
    </w:p>
    <w:p>
      <w:pPr>
        <w:spacing w:after="0" w:line="200" w:lineRule="exact"/>
        <w:rPr>
          <w:sz w:val="20"/>
          <w:szCs w:val="20"/>
          <w:color w:val="auto"/>
        </w:rPr>
      </w:pPr>
    </w:p>
    <w:p>
      <w:pPr>
        <w:ind w:left="320" w:right="359" w:firstLine="360"/>
        <w:spacing w:after="0" w:line="259" w:lineRule="auto"/>
        <w:rPr>
          <w:sz w:val="20"/>
          <w:szCs w:val="20"/>
          <w:color w:val="auto"/>
        </w:rPr>
      </w:pPr>
      <w:r>
        <w:rPr>
          <w:rFonts w:ascii="Arial" w:cs="Arial" w:eastAsia="Arial" w:hAnsi="Arial"/>
          <w:sz w:val="18"/>
          <w:szCs w:val="18"/>
          <w:color w:val="auto"/>
        </w:rPr>
        <w:t>Throughout this prospectus, the number of shares of common stock to be outstanding after giving effect to this offering and the concurrent share repurchase is based on 92,883,540 shares of our common stock outstanding as of July 31, 2021 (i) reflects the retirement of 4,500,000 shares of our common stock in the concurrent share repurchase and (ii) and excludes as of July 31, 2021:</w:t>
      </w:r>
    </w:p>
    <w:p>
      <w:pPr>
        <w:spacing w:after="0" w:line="79" w:lineRule="exact"/>
        <w:rPr>
          <w:sz w:val="20"/>
          <w:szCs w:val="20"/>
          <w:color w:val="auto"/>
        </w:rPr>
      </w:pPr>
    </w:p>
    <w:p>
      <w:pPr>
        <w:ind w:left="1020" w:right="319" w:hanging="350"/>
        <w:spacing w:after="0" w:line="34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4,689,376 shares of common stock issuable upon exercise of outstanding options, all of which were vested with a weighted-average exercise price of $15.20 per share, granted under the 2011 Equity Plan;</w:t>
      </w:r>
    </w:p>
    <w:p>
      <w:pPr>
        <w:spacing w:after="0" w:line="15" w:lineRule="exact"/>
        <w:rPr>
          <w:rFonts w:ascii="Arial" w:cs="Arial" w:eastAsia="Arial" w:hAnsi="Arial"/>
          <w:sz w:val="16"/>
          <w:szCs w:val="16"/>
          <w:color w:val="auto"/>
        </w:rPr>
      </w:pPr>
    </w:p>
    <w:p>
      <w:pPr>
        <w:ind w:left="1020" w:right="299" w:hanging="350"/>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1,046,473 shares of common stock issuable upon exercise of outstanding options, (i) 23,956 of which were vested, with a weighted-average exercise price of $26.99, (ii) 1,022,517 of which were not vested, with a weighted average price of $25.00 per share, (iii) 374,338 shares of common stock issuable upon settlement of outstanding restricted stock units, none of which were vested, and (iv) 3,725,110 shares of common stock reserved for future issuance, in each case, granted under our new 2020 Omnibus Incentive Plan, or the 2020 Equity Plan; and</w:t>
      </w:r>
    </w:p>
    <w:p>
      <w:pPr>
        <w:spacing w:after="0" w:line="84" w:lineRule="exact"/>
        <w:rPr>
          <w:rFonts w:ascii="Arial" w:cs="Arial" w:eastAsia="Arial" w:hAnsi="Arial"/>
          <w:sz w:val="18"/>
          <w:szCs w:val="18"/>
          <w:color w:val="auto"/>
        </w:rPr>
      </w:pPr>
    </w:p>
    <w:p>
      <w:pPr>
        <w:ind w:left="1020" w:right="739" w:hanging="35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1,964,614 shares of common stock reserved for future issuance under our new 2020 Employee Stock Purchase Plan, or the ESPP.</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639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3405" cy="639064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320" w:right="1380" w:firstLine="360"/>
        <w:spacing w:after="0" w:line="286"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The summary historical financial data as of January 30, 2021 and February 1, 2020 and for 2020, 2019 and 2018 has been derived from our audited consolidated financial statements and related notes thereto incorporated by reference in this prospectus. The summary historical financial data as of February 2, 2019 has been derived from our consolidated financial statements and related notes thereto not included or incorporated by reference in this prospectus. The summary historical financial data as of July 31, 2021 and for the twenty-six weeks ended July 31, 2021 and August 1, 2020 has been derived from our unaudited condensed consolidated financial statements and related notes thereto incorporated by reference in this prospectus. The unaudited historical consolidated financial statements were prepared on a basis consistent with our audited historical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The results of operations for any period are not necessarily indicative of our future financial condition or results of operations.</w:t>
      </w:r>
    </w:p>
    <w:p>
      <w:pPr>
        <w:spacing w:after="0" w:line="66" w:lineRule="exact"/>
        <w:rPr>
          <w:sz w:val="20"/>
          <w:szCs w:val="20"/>
          <w:color w:val="auto"/>
        </w:rPr>
      </w:pPr>
    </w:p>
    <w:p>
      <w:pPr>
        <w:ind w:left="1320" w:right="1480" w:firstLine="360"/>
        <w:spacing w:after="0" w:line="279" w:lineRule="auto"/>
        <w:rPr>
          <w:sz w:val="20"/>
          <w:szCs w:val="20"/>
          <w:color w:val="auto"/>
        </w:rPr>
      </w:pPr>
      <w:r>
        <w:rPr>
          <w:rFonts w:ascii="Arial" w:cs="Arial" w:eastAsia="Arial" w:hAnsi="Arial"/>
          <w:sz w:val="17"/>
          <w:szCs w:val="17"/>
          <w:color w:val="auto"/>
        </w:rPr>
        <w:t>You should read the following summary financial and other data below together with the information under “Capitalization” in this prospectus, as well as the sections entitled “Selected Financial Data,” “Management’s Discussion and Analysis of Financial Condition and Results of Operations” and our audited consolidated financial statements and related notes in our Annual Report incorporated by reference herein.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7"/>
          </w:tcPr>
          <w:p>
            <w:pPr>
              <w:ind w:left="20"/>
              <w:spacing w:after="0"/>
              <w:rPr>
                <w:sz w:val="20"/>
                <w:szCs w:val="20"/>
                <w:color w:val="auto"/>
              </w:rPr>
            </w:pPr>
            <w:r>
              <w:rPr>
                <w:rFonts w:ascii="Arial" w:cs="Arial" w:eastAsia="Arial" w:hAnsi="Arial"/>
                <w:sz w:val="14"/>
                <w:szCs w:val="14"/>
                <w:b w:val="1"/>
                <w:bCs w:val="1"/>
                <w:color w:val="auto"/>
              </w:rPr>
              <w:t>Twenty-Six Weeks Ended</w:t>
            </w: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30,</w:t>
            </w:r>
          </w:p>
        </w:tc>
        <w:tc>
          <w:tcPr>
            <w:tcW w:w="140" w:type="dxa"/>
            <w:vAlign w:val="bottom"/>
          </w:tcPr>
          <w:p>
            <w:pPr>
              <w:spacing w:after="0"/>
              <w:rPr>
                <w:sz w:val="16"/>
                <w:szCs w:val="16"/>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February 1,</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February 2,</w:t>
            </w:r>
          </w:p>
        </w:tc>
        <w:tc>
          <w:tcPr>
            <w:tcW w:w="14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31,</w:t>
            </w:r>
          </w:p>
        </w:tc>
        <w:tc>
          <w:tcPr>
            <w:tcW w:w="120" w:type="dxa"/>
            <w:vAlign w:val="bottom"/>
          </w:tcPr>
          <w:p>
            <w:pPr>
              <w:spacing w:after="0"/>
              <w:rPr>
                <w:sz w:val="16"/>
                <w:szCs w:val="16"/>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August 1,</w:t>
            </w: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40"/>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Period length</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6"/>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52 weeks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52 weeks</w:t>
            </w:r>
          </w:p>
        </w:tc>
        <w:tc>
          <w:tcPr>
            <w:tcW w:w="10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52 weeks</w:t>
            </w:r>
          </w:p>
        </w:tc>
        <w:tc>
          <w:tcPr>
            <w:tcW w:w="1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26 weeks</w:t>
            </w:r>
          </w:p>
        </w:tc>
        <w:tc>
          <w:tcPr>
            <w:tcW w:w="8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26 weeks</w:t>
            </w:r>
          </w:p>
        </w:tc>
        <w:tc>
          <w:tcPr>
            <w:tcW w:w="1300" w:type="dxa"/>
            <w:vAlign w:val="bottom"/>
            <w:gridSpan w:val="2"/>
          </w:tcPr>
          <w:p>
            <w:pPr>
              <w:spacing w:after="0"/>
              <w:rPr>
                <w:sz w:val="21"/>
                <w:szCs w:val="2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$5,689,233</w:t>
            </w: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$4,829,897</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$4,783,893</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$3,371,863</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$2,742,721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Costs of goods sold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3,955,188</w:t>
            </w:r>
          </w:p>
        </w:tc>
        <w:tc>
          <w:tcPr>
            <w:tcW w:w="6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3,398,743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3,415,941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2,165,666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7"/>
              </w:rPr>
              <w:t>1,948,275</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1,734,045</w:t>
            </w:r>
          </w:p>
        </w:tc>
        <w:tc>
          <w:tcPr>
            <w:tcW w:w="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1,431,154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1,367,952</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1,206,197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794,446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w w:val="96"/>
              </w:rPr>
              <w:t>Selling, general and administrative expenses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1,313,647</w:t>
            </w:r>
          </w:p>
        </w:tc>
        <w:tc>
          <w:tcPr>
            <w:tcW w:w="6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1,251,733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1,239,002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712,565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596,636</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420,398</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179,421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128,950</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493,632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197,810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86,514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101,307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108,652</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26,706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48,088</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w w:val="95"/>
              </w:rPr>
              <w:t>(Gain) loss on early retirement of debt, net</w:t>
            </w:r>
            <w:r>
              <w:rPr>
                <w:rFonts w:ascii="Arial" w:cs="Arial" w:eastAsia="Arial" w:hAnsi="Arial"/>
                <w:sz w:val="29"/>
                <w:szCs w:val="29"/>
                <w:color w:val="auto"/>
                <w:w w:val="95"/>
                <w:vertAlign w:val="superscript"/>
              </w:rPr>
              <w:t>(1)</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(3,582)</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(1,654)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(3,095)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(1,621)</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339,120</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122,860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23,393</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465,819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159,174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30,356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97,513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1,518</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308,764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120,043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368,306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157,656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0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20" w:name="page21"/>
    <w:bookmarkEnd w:id="20"/>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133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9133840"/>
                    </a:xfrm>
                    <a:prstGeom prst="rect">
                      <a:avLst/>
                    </a:prstGeom>
                    <a:noFill/>
                  </pic:spPr>
                </pic:pic>
              </a:graphicData>
            </a:graphic>
          </wp:anchor>
        </w:drawing>
      </w:r>
    </w:p>
    <w:p>
      <w:pPr>
        <w:sectPr>
          <w:pgSz w:w="11900" w:h="16838" w:orient="portrait"/>
          <w:cols w:equalWidth="0" w:num="1">
            <w:col w:w="9019"/>
          </w:cols>
          <w:pgMar w:left="1440" w:top="265" w:right="1440" w:bottom="939" w:gutter="0" w:footer="0" w:header="0"/>
        </w:sectPr>
      </w:pP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gridSpan w:val="4"/>
          </w:tcPr>
          <w:p>
            <w:pPr>
              <w:ind w:left="120"/>
              <w:spacing w:after="0"/>
              <w:rPr>
                <w:sz w:val="20"/>
                <w:szCs w:val="20"/>
                <w:color w:val="auto"/>
              </w:rPr>
            </w:pPr>
            <w:r>
              <w:rPr>
                <w:rFonts w:ascii="Arial" w:cs="Arial" w:eastAsia="Arial" w:hAnsi="Arial"/>
                <w:sz w:val="14"/>
                <w:szCs w:val="14"/>
                <w:b w:val="1"/>
                <w:bCs w:val="1"/>
                <w:color w:val="auto"/>
                <w:w w:val="94"/>
              </w:rPr>
              <w:t>Fiscal Year Ended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4"/>
          </w:tcPr>
          <w:p>
            <w:pPr>
              <w:ind w:left="180"/>
              <w:spacing w:after="0"/>
              <w:rPr>
                <w:sz w:val="20"/>
                <w:szCs w:val="20"/>
                <w:color w:val="auto"/>
              </w:rPr>
            </w:pPr>
            <w:r>
              <w:rPr>
                <w:rFonts w:ascii="Arial" w:cs="Arial" w:eastAsia="Arial" w:hAnsi="Arial"/>
                <w:sz w:val="14"/>
                <w:szCs w:val="14"/>
                <w:b w:val="1"/>
                <w:bCs w:val="1"/>
                <w:color w:val="auto"/>
              </w:rPr>
              <w:t>Twenty-Six Weeks Ended</w:t>
            </w:r>
          </w:p>
        </w:tc>
      </w:tr>
      <w:tr>
        <w:trPr>
          <w:trHeight w:val="53"/>
        </w:trPr>
        <w:tc>
          <w:tcPr>
            <w:tcW w:w="29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7"/>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95"/>
              </w:rPr>
              <w:t>January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w:t>
            </w:r>
          </w:p>
        </w:tc>
        <w:tc>
          <w:tcPr>
            <w:tcW w:w="8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w:t>
            </w:r>
          </w:p>
        </w:tc>
        <w:tc>
          <w:tcPr>
            <w:tcW w:w="140" w:type="dxa"/>
            <w:vAlign w:val="bottom"/>
          </w:tcPr>
          <w:p>
            <w:pPr>
              <w:spacing w:after="0"/>
              <w:rPr>
                <w:sz w:val="16"/>
                <w:szCs w:val="16"/>
                <w:color w:val="auto"/>
              </w:rPr>
            </w:pPr>
          </w:p>
        </w:tc>
        <w:tc>
          <w:tcPr>
            <w:tcW w:w="820" w:type="dxa"/>
            <w:vAlign w:val="bottom"/>
          </w:tcPr>
          <w:p>
            <w:pPr>
              <w:jc w:val="right"/>
              <w:ind w:right="93"/>
              <w:spacing w:after="0"/>
              <w:rPr>
                <w:sz w:val="20"/>
                <w:szCs w:val="20"/>
                <w:color w:val="auto"/>
              </w:rPr>
            </w:pPr>
            <w:r>
              <w:rPr>
                <w:rFonts w:ascii="Arial" w:cs="Arial" w:eastAsia="Arial" w:hAnsi="Arial"/>
                <w:sz w:val="14"/>
                <w:szCs w:val="14"/>
                <w:b w:val="1"/>
                <w:bCs w:val="1"/>
                <w:color w:val="auto"/>
                <w:w w:val="97"/>
              </w:rPr>
              <w:t>August 1,</w:t>
            </w:r>
          </w:p>
        </w:tc>
      </w:tr>
      <w:tr>
        <w:trPr>
          <w:trHeight w:val="186"/>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53"/>
        </w:trPr>
        <w:tc>
          <w:tcPr>
            <w:tcW w:w="29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Period length</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thousands, except store data and per</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data)</w:t>
            </w:r>
          </w:p>
        </w:tc>
        <w:tc>
          <w:tcPr>
            <w:tcW w:w="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52 weeks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52 weeks</w:t>
            </w:r>
          </w:p>
        </w:tc>
        <w:tc>
          <w:tcPr>
            <w:tcW w:w="1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52 weeks</w:t>
            </w:r>
          </w:p>
        </w:tc>
        <w:tc>
          <w:tcPr>
            <w:tcW w:w="1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26 weeks</w:t>
            </w:r>
          </w:p>
        </w:tc>
        <w:tc>
          <w:tcPr>
            <w:tcW w:w="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26 weeks</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w w:val="94"/>
              </w:rPr>
              <w:t>Balance Sheet Data (end of period):</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377,604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149,385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75,691</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553,825</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884,029</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Merchandise inventories, net</w:t>
            </w:r>
          </w:p>
        </w:tc>
        <w:tc>
          <w:tcPr>
            <w:tcW w:w="10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990,034</w:t>
            </w:r>
          </w:p>
        </w:tc>
        <w:tc>
          <w:tcPr>
            <w:tcW w:w="1160" w:type="dxa"/>
            <w:vAlign w:val="bottom"/>
            <w:gridSpan w:val="3"/>
          </w:tcPr>
          <w:p>
            <w:pPr>
              <w:jc w:val="right"/>
              <w:ind w:right="133"/>
              <w:spacing w:after="0"/>
              <w:rPr>
                <w:sz w:val="20"/>
                <w:szCs w:val="20"/>
                <w:color w:val="auto"/>
              </w:rPr>
            </w:pPr>
            <w:r>
              <w:rPr>
                <w:rFonts w:ascii="Arial" w:cs="Arial" w:eastAsia="Arial" w:hAnsi="Arial"/>
                <w:sz w:val="18"/>
                <w:szCs w:val="18"/>
                <w:color w:val="auto"/>
              </w:rPr>
              <w:t>1,099,749</w:t>
            </w:r>
          </w:p>
        </w:tc>
        <w:tc>
          <w:tcPr>
            <w:tcW w:w="120" w:type="dxa"/>
            <w:vAlign w:val="bottom"/>
          </w:tcPr>
          <w:p>
            <w:pPr>
              <w:spacing w:after="0"/>
              <w:rPr>
                <w:sz w:val="23"/>
                <w:szCs w:val="23"/>
                <w:color w:val="auto"/>
              </w:rPr>
            </w:pPr>
          </w:p>
        </w:tc>
        <w:tc>
          <w:tcPr>
            <w:tcW w:w="1040" w:type="dxa"/>
            <w:vAlign w:val="bottom"/>
            <w:gridSpan w:val="2"/>
          </w:tcPr>
          <w:p>
            <w:pPr>
              <w:jc w:val="right"/>
              <w:ind w:right="133"/>
              <w:spacing w:after="0"/>
              <w:rPr>
                <w:sz w:val="20"/>
                <w:szCs w:val="20"/>
                <w:color w:val="auto"/>
              </w:rPr>
            </w:pPr>
            <w:r>
              <w:rPr>
                <w:rFonts w:ascii="Arial" w:cs="Arial" w:eastAsia="Arial" w:hAnsi="Arial"/>
                <w:sz w:val="18"/>
                <w:szCs w:val="18"/>
                <w:color w:val="auto"/>
                <w:w w:val="99"/>
              </w:rPr>
              <w:t>1,134,156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w w:val="87"/>
              </w:rPr>
              <w:t>1,115,020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w w:val="98"/>
              </w:rPr>
              <w:t>899,086</w:t>
            </w:r>
          </w:p>
        </w:tc>
      </w:tr>
      <w:tr>
        <w:trPr>
          <w:trHeight w:val="54"/>
        </w:trPr>
        <w:tc>
          <w:tcPr>
            <w:tcW w:w="292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r>
      <w:tr>
        <w:trPr>
          <w:trHeight w:val="324"/>
        </w:trPr>
        <w:tc>
          <w:tcPr>
            <w:tcW w:w="29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(2)</w:t>
            </w:r>
          </w:p>
        </w:tc>
        <w:tc>
          <w:tcPr>
            <w:tcW w:w="98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97"/>
              </w:rPr>
              <w:t>4,384,482</w:t>
            </w:r>
          </w:p>
        </w:tc>
        <w:tc>
          <w:tcPr>
            <w:tcW w:w="1160" w:type="dxa"/>
            <w:vAlign w:val="bottom"/>
            <w:gridSpan w:val="3"/>
            <w:shd w:val="clear" w:color="auto" w:fill="CCEEFF"/>
          </w:tcPr>
          <w:p>
            <w:pPr>
              <w:jc w:val="right"/>
              <w:ind w:right="133"/>
              <w:spacing w:after="0"/>
              <w:rPr>
                <w:sz w:val="20"/>
                <w:szCs w:val="20"/>
                <w:color w:val="auto"/>
              </w:rPr>
            </w:pPr>
            <w:r>
              <w:rPr>
                <w:rFonts w:ascii="Arial" w:cs="Arial" w:eastAsia="Arial" w:hAnsi="Arial"/>
                <w:sz w:val="18"/>
                <w:szCs w:val="18"/>
                <w:color w:val="auto"/>
              </w:rPr>
              <w:t>4,331,321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w w:val="99"/>
              </w:rPr>
              <w:t>3,238,957</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w w:val="97"/>
              </w:rPr>
              <w:t>4,634,027</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w w:val="97"/>
              </w:rPr>
              <w:t>4,842,848</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w w:val="84"/>
              </w:rPr>
              <w:t>1,111,983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988,219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857,039</w:t>
            </w:r>
          </w:p>
        </w:tc>
        <w:tc>
          <w:tcPr>
            <w:tcW w:w="140" w:type="dxa"/>
            <w:vAlign w:val="bottom"/>
          </w:tcPr>
          <w:p>
            <w:pPr>
              <w:spacing w:after="0"/>
              <w:rPr>
                <w:sz w:val="23"/>
                <w:szCs w:val="23"/>
                <w:color w:val="auto"/>
              </w:rPr>
            </w:pPr>
          </w:p>
        </w:tc>
        <w:tc>
          <w:tcPr>
            <w:tcW w:w="960" w:type="dxa"/>
            <w:vAlign w:val="bottom"/>
            <w:gridSpan w:val="2"/>
          </w:tcPr>
          <w:p>
            <w:pPr>
              <w:jc w:val="right"/>
              <w:ind w:right="74"/>
              <w:spacing w:after="0"/>
              <w:rPr>
                <w:sz w:val="20"/>
                <w:szCs w:val="20"/>
                <w:color w:val="auto"/>
              </w:rPr>
            </w:pPr>
            <w:r>
              <w:rPr>
                <w:rFonts w:ascii="Arial" w:cs="Arial" w:eastAsia="Arial" w:hAnsi="Arial"/>
                <w:sz w:val="18"/>
                <w:szCs w:val="18"/>
                <w:color w:val="auto"/>
                <w:w w:val="97"/>
              </w:rPr>
              <w:t>1,447,618</w:t>
            </w:r>
          </w:p>
        </w:tc>
        <w:tc>
          <w:tcPr>
            <w:tcW w:w="140" w:type="dxa"/>
            <w:vAlign w:val="bottom"/>
          </w:tcPr>
          <w:p>
            <w:pPr>
              <w:spacing w:after="0"/>
              <w:rPr>
                <w:sz w:val="23"/>
                <w:szCs w:val="23"/>
                <w:color w:val="auto"/>
              </w:rPr>
            </w:pPr>
          </w:p>
        </w:tc>
        <w:tc>
          <w:tcPr>
            <w:tcW w:w="960" w:type="dxa"/>
            <w:vAlign w:val="bottom"/>
            <w:gridSpan w:val="2"/>
          </w:tcPr>
          <w:p>
            <w:pPr>
              <w:jc w:val="right"/>
              <w:ind w:right="73"/>
              <w:spacing w:after="0"/>
              <w:rPr>
                <w:sz w:val="20"/>
                <w:szCs w:val="20"/>
                <w:color w:val="auto"/>
              </w:rPr>
            </w:pPr>
            <w:r>
              <w:rPr>
                <w:rFonts w:ascii="Arial" w:cs="Arial" w:eastAsia="Arial" w:hAnsi="Arial"/>
                <w:sz w:val="18"/>
                <w:szCs w:val="18"/>
                <w:color w:val="auto"/>
                <w:w w:val="97"/>
              </w:rPr>
              <w:t>1,149,096</w:t>
            </w: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24"/>
        </w:trPr>
        <w:tc>
          <w:tcPr>
            <w:tcW w:w="2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6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98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86"/>
              </w:rPr>
              <w:t>$1,011,597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263,669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198,481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405,674</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773,621</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(33,144)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(66,783)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(99,027)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(33,767)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(13,850)</w:t>
            </w: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64"/>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(750,234)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3"/>
              </w:rPr>
              <w:t>(123,192)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(54,808)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(195,686)</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(25,127)</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(41,269)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62,818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107,905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(33,767)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(13,850)</w:t>
            </w: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24"/>
        </w:trPr>
        <w:tc>
          <w:tcPr>
            <w:tcW w:w="2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Store Data (unaudited):</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Comparable sales increase (decrease)</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Number of stores at end of period</w:t>
            </w:r>
          </w:p>
        </w:tc>
        <w:tc>
          <w:tcPr>
            <w:tcW w:w="10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259</w:t>
            </w: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24"/>
        </w:trPr>
        <w:tc>
          <w:tcPr>
            <w:tcW w:w="2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 (unaudited):</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54"/>
        </w:trPr>
        <w:tc>
          <w:tcPr>
            <w:tcW w:w="2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24"/>
        </w:trPr>
        <w:tc>
          <w:tcPr>
            <w:tcW w:w="29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607,023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322,814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300,259</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595,409</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282,902</w:t>
            </w:r>
          </w:p>
        </w:tc>
      </w:tr>
      <w:tr>
        <w:trPr>
          <w:trHeight w:val="324"/>
        </w:trPr>
        <w:tc>
          <w:tcPr>
            <w:tcW w:w="2920" w:type="dxa"/>
            <w:vAlign w:val="bottom"/>
          </w:tcPr>
          <w:p>
            <w:pPr>
              <w:ind w:left="20"/>
              <w:spacing w:after="0" w:line="324"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9"/>
                <w:szCs w:val="29"/>
                <w:color w:val="auto"/>
                <w:vertAlign w:val="superscript"/>
              </w:rPr>
              <w:t>(3)</w:t>
            </w:r>
          </w:p>
        </w:tc>
        <w:tc>
          <w:tcPr>
            <w:tcW w:w="100" w:type="dxa"/>
            <w:vAlign w:val="bottom"/>
          </w:tcPr>
          <w:p>
            <w:pPr>
              <w:spacing w:after="0"/>
              <w:rPr>
                <w:sz w:val="24"/>
                <w:szCs w:val="24"/>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384,536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101,469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55,405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407,081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w w:val="98"/>
              </w:rPr>
              <w:t>179,106</w:t>
            </w:r>
          </w:p>
        </w:tc>
      </w:tr>
      <w:tr>
        <w:trPr>
          <w:trHeight w:val="324"/>
        </w:trPr>
        <w:tc>
          <w:tcPr>
            <w:tcW w:w="292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978,453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196,886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99,454</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371,907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8"/>
              </w:rPr>
              <w:t>759,771</w:t>
            </w:r>
          </w:p>
        </w:tc>
      </w:tr>
    </w:tbl>
    <w:p>
      <w:pPr>
        <w:spacing w:after="0" w:line="346" w:lineRule="exact"/>
        <w:rPr>
          <w:sz w:val="20"/>
          <w:szCs w:val="20"/>
          <w:color w:val="auto"/>
        </w:rPr>
      </w:pPr>
    </w:p>
    <w:p>
      <w:pPr>
        <w:ind w:left="660" w:right="319" w:hanging="350"/>
        <w:spacing w:after="0" w:line="244"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first half 2020 and in 2019, we repurchased principal on our 2015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connection with the Refinancing Transaction, we repaid in full outstanding borrowings under our 2015 Term Loan Facility, in the amount of $1,431.4 million and recognized a non-cash loss on early retirement of debt of $4.2 million from the write-off of deferred loan costs and expenses related to the original issuance discount associated with our 2015 Term Loan Facility. In first half of 2021, we recognized a non-cash loss on early retirement of debt of $2.2 million from the write-off of deferred loan costs and expense related to the original issuance discount associated with our Term Loan Facility.</w:t>
      </w:r>
    </w:p>
    <w:p>
      <w:pPr>
        <w:spacing w:after="0" w:line="22" w:lineRule="exact"/>
        <w:rPr>
          <w:rFonts w:ascii="Arial" w:cs="Arial" w:eastAsia="Arial" w:hAnsi="Arial"/>
          <w:sz w:val="13"/>
          <w:szCs w:val="13"/>
          <w:color w:val="auto"/>
        </w:rPr>
      </w:pPr>
    </w:p>
    <w:p>
      <w:pPr>
        <w:ind w:left="660" w:right="499" w:hanging="350"/>
        <w:spacing w:after="0" w:line="248"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w:t>
      </w:r>
    </w:p>
    <w:p>
      <w:pPr>
        <w:ind w:left="660"/>
        <w:spacing w:after="0"/>
        <w:rPr>
          <w:rFonts w:ascii="Arial" w:cs="Arial" w:eastAsia="Arial" w:hAnsi="Arial"/>
          <w:sz w:val="13"/>
          <w:szCs w:val="13"/>
          <w:color w:val="auto"/>
        </w:rPr>
      </w:pPr>
      <w:r>
        <w:rPr>
          <w:rFonts w:ascii="Arial" w:cs="Arial" w:eastAsia="Arial" w:hAnsi="Arial"/>
          <w:sz w:val="14"/>
          <w:szCs w:val="14"/>
          <w:color w:val="auto"/>
        </w:rPr>
        <w:t>$1.2 billion between current lease liabilities and long-term lease liabilities included on the balance sheet as of February 3, 2019.</w:t>
      </w:r>
    </w:p>
    <w:p>
      <w:pPr>
        <w:spacing w:after="0" w:line="29" w:lineRule="exact"/>
        <w:rPr>
          <w:rFonts w:ascii="Arial" w:cs="Arial" w:eastAsia="Arial" w:hAnsi="Arial"/>
          <w:sz w:val="13"/>
          <w:szCs w:val="13"/>
          <w:color w:val="auto"/>
        </w:rPr>
      </w:pPr>
    </w:p>
    <w:p>
      <w:pPr>
        <w:ind w:left="660" w:right="339" w:hanging="350"/>
        <w:spacing w:after="0" w:line="243"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define Adjusted EBITDA as net income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payroll taxes associated with the 2021 Vesting Event and other adjustments. We describe these adjustments reconciling net income to Adjusted EBITDA in the applicable table below. We define Adjusted Net Income as net income,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payroll taxes associated with the 2021 Vesting Event and other adjustments, less the tax effect of these adjustments. We describe these adjustments reconciling net income to Adjusted Net Income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22" w:lineRule="exact"/>
        <w:rPr>
          <w:rFonts w:ascii="Arial" w:cs="Arial" w:eastAsia="Arial" w:hAnsi="Arial"/>
          <w:sz w:val="13"/>
          <w:szCs w:val="13"/>
          <w:color w:val="auto"/>
        </w:rPr>
      </w:pPr>
    </w:p>
    <w:p>
      <w:pPr>
        <w:ind w:left="660" w:right="279"/>
        <w:spacing w:after="0" w:line="244" w:lineRule="auto"/>
        <w:rPr>
          <w:rFonts w:ascii="Arial" w:cs="Arial" w:eastAsia="Arial" w:hAnsi="Arial"/>
          <w:sz w:val="13"/>
          <w:szCs w:val="13"/>
          <w:color w:val="auto"/>
        </w:rPr>
      </w:pPr>
      <w:r>
        <w:rPr>
          <w:rFonts w:ascii="Arial" w:cs="Arial" w:eastAsia="Arial" w:hAnsi="Arial"/>
          <w:sz w:val="13"/>
          <w:szCs w:val="13"/>
          <w:color w:val="auto"/>
        </w:rPr>
        <w:t>Adjusted EBITDA, Adjusted Net Income and Adjusted Free Cash Flow have been presented in this prospectus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sectPr>
          <w:pgSz w:w="11900" w:h="16838" w:orient="portrait"/>
          <w:cols w:equalWidth="0" w:num="1">
            <w:col w:w="9019"/>
          </w:cols>
          <w:pgMar w:left="1440" w:top="265" w:right="1440" w:bottom="939"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39" w:gutter="0" w:footer="0" w:header="0"/>
          <w:type w:val="continuous"/>
        </w:sectPr>
      </w:pPr>
    </w:p>
    <w:bookmarkStart w:id="21" w:name="page22"/>
    <w:bookmarkEnd w:id="21"/>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436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74364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60" w:right="1320"/>
        <w:spacing w:after="0" w:line="243" w:lineRule="auto"/>
        <w:rPr>
          <w:sz w:val="20"/>
          <w:szCs w:val="20"/>
          <w:color w:val="auto"/>
        </w:rPr>
      </w:pPr>
      <w:r>
        <w:rPr>
          <w:rFonts w:ascii="Arial" w:cs="Arial" w:eastAsia="Arial" w:hAnsi="Arial"/>
          <w:sz w:val="13"/>
          <w:szCs w:val="13"/>
          <w:color w:val="auto"/>
        </w:rPr>
        <w:t>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should not be construed to imply that our future results will be unaffected by unusual or non-recurring items. In evaluating Adjusted EBITDA, Adjusted Net Income and Adjusted Free Cash Flow, you should be aware that in the future we may incur expenses that are the same as or similar to some of the adjustments in this presentation. Our presentation of Adjusted EBITDA, Adjusted Net Income and Adjusted Free Cash Flow should not be construed to imply that our future results will be unaffected by any such adjustments. Management compensates for these limitations by primarily relying on our GAAP results in addition to using Adjusted EBITDA, Adjusted Net Income and Adjusted Free Cash Flow supplementally.</w:t>
      </w:r>
    </w:p>
    <w:p>
      <w:pPr>
        <w:spacing w:after="0" w:line="20" w:lineRule="exact"/>
        <w:rPr>
          <w:sz w:val="20"/>
          <w:szCs w:val="20"/>
          <w:color w:val="auto"/>
        </w:rPr>
      </w:pPr>
    </w:p>
    <w:p>
      <w:pPr>
        <w:ind w:left="1660" w:right="1420"/>
        <w:spacing w:after="0" w:line="281" w:lineRule="auto"/>
        <w:rPr>
          <w:sz w:val="20"/>
          <w:szCs w:val="20"/>
          <w:color w:val="auto"/>
        </w:rPr>
      </w:pPr>
      <w:r>
        <w:rPr>
          <w:rFonts w:ascii="Arial" w:cs="Arial" w:eastAsia="Arial" w:hAnsi="Arial"/>
          <w:sz w:val="13"/>
          <w:szCs w:val="13"/>
          <w:color w:val="auto"/>
        </w:rPr>
        <w:t>Our Adjusted EBITDA, Adjusted Net Income and Adjusted Free Cash Flow measures have limitations as analytical tools, and you should not consider them in isolation, or as a substitute for analysis of our results as reported under GAAP. Some of these limitations are:</w:t>
      </w:r>
    </w:p>
    <w:p>
      <w:pPr>
        <w:spacing w:after="0" w:line="1" w:lineRule="exact"/>
        <w:rPr>
          <w:sz w:val="20"/>
          <w:szCs w:val="20"/>
          <w:color w:val="auto"/>
        </w:rPr>
      </w:pPr>
    </w:p>
    <w:p>
      <w:pPr>
        <w:ind w:left="2020" w:hanging="350"/>
        <w:spacing w:after="0"/>
        <w:tabs>
          <w:tab w:leader="none" w:pos="2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costs or cash outlays for capital expenditures or contractual commitments;</w:t>
      </w:r>
    </w:p>
    <w:p>
      <w:pPr>
        <w:spacing w:after="0" w:line="41" w:lineRule="exact"/>
        <w:rPr>
          <w:rFonts w:ascii="Arial" w:cs="Arial" w:eastAsia="Arial" w:hAnsi="Arial"/>
          <w:sz w:val="14"/>
          <w:szCs w:val="14"/>
          <w:color w:val="auto"/>
        </w:rPr>
      </w:pPr>
    </w:p>
    <w:p>
      <w:pPr>
        <w:ind w:left="2020" w:hanging="350"/>
        <w:spacing w:after="0"/>
        <w:tabs>
          <w:tab w:leader="none" w:pos="2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changes in, or cash requirements for, our working capital needs;</w:t>
      </w:r>
    </w:p>
    <w:p>
      <w:pPr>
        <w:spacing w:after="0" w:line="41" w:lineRule="exact"/>
        <w:rPr>
          <w:rFonts w:ascii="Arial" w:cs="Arial" w:eastAsia="Arial" w:hAnsi="Arial"/>
          <w:sz w:val="14"/>
          <w:szCs w:val="14"/>
          <w:color w:val="auto"/>
        </w:rPr>
      </w:pPr>
    </w:p>
    <w:p>
      <w:pPr>
        <w:ind w:left="2020" w:right="1300" w:hanging="350"/>
        <w:spacing w:after="0" w:line="305" w:lineRule="auto"/>
        <w:tabs>
          <w:tab w:leader="none" w:pos="2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ind w:left="2020" w:hanging="350"/>
        <w:spacing w:after="0"/>
        <w:tabs>
          <w:tab w:leader="none" w:pos="2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EBITDA does not reflect period to period changes in taxes, income tax expense or the cash necessary to pay income taxes;</w:t>
      </w:r>
    </w:p>
    <w:p>
      <w:pPr>
        <w:spacing w:after="0" w:line="41" w:lineRule="exact"/>
        <w:rPr>
          <w:rFonts w:ascii="Arial" w:cs="Arial" w:eastAsia="Arial" w:hAnsi="Arial"/>
          <w:sz w:val="14"/>
          <w:szCs w:val="14"/>
          <w:color w:val="auto"/>
        </w:rPr>
      </w:pPr>
    </w:p>
    <w:p>
      <w:pPr>
        <w:ind w:left="2020" w:right="1400" w:hanging="350"/>
        <w:spacing w:after="0" w:line="253" w:lineRule="auto"/>
        <w:tabs>
          <w:tab w:leader="none" w:pos="2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the impact of earnings or charges resulting from matters we consider not to be indicative of our ongoing operations;</w:t>
      </w:r>
    </w:p>
    <w:p>
      <w:pPr>
        <w:spacing w:after="0" w:line="11" w:lineRule="exact"/>
        <w:rPr>
          <w:rFonts w:ascii="Arial" w:cs="Arial" w:eastAsia="Arial" w:hAnsi="Arial"/>
          <w:sz w:val="14"/>
          <w:szCs w:val="14"/>
          <w:color w:val="auto"/>
        </w:rPr>
      </w:pPr>
    </w:p>
    <w:p>
      <w:pPr>
        <w:ind w:left="2020" w:right="1400" w:hanging="350"/>
        <w:spacing w:after="0" w:line="238" w:lineRule="auto"/>
        <w:tabs>
          <w:tab w:leader="none" w:pos="2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20" w:lineRule="exact"/>
        <w:rPr>
          <w:rFonts w:ascii="Arial" w:cs="Arial" w:eastAsia="Arial" w:hAnsi="Arial"/>
          <w:sz w:val="14"/>
          <w:szCs w:val="14"/>
          <w:color w:val="auto"/>
        </w:rPr>
      </w:pPr>
    </w:p>
    <w:p>
      <w:pPr>
        <w:ind w:left="2020" w:right="1760" w:hanging="350"/>
        <w:spacing w:after="0" w:line="253" w:lineRule="auto"/>
        <w:tabs>
          <w:tab w:leader="none" w:pos="2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companies in our industry may calculate these measures differently than we do, limiting their usefulness as comparative measures.</w:t>
      </w:r>
    </w:p>
    <w:p>
      <w:pPr>
        <w:spacing w:after="0" w:line="12" w:lineRule="exact"/>
        <w:rPr>
          <w:sz w:val="20"/>
          <w:szCs w:val="20"/>
          <w:color w:val="auto"/>
        </w:rPr>
      </w:pPr>
    </w:p>
    <w:p>
      <w:pPr>
        <w:ind w:left="1660" w:right="1340"/>
        <w:spacing w:after="0" w:line="253" w:lineRule="auto"/>
        <w:rPr>
          <w:sz w:val="20"/>
          <w:szCs w:val="20"/>
          <w:color w:val="auto"/>
        </w:rPr>
      </w:pPr>
      <w:r>
        <w:rPr>
          <w:rFonts w:ascii="Arial" w:cs="Arial" w:eastAsia="Arial" w:hAnsi="Arial"/>
          <w:sz w:val="14"/>
          <w:szCs w:val="14"/>
          <w:color w:val="auto"/>
        </w:rPr>
        <w:t>Because of these limitations, Adjusted EBITDA, Adjusted Net Income and Adjusted Free Cash Flow should not be considered as measures of discretionary cash available to invest in business growth or to reduce indebtedness.</w:t>
      </w:r>
    </w:p>
    <w:p>
      <w:pPr>
        <w:spacing w:after="0" w:line="70" w:lineRule="exact"/>
        <w:rPr>
          <w:sz w:val="20"/>
          <w:szCs w:val="20"/>
          <w:color w:val="auto"/>
        </w:rPr>
      </w:pPr>
    </w:p>
    <w:p>
      <w:pPr>
        <w:ind w:left="1320" w:right="1400" w:firstLine="360"/>
        <w:spacing w:after="0" w:line="277" w:lineRule="auto"/>
        <w:rPr>
          <w:sz w:val="20"/>
          <w:szCs w:val="20"/>
          <w:color w:val="auto"/>
        </w:rPr>
      </w:pPr>
      <w:r>
        <w:rPr>
          <w:rFonts w:ascii="Arial" w:cs="Arial" w:eastAsia="Arial" w:hAnsi="Arial"/>
          <w:sz w:val="18"/>
          <w:szCs w:val="18"/>
          <w:color w:val="auto"/>
        </w:rPr>
        <w:t>The following tables provide reconciliations of net income to Adjusted EBITDA and Adjusted Net Income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80" w:type="dxa"/>
            <w:vAlign w:val="bottom"/>
            <w:gridSpan w:val="6"/>
          </w:tcPr>
          <w:p>
            <w:pPr>
              <w:spacing w:after="0"/>
              <w:rPr>
                <w:sz w:val="20"/>
                <w:szCs w:val="20"/>
                <w:color w:val="auto"/>
              </w:rPr>
            </w:pPr>
            <w:r>
              <w:rPr>
                <w:rFonts w:ascii="Arial" w:cs="Arial" w:eastAsia="Arial" w:hAnsi="Arial"/>
                <w:sz w:val="14"/>
                <w:szCs w:val="14"/>
                <w:b w:val="1"/>
                <w:bCs w:val="1"/>
                <w:color w:val="auto"/>
              </w:rPr>
              <w:t>Twenty-Six Weeks Ended</w:t>
            </w: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January 30,</w:t>
            </w:r>
          </w:p>
        </w:tc>
        <w:tc>
          <w:tcPr>
            <w:tcW w:w="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February 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w:t>
            </w:r>
          </w:p>
        </w:tc>
        <w:tc>
          <w:tcPr>
            <w:tcW w:w="20" w:type="dxa"/>
            <w:vAlign w:val="bottom"/>
          </w:tcPr>
          <w:p>
            <w:pPr>
              <w:spacing w:after="0"/>
              <w:rPr>
                <w:sz w:val="16"/>
                <w:szCs w:val="16"/>
                <w:color w:val="auto"/>
              </w:rPr>
            </w:pPr>
          </w:p>
        </w:tc>
        <w:tc>
          <w:tcPr>
            <w:tcW w:w="2020" w:type="dxa"/>
            <w:vAlign w:val="bottom"/>
            <w:gridSpan w:val="3"/>
          </w:tcPr>
          <w:p>
            <w:pPr>
              <w:ind w:left="40"/>
              <w:spacing w:after="0"/>
              <w:rPr>
                <w:sz w:val="20"/>
                <w:szCs w:val="20"/>
                <w:color w:val="auto"/>
              </w:rPr>
            </w:pPr>
            <w:r>
              <w:rPr>
                <w:rFonts w:ascii="Arial" w:cs="Arial" w:eastAsia="Arial" w:hAnsi="Arial"/>
                <w:sz w:val="14"/>
                <w:szCs w:val="14"/>
                <w:b w:val="1"/>
                <w:bCs w:val="1"/>
                <w:color w:val="auto"/>
              </w:rPr>
              <w:t>August 1,</w:t>
            </w: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72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7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2"/>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$308,764</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3"/>
              </w:rPr>
              <w:t>$120,043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$ 21,442</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$368,306</w:t>
            </w:r>
          </w:p>
        </w:tc>
        <w:tc>
          <w:tcPr>
            <w:tcW w:w="16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$157,656</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86,514</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101,307</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108,652</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26,706</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48,088</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30,356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2,817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97,513</w:t>
            </w:r>
          </w:p>
        </w:tc>
        <w:tc>
          <w:tcPr>
            <w:tcW w:w="16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1,518</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amortization and impairment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105,481</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117,254</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134,190</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51,308</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54,151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ind w:left="20"/>
              <w:spacing w:after="0" w:line="324" w:lineRule="exact"/>
              <w:rPr>
                <w:sz w:val="20"/>
                <w:szCs w:val="20"/>
                <w:color w:val="auto"/>
              </w:rPr>
            </w:pPr>
            <w:r>
              <w:rPr>
                <w:rFonts w:ascii="Arial" w:cs="Arial" w:eastAsia="Arial" w:hAnsi="Arial"/>
                <w:sz w:val="18"/>
                <w:szCs w:val="18"/>
                <w:color w:val="auto"/>
              </w:rPr>
              <w:t>Consulting fees</w:t>
            </w:r>
            <w:r>
              <w:rPr>
                <w:rFonts w:ascii="Arial" w:cs="Arial" w:eastAsia="Arial" w:hAnsi="Arial"/>
                <w:sz w:val="29"/>
                <w:szCs w:val="29"/>
                <w:color w:val="auto"/>
                <w:vertAlign w:val="superscript"/>
              </w:rPr>
              <w:t>(a)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3,601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Adviser monitoring fee</w:t>
            </w:r>
            <w:r>
              <w:rPr>
                <w:rFonts w:ascii="Arial" w:cs="Arial" w:eastAsia="Arial" w:hAnsi="Arial"/>
                <w:sz w:val="29"/>
                <w:szCs w:val="29"/>
                <w:color w:val="auto"/>
                <w:vertAlign w:val="superscript"/>
              </w:rPr>
              <w:t>(b)</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ind w:left="20"/>
              <w:spacing w:after="0" w:line="324"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9"/>
                <w:szCs w:val="29"/>
                <w:color w:val="auto"/>
                <w:vertAlign w:val="superscript"/>
              </w:rPr>
              <w:t>(c)</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31,617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7,881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4,633</w:t>
            </w: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33,205</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3,690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(42,265)</w:t>
            </w: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ind w:left="20"/>
              <w:spacing w:after="0" w:line="324" w:lineRule="exact"/>
              <w:rPr>
                <w:sz w:val="20"/>
                <w:szCs w:val="20"/>
                <w:color w:val="auto"/>
              </w:rPr>
            </w:pPr>
            <w:r>
              <w:rPr>
                <w:rFonts w:ascii="Arial" w:cs="Arial" w:eastAsia="Arial" w:hAnsi="Arial"/>
                <w:sz w:val="18"/>
                <w:szCs w:val="18"/>
                <w:color w:val="auto"/>
              </w:rPr>
              <w:t>Severance and executive transition costs</w:t>
            </w:r>
            <w:r>
              <w:rPr>
                <w:rFonts w:ascii="Arial" w:cs="Arial" w:eastAsia="Arial" w:hAnsi="Arial"/>
                <w:sz w:val="29"/>
                <w:szCs w:val="29"/>
                <w:color w:val="auto"/>
                <w:vertAlign w:val="superscript"/>
              </w:rPr>
              <w:t>(d)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6,571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4,137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Costs related to the COVID-19 pandemic</w:t>
            </w:r>
            <w:r>
              <w:rPr>
                <w:rFonts w:ascii="Arial" w:cs="Arial" w:eastAsia="Arial" w:hAnsi="Arial"/>
                <w:sz w:val="29"/>
                <w:szCs w:val="29"/>
                <w:color w:val="auto"/>
                <w:vertAlign w:val="superscript"/>
              </w:rPr>
              <w:t>(e)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6"/>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Inventory write-down adjustments associated with</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9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ind w:left="180"/>
              <w:spacing w:after="0" w:line="294" w:lineRule="exact"/>
              <w:rPr>
                <w:sz w:val="20"/>
                <w:szCs w:val="20"/>
                <w:color w:val="auto"/>
              </w:rPr>
            </w:pPr>
            <w:r>
              <w:rPr>
                <w:rFonts w:ascii="Arial" w:cs="Arial" w:eastAsia="Arial" w:hAnsi="Arial"/>
                <w:sz w:val="18"/>
                <w:szCs w:val="18"/>
                <w:color w:val="auto"/>
              </w:rPr>
              <w:t>strategic merchandising initiative</w:t>
            </w:r>
            <w:r>
              <w:rPr>
                <w:rFonts w:ascii="Arial" w:cs="Arial" w:eastAsia="Arial" w:hAnsi="Arial"/>
                <w:sz w:val="29"/>
                <w:szCs w:val="29"/>
                <w:color w:val="auto"/>
                <w:vertAlign w:val="superscript"/>
              </w:rPr>
              <w:t>(f)</w:t>
            </w:r>
          </w:p>
        </w:tc>
        <w:tc>
          <w:tcPr>
            <w:tcW w:w="4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18,225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2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Payroll taxes associated with the 2021 Vesting Event</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15,418</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60" w:type="dxa"/>
            <w:vAlign w:val="bottom"/>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(g)</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8,592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7,111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2,345</w:t>
            </w:r>
          </w:p>
        </w:tc>
        <w:tc>
          <w:tcPr>
            <w:tcW w:w="1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1,929</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607,023</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322,814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300,259</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595,409</w:t>
            </w:r>
          </w:p>
        </w:tc>
        <w:tc>
          <w:tcPr>
            <w:tcW w:w="160" w:type="dxa"/>
            <w:vAlign w:val="bottom"/>
            <w:shd w:val="clear" w:color="auto" w:fill="CCEEFF"/>
          </w:tcPr>
          <w:p>
            <w:pPr>
              <w:spacing w:after="0"/>
              <w:rPr>
                <w:sz w:val="24"/>
                <w:szCs w:val="24"/>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282,902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20" w:type="dxa"/>
            <w:vAlign w:val="bottom"/>
            <w:gridSpan w:val="2"/>
          </w:tcPr>
          <w:p>
            <w:pPr>
              <w:jc w:val="right"/>
              <w:ind w:right="39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22" w:name="page23"/>
    <w:bookmarkEnd w:id="22"/>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92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3"/>
              </w:rPr>
              <w:t>Twenty-Six Weeks Ended</w:t>
            </w:r>
          </w:p>
        </w:tc>
      </w:tr>
      <w:tr>
        <w:trPr>
          <w:trHeight w:val="53"/>
        </w:trPr>
        <w:tc>
          <w:tcPr>
            <w:tcW w:w="39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187"/>
        </w:trPr>
        <w:tc>
          <w:tcPr>
            <w:tcW w:w="398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January 30,</w:t>
            </w:r>
          </w:p>
        </w:tc>
        <w:tc>
          <w:tcPr>
            <w:tcW w:w="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February 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February 2,</w:t>
            </w:r>
          </w:p>
        </w:tc>
        <w:tc>
          <w:tcPr>
            <w:tcW w:w="40" w:type="dxa"/>
            <w:vAlign w:val="bottom"/>
          </w:tcPr>
          <w:p>
            <w:pPr>
              <w:spacing w:after="0"/>
              <w:rPr>
                <w:sz w:val="16"/>
                <w:szCs w:val="16"/>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July 31,</w:t>
            </w:r>
          </w:p>
        </w:tc>
        <w:tc>
          <w:tcPr>
            <w:tcW w:w="40" w:type="dxa"/>
            <w:vAlign w:val="bottom"/>
          </w:tcPr>
          <w:p>
            <w:pPr>
              <w:spacing w:after="0"/>
              <w:rPr>
                <w:sz w:val="16"/>
                <w:szCs w:val="16"/>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August 1,</w:t>
            </w:r>
          </w:p>
        </w:tc>
      </w:tr>
      <w:tr>
        <w:trPr>
          <w:trHeight w:val="186"/>
        </w:trPr>
        <w:tc>
          <w:tcPr>
            <w:tcW w:w="3980" w:type="dxa"/>
            <w:vAlign w:val="bottom"/>
          </w:tcPr>
          <w:p>
            <w:pPr>
              <w:spacing w:after="0"/>
              <w:rPr>
                <w:sz w:val="16"/>
                <w:szCs w:val="16"/>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3"/>
        </w:trPr>
        <w:tc>
          <w:tcPr>
            <w:tcW w:w="39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9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 thousands, except per share data)</w:t>
            </w: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$308,764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3"/>
              </w:rPr>
              <w:t>$120,043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$21,442</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$368,306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3"/>
              </w:rPr>
              <w:t>$157,656</w:t>
            </w:r>
          </w:p>
        </w:tc>
        <w:tc>
          <w:tcPr>
            <w:tcW w:w="40" w:type="dxa"/>
            <w:vAlign w:val="bottom"/>
          </w:tcPr>
          <w:p>
            <w:pPr>
              <w:spacing w:after="0"/>
              <w:rPr>
                <w:sz w:val="23"/>
                <w:szCs w:val="23"/>
                <w:color w:val="auto"/>
              </w:rPr>
            </w:pPr>
          </w:p>
        </w:tc>
      </w:tr>
      <w:tr>
        <w:trPr>
          <w:trHeight w:val="54"/>
        </w:trPr>
        <w:tc>
          <w:tcPr>
            <w:tcW w:w="39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39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Consulting fees</w:t>
            </w:r>
            <w:r>
              <w:rPr>
                <w:rFonts w:ascii="Arial" w:cs="Arial" w:eastAsia="Arial" w:hAnsi="Arial"/>
                <w:sz w:val="29"/>
                <w:szCs w:val="29"/>
                <w:color w:val="auto"/>
                <w:vertAlign w:val="superscript"/>
              </w:rPr>
              <w:t>(a)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24"/>
                <w:szCs w:val="24"/>
                <w:color w:val="auto"/>
              </w:rPr>
            </w:pPr>
          </w:p>
        </w:tc>
      </w:tr>
      <w:tr>
        <w:trPr>
          <w:trHeight w:val="324"/>
        </w:trPr>
        <w:tc>
          <w:tcPr>
            <w:tcW w:w="3980" w:type="dxa"/>
            <w:vAlign w:val="bottom"/>
          </w:tcPr>
          <w:p>
            <w:pPr>
              <w:ind w:left="20"/>
              <w:spacing w:after="0" w:line="324" w:lineRule="exact"/>
              <w:rPr>
                <w:sz w:val="20"/>
                <w:szCs w:val="20"/>
                <w:color w:val="auto"/>
              </w:rPr>
            </w:pPr>
            <w:r>
              <w:rPr>
                <w:rFonts w:ascii="Arial" w:cs="Arial" w:eastAsia="Arial" w:hAnsi="Arial"/>
                <w:sz w:val="18"/>
                <w:szCs w:val="18"/>
                <w:color w:val="auto"/>
              </w:rPr>
              <w:t>Adviser monitoring fee</w:t>
            </w:r>
            <w:r>
              <w:rPr>
                <w:rFonts w:ascii="Arial" w:cs="Arial" w:eastAsia="Arial" w:hAnsi="Arial"/>
                <w:sz w:val="29"/>
                <w:szCs w:val="29"/>
                <w:color w:val="auto"/>
                <w:vertAlign w:val="superscript"/>
              </w:rPr>
              <w:t>(b)</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14,793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3,636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3,522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1,840</w:t>
            </w:r>
          </w:p>
        </w:tc>
        <w:tc>
          <w:tcPr>
            <w:tcW w:w="40" w:type="dxa"/>
            <w:vAlign w:val="bottom"/>
          </w:tcPr>
          <w:p>
            <w:pPr>
              <w:spacing w:after="0"/>
              <w:rPr>
                <w:sz w:val="24"/>
                <w:szCs w:val="24"/>
                <w:color w:val="auto"/>
              </w:rPr>
            </w:pPr>
          </w:p>
        </w:tc>
      </w:tr>
      <w:tr>
        <w:trPr>
          <w:trHeight w:val="324"/>
        </w:trPr>
        <w:tc>
          <w:tcPr>
            <w:tcW w:w="39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9"/>
                <w:szCs w:val="29"/>
                <w:color w:val="auto"/>
                <w:vertAlign w:val="superscript"/>
              </w:rPr>
              <w:t>(c)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4,633</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40" w:type="dxa"/>
            <w:vAlign w:val="bottom"/>
            <w:shd w:val="clear" w:color="auto" w:fill="CCEEFF"/>
          </w:tcPr>
          <w:p>
            <w:pPr>
              <w:spacing w:after="0"/>
              <w:rPr>
                <w:sz w:val="24"/>
                <w:szCs w:val="24"/>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(3,582)</w:t>
            </w:r>
          </w:p>
        </w:tc>
        <w:tc>
          <w:tcPr>
            <w:tcW w:w="16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(42,265)</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2,239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(7,831)</w:t>
            </w:r>
          </w:p>
        </w:tc>
      </w:tr>
      <w:tr>
        <w:trPr>
          <w:trHeight w:val="54"/>
        </w:trPr>
        <w:tc>
          <w:tcPr>
            <w:tcW w:w="39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39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Severance and executive transition costs</w:t>
            </w:r>
            <w:r>
              <w:rPr>
                <w:rFonts w:ascii="Arial" w:cs="Arial" w:eastAsia="Arial" w:hAnsi="Arial"/>
                <w:sz w:val="29"/>
                <w:szCs w:val="29"/>
                <w:color w:val="auto"/>
                <w:vertAlign w:val="superscript"/>
              </w:rPr>
              <w:t>(d)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4,350</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40" w:type="dxa"/>
            <w:vAlign w:val="bottom"/>
            <w:shd w:val="clear" w:color="auto" w:fill="CCEEFF"/>
          </w:tcPr>
          <w:p>
            <w:pPr>
              <w:spacing w:after="0"/>
              <w:rPr>
                <w:sz w:val="24"/>
                <w:szCs w:val="24"/>
                <w:color w:val="auto"/>
              </w:rPr>
            </w:pPr>
          </w:p>
        </w:tc>
      </w:tr>
      <w:tr>
        <w:trPr>
          <w:trHeight w:val="324"/>
        </w:trPr>
        <w:tc>
          <w:tcPr>
            <w:tcW w:w="3980" w:type="dxa"/>
            <w:vAlign w:val="bottom"/>
          </w:tcPr>
          <w:p>
            <w:pPr>
              <w:ind w:left="20"/>
              <w:spacing w:after="0" w:line="324" w:lineRule="exact"/>
              <w:rPr>
                <w:sz w:val="20"/>
                <w:szCs w:val="20"/>
                <w:color w:val="auto"/>
              </w:rPr>
            </w:pPr>
            <w:r>
              <w:rPr>
                <w:rFonts w:ascii="Arial" w:cs="Arial" w:eastAsia="Arial" w:hAnsi="Arial"/>
                <w:sz w:val="18"/>
                <w:szCs w:val="18"/>
                <w:color w:val="auto"/>
              </w:rPr>
              <w:t>Costs related to the COVID-19 pandemic</w:t>
            </w:r>
            <w:r>
              <w:rPr>
                <w:rFonts w:ascii="Arial" w:cs="Arial" w:eastAsia="Arial" w:hAnsi="Arial"/>
                <w:sz w:val="29"/>
                <w:szCs w:val="29"/>
                <w:color w:val="auto"/>
                <w:vertAlign w:val="superscript"/>
              </w:rPr>
              <w: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17,632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17,632</w:t>
            </w:r>
          </w:p>
        </w:tc>
        <w:tc>
          <w:tcPr>
            <w:tcW w:w="40" w:type="dxa"/>
            <w:vAlign w:val="bottom"/>
          </w:tcPr>
          <w:p>
            <w:pPr>
              <w:spacing w:after="0"/>
              <w:rPr>
                <w:sz w:val="24"/>
                <w:szCs w:val="24"/>
                <w:color w:val="auto"/>
              </w:rPr>
            </w:pPr>
          </w:p>
        </w:tc>
      </w:tr>
      <w:tr>
        <w:trPr>
          <w:trHeight w:val="24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Inventory write-down adjustments associated with</w:t>
            </w: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94"/>
        </w:trPr>
        <w:tc>
          <w:tcPr>
            <w:tcW w:w="3980" w:type="dxa"/>
            <w:vAlign w:val="bottom"/>
            <w:shd w:val="clear" w:color="auto" w:fill="CCEEFF"/>
          </w:tcPr>
          <w:p>
            <w:pPr>
              <w:ind w:left="180"/>
              <w:spacing w:after="0" w:line="294" w:lineRule="exact"/>
              <w:rPr>
                <w:sz w:val="20"/>
                <w:szCs w:val="20"/>
                <w:color w:val="auto"/>
              </w:rPr>
            </w:pPr>
            <w:r>
              <w:rPr>
                <w:rFonts w:ascii="Arial" w:cs="Arial" w:eastAsia="Arial" w:hAnsi="Arial"/>
                <w:sz w:val="18"/>
                <w:szCs w:val="18"/>
                <w:color w:val="auto"/>
              </w:rPr>
              <w:t>strategic merchandising initiative</w:t>
            </w:r>
            <w:r>
              <w:rPr>
                <w:rFonts w:ascii="Arial" w:cs="Arial" w:eastAsia="Arial" w:hAnsi="Arial"/>
                <w:sz w:val="29"/>
                <w:szCs w:val="29"/>
                <w:color w:val="auto"/>
                <w:vertAlign w:val="superscript"/>
              </w:rPr>
              <w:t>(f)</w:t>
            </w:r>
          </w:p>
        </w:tc>
        <w:tc>
          <w:tcPr>
            <w:tcW w:w="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9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w w:val="93"/>
              </w:rPr>
              <w:t>Payroll taxes associated with the 2021 Vesting Event</w:t>
            </w:r>
          </w:p>
        </w:tc>
        <w:tc>
          <w:tcPr>
            <w:tcW w:w="40" w:type="dxa"/>
            <w:vAlign w:val="bottom"/>
          </w:tcPr>
          <w:p>
            <w:pPr>
              <w:spacing w:after="0"/>
              <w:rPr>
                <w:sz w:val="23"/>
                <w:szCs w:val="23"/>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39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39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2,345</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40" w:type="dxa"/>
            <w:vAlign w:val="bottom"/>
            <w:shd w:val="clear" w:color="auto" w:fill="CCEEFF"/>
          </w:tcPr>
          <w:p>
            <w:pPr>
              <w:spacing w:after="0"/>
              <w:rPr>
                <w:sz w:val="24"/>
                <w:szCs w:val="24"/>
                <w:color w:val="auto"/>
              </w:rPr>
            </w:pPr>
          </w:p>
        </w:tc>
      </w:tr>
      <w:tr>
        <w:trPr>
          <w:trHeight w:val="257"/>
        </w:trPr>
        <w:tc>
          <w:tcPr>
            <w:tcW w:w="3980" w:type="dxa"/>
            <w:vAlign w:val="bottom"/>
          </w:tcPr>
          <w:p>
            <w:pPr>
              <w:ind w:left="20"/>
              <w:spacing w:after="0" w:line="256" w:lineRule="exact"/>
              <w:rPr>
                <w:sz w:val="20"/>
                <w:szCs w:val="20"/>
                <w:color w:val="auto"/>
              </w:rPr>
            </w:pPr>
            <w:r>
              <w:rPr>
                <w:rFonts w:ascii="Arial" w:cs="Arial" w:eastAsia="Arial" w:hAnsi="Arial"/>
                <w:sz w:val="18"/>
                <w:szCs w:val="18"/>
                <w:color w:val="auto"/>
              </w:rPr>
              <w:t>Tax effects of these adjustments</w:t>
            </w:r>
            <w:r>
              <w:rPr>
                <w:rFonts w:ascii="Arial" w:cs="Arial" w:eastAsia="Arial" w:hAnsi="Arial"/>
                <w:sz w:val="29"/>
                <w:szCs w:val="29"/>
                <w:color w:val="auto"/>
                <w:vertAlign w:val="superscript"/>
              </w:rPr>
              <w:t>(h)</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2"/>
                <w:szCs w:val="22"/>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(12,801)</w:t>
            </w:r>
          </w:p>
        </w:tc>
        <w:tc>
          <w:tcPr>
            <w:tcW w:w="16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(39)</w:t>
            </w:r>
          </w:p>
        </w:tc>
      </w:tr>
      <w:tr>
        <w:trPr>
          <w:trHeight w:val="61"/>
        </w:trPr>
        <w:tc>
          <w:tcPr>
            <w:tcW w:w="3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9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384,536</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101,469</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55,405</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407,081</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179,106</w:t>
            </w:r>
          </w:p>
        </w:tc>
        <w:tc>
          <w:tcPr>
            <w:tcW w:w="40" w:type="dxa"/>
            <w:vAlign w:val="bottom"/>
            <w:shd w:val="clear" w:color="auto" w:fill="CCEEFF"/>
          </w:tcPr>
          <w:p>
            <w:pPr>
              <w:spacing w:after="0"/>
              <w:rPr>
                <w:sz w:val="24"/>
                <w:szCs w:val="24"/>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left="1660" w:hanging="350"/>
        <w:spacing w:after="0"/>
        <w:tabs>
          <w:tab w:leader="none" w:pos="1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outside consulting fees associated with our strategic cost savings and business optimization initiatives.</w:t>
      </w:r>
    </w:p>
    <w:p>
      <w:pPr>
        <w:spacing w:after="0" w:line="41" w:lineRule="exact"/>
        <w:rPr>
          <w:rFonts w:ascii="Arial" w:cs="Arial" w:eastAsia="Arial" w:hAnsi="Arial"/>
          <w:sz w:val="14"/>
          <w:szCs w:val="14"/>
          <w:color w:val="auto"/>
        </w:rPr>
      </w:pPr>
    </w:p>
    <w:p>
      <w:pPr>
        <w:ind w:left="1660" w:right="1340" w:hanging="350"/>
        <w:spacing w:after="0" w:line="238" w:lineRule="auto"/>
        <w:tabs>
          <w:tab w:leader="none" w:pos="1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our contractual payments under our Monitoring Agreement. See Note 13 to our audited consolidated financial statements in our Annual Report incorporated by reference herein and Note 12 to the financial statements included in our Q2 Quarterly Report incorporated by reference herein.</w:t>
      </w:r>
    </w:p>
    <w:p>
      <w:pPr>
        <w:spacing w:after="0" w:line="20" w:lineRule="exact"/>
        <w:rPr>
          <w:rFonts w:ascii="Arial" w:cs="Arial" w:eastAsia="Arial" w:hAnsi="Arial"/>
          <w:sz w:val="14"/>
          <w:szCs w:val="14"/>
          <w:color w:val="auto"/>
        </w:rPr>
      </w:pPr>
    </w:p>
    <w:p>
      <w:pPr>
        <w:ind w:left="1660" w:right="1420" w:hanging="350"/>
        <w:spacing w:after="0" w:line="238" w:lineRule="auto"/>
        <w:tabs>
          <w:tab w:leader="none" w:pos="1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non-cash charges related to equity based compensation, which vary from period to period depending on certain factors such as the 2021 Vesting Event (see Note 1 to the financial statements included in our Q2 Quarterly Report incorporated by reference herein), timing and valuation of awards, achievement of performance targets and equity award forfeitures.</w:t>
      </w:r>
    </w:p>
    <w:p>
      <w:pPr>
        <w:spacing w:after="0" w:line="20" w:lineRule="exact"/>
        <w:rPr>
          <w:rFonts w:ascii="Arial" w:cs="Arial" w:eastAsia="Arial" w:hAnsi="Arial"/>
          <w:sz w:val="14"/>
          <w:szCs w:val="14"/>
          <w:color w:val="auto"/>
        </w:rPr>
      </w:pPr>
    </w:p>
    <w:p>
      <w:pPr>
        <w:ind w:left="1660" w:hanging="350"/>
        <w:spacing w:after="0"/>
        <w:tabs>
          <w:tab w:leader="none" w:pos="1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severance costs associated with executive leadership changes and enterprise-wide organizational changes.</w:t>
      </w:r>
    </w:p>
    <w:p>
      <w:pPr>
        <w:spacing w:after="0" w:line="41" w:lineRule="exact"/>
        <w:rPr>
          <w:rFonts w:ascii="Arial" w:cs="Arial" w:eastAsia="Arial" w:hAnsi="Arial"/>
          <w:sz w:val="14"/>
          <w:szCs w:val="14"/>
          <w:color w:val="auto"/>
        </w:rPr>
      </w:pPr>
    </w:p>
    <w:p>
      <w:pPr>
        <w:ind w:left="1660" w:right="1440" w:hanging="350"/>
        <w:spacing w:after="0" w:line="255" w:lineRule="auto"/>
        <w:tabs>
          <w:tab w:leader="none" w:pos="1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12" w:lineRule="exact"/>
        <w:rPr>
          <w:rFonts w:ascii="Arial" w:cs="Arial" w:eastAsia="Arial" w:hAnsi="Arial"/>
          <w:sz w:val="13"/>
          <w:szCs w:val="13"/>
          <w:color w:val="auto"/>
        </w:rPr>
      </w:pPr>
    </w:p>
    <w:p>
      <w:pPr>
        <w:ind w:left="1660" w:right="1920" w:hanging="350"/>
        <w:spacing w:after="0" w:line="253" w:lineRule="auto"/>
        <w:tabs>
          <w:tab w:leader="none" w:pos="1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inventory write-down adjustments in connection with our new merchandising strategy adopted as part of our strategic transformation, including exiting certain categories of products.</w:t>
      </w:r>
    </w:p>
    <w:p>
      <w:pPr>
        <w:spacing w:after="0" w:line="11" w:lineRule="exact"/>
        <w:rPr>
          <w:rFonts w:ascii="Arial" w:cs="Arial" w:eastAsia="Arial" w:hAnsi="Arial"/>
          <w:sz w:val="14"/>
          <w:szCs w:val="14"/>
          <w:color w:val="auto"/>
        </w:rPr>
      </w:pPr>
    </w:p>
    <w:p>
      <w:pPr>
        <w:ind w:left="1660" w:right="1420" w:hanging="350"/>
        <w:spacing w:after="0" w:line="231" w:lineRule="auto"/>
        <w:tabs>
          <w:tab w:leader="none" w:pos="1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adjustments include (representing deductions or additions to Adjusted EBITDA and Adjusted Net Income, as applicable) amounts that management believes are not representative of our operating performance, including investment income,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spacing w:after="0" w:line="21" w:lineRule="exact"/>
        <w:rPr>
          <w:rFonts w:ascii="Arial" w:cs="Arial" w:eastAsia="Arial" w:hAnsi="Arial"/>
          <w:sz w:val="14"/>
          <w:szCs w:val="14"/>
          <w:color w:val="auto"/>
        </w:rPr>
      </w:pPr>
    </w:p>
    <w:p>
      <w:pPr>
        <w:jc w:val="both"/>
        <w:ind w:left="1660" w:right="1380" w:hanging="350"/>
        <w:spacing w:after="0" w:line="238" w:lineRule="auto"/>
        <w:tabs>
          <w:tab w:leader="none" w:pos="1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twenty-six weeks ended July 31, 2021, this represents the tax effect of the total adjustments made to arrive at Adjusted Net Income at the estimated effective tax rate for the fiscal year ended January 31, 2022. For periods on or before January 30, 2021, this represents the tax effect of the total adjustments made to arrive at Adjusted Net Income at our historical tax rate.</w:t>
      </w:r>
    </w:p>
    <w:p>
      <w:pPr>
        <w:spacing w:after="0" w:line="79" w:lineRule="exact"/>
        <w:rPr>
          <w:sz w:val="20"/>
          <w:szCs w:val="20"/>
          <w:color w:val="auto"/>
        </w:rPr>
      </w:pPr>
    </w:p>
    <w:p>
      <w:pPr>
        <w:ind w:left="1320" w:right="1300" w:firstLine="360"/>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8"/>
          </w:tcPr>
          <w:p>
            <w:pPr>
              <w:ind w:left="640"/>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20" w:type="dxa"/>
            <w:vAlign w:val="bottom"/>
            <w:gridSpan w:val="9"/>
          </w:tcPr>
          <w:p>
            <w:pPr>
              <w:ind w:left="20"/>
              <w:spacing w:after="0"/>
              <w:rPr>
                <w:sz w:val="20"/>
                <w:szCs w:val="20"/>
                <w:color w:val="auto"/>
              </w:rPr>
            </w:pPr>
            <w:r>
              <w:rPr>
                <w:rFonts w:ascii="Arial" w:cs="Arial" w:eastAsia="Arial" w:hAnsi="Arial"/>
                <w:sz w:val="14"/>
                <w:szCs w:val="14"/>
                <w:b w:val="1"/>
                <w:bCs w:val="1"/>
                <w:color w:val="auto"/>
              </w:rPr>
              <w:t>Twenty-Six Weeks Ended</w:t>
            </w:r>
          </w:p>
        </w:tc>
      </w:tr>
      <w:tr>
        <w:trPr>
          <w:trHeight w:val="52"/>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January 30,</w:t>
            </w:r>
          </w:p>
        </w:tc>
        <w:tc>
          <w:tcPr>
            <w:tcW w:w="9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February 1,</w:t>
            </w:r>
          </w:p>
        </w:tc>
        <w:tc>
          <w:tcPr>
            <w:tcW w:w="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February 2,</w:t>
            </w:r>
          </w:p>
        </w:tc>
        <w:tc>
          <w:tcPr>
            <w:tcW w:w="40" w:type="dxa"/>
            <w:vAlign w:val="bottom"/>
          </w:tcPr>
          <w:p>
            <w:pPr>
              <w:spacing w:after="0"/>
              <w:rPr>
                <w:sz w:val="16"/>
                <w:szCs w:val="16"/>
                <w:color w:val="auto"/>
              </w:rPr>
            </w:pPr>
          </w:p>
        </w:tc>
        <w:tc>
          <w:tcPr>
            <w:tcW w:w="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July 31,</w:t>
            </w:r>
          </w:p>
        </w:tc>
        <w:tc>
          <w:tcPr>
            <w:tcW w:w="40" w:type="dxa"/>
            <w:vAlign w:val="bottom"/>
          </w:tcPr>
          <w:p>
            <w:pPr>
              <w:spacing w:after="0"/>
              <w:rPr>
                <w:sz w:val="16"/>
                <w:szCs w:val="16"/>
                <w:color w:val="auto"/>
              </w:rPr>
            </w:pPr>
          </w:p>
        </w:tc>
        <w:tc>
          <w:tcPr>
            <w:tcW w:w="202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0"/>
              </w:rPr>
              <w:t>August 1,</w:t>
            </w: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2"/>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8"/>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0"/>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940" w:type="dxa"/>
            <w:vAlign w:val="bottom"/>
            <w:shd w:val="clear" w:color="auto" w:fill="CCEEFF"/>
          </w:tcPr>
          <w:p>
            <w:pPr>
              <w:spacing w:after="0"/>
              <w:rPr>
                <w:sz w:val="5"/>
                <w:szCs w:val="5"/>
                <w:color w:val="auto"/>
              </w:rPr>
            </w:pPr>
          </w:p>
        </w:tc>
        <w:tc>
          <w:tcPr>
            <w:tcW w:w="80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tcBorders>
              <w:right w:val="single" w:sz="8" w:color="CCEEFF"/>
            </w:tcBorders>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$1,011,597</w:t>
            </w:r>
          </w:p>
        </w:tc>
        <w:tc>
          <w:tcPr>
            <w:tcW w:w="120" w:type="dxa"/>
            <w:vAlign w:val="bottom"/>
          </w:tcPr>
          <w:p>
            <w:pPr>
              <w:spacing w:after="0"/>
              <w:rPr>
                <w:sz w:val="23"/>
                <w:szCs w:val="23"/>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0"/>
              </w:rPr>
              <w:t>$263,669</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$198,481</w:t>
            </w:r>
          </w:p>
        </w:tc>
        <w:tc>
          <w:tcPr>
            <w:tcW w:w="140" w:type="dxa"/>
            <w:vAlign w:val="bottom"/>
          </w:tcPr>
          <w:p>
            <w:pPr>
              <w:spacing w:after="0"/>
              <w:rPr>
                <w:sz w:val="23"/>
                <w:szCs w:val="23"/>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7"/>
              </w:rPr>
              <w:t>$405,674</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0"/>
              </w:rPr>
              <w:t>$773,621</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6"/>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(33,144)</w:t>
            </w:r>
          </w:p>
        </w:tc>
        <w:tc>
          <w:tcPr>
            <w:tcW w:w="1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(66,783)</w:t>
            </w:r>
          </w:p>
        </w:tc>
        <w:tc>
          <w:tcPr>
            <w:tcW w:w="14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(99,027)</w:t>
            </w:r>
          </w:p>
        </w:tc>
        <w:tc>
          <w:tcPr>
            <w:tcW w:w="14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(33,767)</w:t>
            </w:r>
          </w:p>
        </w:tc>
        <w:tc>
          <w:tcPr>
            <w:tcW w:w="14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9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18"/>
                <w:szCs w:val="18"/>
                <w:b w:val="1"/>
                <w:bCs w:val="1"/>
                <w:color w:val="auto"/>
              </w:rPr>
              <w:t>Adjusted Free Cash Flow</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978,453</w:t>
            </w:r>
          </w:p>
        </w:tc>
        <w:tc>
          <w:tcPr>
            <w:tcW w:w="120" w:type="dxa"/>
            <w:vAlign w:val="bottom"/>
          </w:tcPr>
          <w:p>
            <w:pPr>
              <w:spacing w:after="0"/>
              <w:rPr>
                <w:sz w:val="23"/>
                <w:szCs w:val="23"/>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196,886</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$ 99,454</w:t>
            </w:r>
          </w:p>
        </w:tc>
        <w:tc>
          <w:tcPr>
            <w:tcW w:w="140" w:type="dxa"/>
            <w:vAlign w:val="bottom"/>
          </w:tcPr>
          <w:p>
            <w:pPr>
              <w:spacing w:after="0"/>
              <w:rPr>
                <w:sz w:val="23"/>
                <w:szCs w:val="23"/>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371,907</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759,771</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0"/>
        </w:trPr>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57"/>
              <w:spacing w:after="0"/>
              <w:rPr>
                <w:sz w:val="20"/>
                <w:szCs w:val="20"/>
                <w:color w:val="auto"/>
              </w:rPr>
            </w:pPr>
            <w:r>
              <w:rPr>
                <w:rFonts w:ascii="Arial" w:cs="Arial" w:eastAsia="Arial" w:hAnsi="Arial"/>
                <w:sz w:val="18"/>
                <w:szCs w:val="18"/>
                <w:color w:val="auto"/>
                <w:w w:val="99"/>
              </w:rPr>
              <w:t>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and the information contained in our Annual Report, including under “Risk Factors,” together with the other information contained or incorporated by reference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300" w:right="359"/>
        <w:spacing w:after="0" w:line="301" w:lineRule="auto"/>
        <w:rPr>
          <w:sz w:val="20"/>
          <w:szCs w:val="20"/>
          <w:color w:val="auto"/>
        </w:rPr>
      </w:pPr>
      <w:r>
        <w:rPr>
          <w:rFonts w:ascii="Arial" w:cs="Arial" w:eastAsia="Arial" w:hAnsi="Arial"/>
          <w:sz w:val="16"/>
          <w:szCs w:val="16"/>
          <w:b w:val="1"/>
          <w:bCs w:val="1"/>
          <w:i w:val="1"/>
          <w:iCs w:val="1"/>
          <w:color w:val="auto"/>
        </w:rPr>
        <w:t>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spacing w:after="0" w:line="49"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After completion of the April 2021 Sale, KKR Stockholders ceased to control a majority of the voting power of our common stock. As a result, we are no longer a “controlled company” within the meaning of the corporate governance standards of Nasdaq and we will be required to comply with certain corporate governance requirements within one year or less of the completion of the April 2021 Sale, including the requirements that:</w:t>
      </w:r>
    </w:p>
    <w:p>
      <w:pPr>
        <w:spacing w:after="0" w:line="63" w:lineRule="exact"/>
        <w:rPr>
          <w:sz w:val="20"/>
          <w:szCs w:val="20"/>
          <w:color w:val="auto"/>
        </w:rPr>
      </w:pPr>
    </w:p>
    <w:p>
      <w:pPr>
        <w:ind w:left="1000" w:right="3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listing rules of Nasdaq;</w:t>
      </w:r>
    </w:p>
    <w:p>
      <w:pPr>
        <w:spacing w:after="0" w:line="62" w:lineRule="exact"/>
        <w:rPr>
          <w:rFonts w:ascii="Arial" w:cs="Arial" w:eastAsia="Arial" w:hAnsi="Arial"/>
          <w:sz w:val="18"/>
          <w:szCs w:val="18"/>
          <w:color w:val="auto"/>
        </w:rPr>
      </w:pPr>
    </w:p>
    <w:p>
      <w:pPr>
        <w:ind w:left="1000" w:right="1339" w:hanging="348"/>
        <w:spacing w:after="0" w:line="30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director nominees be selected, or recommended for our board of directors’ selection by a nominating/governance committee comprised solely of independent directors; and</w:t>
      </w:r>
    </w:p>
    <w:p>
      <w:pPr>
        <w:spacing w:after="0" w:line="38" w:lineRule="exact"/>
        <w:rPr>
          <w:rFonts w:ascii="Arial" w:cs="Arial" w:eastAsia="Arial" w:hAnsi="Arial"/>
          <w:sz w:val="17"/>
          <w:szCs w:val="17"/>
          <w:color w:val="auto"/>
        </w:rPr>
      </w:pPr>
    </w:p>
    <w:p>
      <w:pPr>
        <w:ind w:left="1000" w:right="519" w:hanging="348"/>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compensation of our executive officers be determined, or recommended to our board of directors for determination, by a compensation committee comprised solely of independent directors.</w:t>
      </w:r>
    </w:p>
    <w:p>
      <w:pPr>
        <w:spacing w:after="0" w:line="1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Currently, we do not have a majority of independent directors and our compensation committee and nominating and governance committee do not consist entirely of independent directors. Accordingly, until we satisfy these requirements during this one-year transition period, you will not have the same protections afforded to stockholders of companies that are subject to all of the corporate governance requirements of Nasdaq.</w:t>
      </w:r>
    </w:p>
    <w:p>
      <w:pPr>
        <w:spacing w:after="0" w:line="49"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In connection with our IPO, we also entered into a stockholders’ agreement with the KKR Stockholders which granted the KKR Stockholders the right to nominate to our board of directors a certain number of designees depending upon their percentage ownership of our common stock, as well as special governance rights for as long as the KKR Stockholders and their affiliates collectively maintained ownership of at least 25% of our outstanding common stock, including rights of approval over certain corporate and other transactions such as mergers or other transactions involving a change in control and certain rights regarding the appointment of our chief executive officer. In connection with this offering, it is anticipated that all such rights granted to the KKR Stockholders will be terminated.</w:t>
      </w:r>
    </w:p>
    <w:p>
      <w:pPr>
        <w:spacing w:after="0" w:line="192"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76"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76"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1000" w:right="107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market valuations of, or earnings and other announcements by, companies in our industry;</w:t>
      </w:r>
    </w:p>
    <w:p>
      <w:pPr>
        <w:spacing w:after="0" w:line="128" w:lineRule="exact"/>
        <w:rPr>
          <w:rFonts w:ascii="Arial" w:cs="Arial" w:eastAsia="Arial" w:hAnsi="Arial"/>
          <w:sz w:val="17"/>
          <w:szCs w:val="17"/>
          <w:color w:val="auto"/>
        </w:rPr>
      </w:pPr>
    </w:p>
    <w:p>
      <w:pPr>
        <w:ind w:left="1000" w:right="99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general economic or market conditions or trends in our industry or the economy as a whole;</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17"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1000" w:right="63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7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9"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319"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in connection with our incentive plans, acquisitions or otherwise.</w:t>
      </w:r>
    </w:p>
    <w:p>
      <w:pPr>
        <w:spacing w:after="0" w:line="62"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After this offering, we will have approximately 211,616,460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our ESPP.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349" w:lineRule="exact"/>
        <w:rPr>
          <w:sz w:val="20"/>
          <w:szCs w:val="20"/>
          <w:color w:val="auto"/>
        </w:rPr>
      </w:pPr>
    </w:p>
    <w:p>
      <w:pPr>
        <w:ind w:left="300" w:right="539"/>
        <w:spacing w:after="0" w:line="342"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6"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314"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62"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315"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2"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333"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129"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1000" w:right="35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 without stockholder approval;</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3" w:lineRule="exact"/>
        <w:rPr>
          <w:rFonts w:ascii="Arial" w:cs="Arial" w:eastAsia="Arial" w:hAnsi="Arial"/>
          <w:sz w:val="18"/>
          <w:szCs w:val="18"/>
          <w:color w:val="auto"/>
        </w:rPr>
      </w:pPr>
    </w:p>
    <w:p>
      <w:pPr>
        <w:ind w:left="1000" w:right="339" w:hanging="348"/>
        <w:spacing w:after="0" w:line="250"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shares of common stock entitled to vote generally in the election of directors; and</w:t>
      </w:r>
    </w:p>
    <w:p>
      <w:pPr>
        <w:ind w:left="1000" w:right="899" w:hanging="348"/>
        <w:spacing w:after="0" w:line="23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shares of common stock entitled to vote generally in the election of directors.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anti-takeover provisions could make it more difficult for a third party to acquire us, even if the</w:t>
      </w:r>
    </w:p>
    <w:p>
      <w:pPr>
        <w:spacing w:after="0" w:line="23" w:lineRule="exact"/>
        <w:rPr>
          <w:sz w:val="20"/>
          <w:szCs w:val="20"/>
          <w:color w:val="auto"/>
        </w:rPr>
      </w:pPr>
    </w:p>
    <w:p>
      <w:pPr>
        <w:ind w:left="300" w:right="499"/>
        <w:spacing w:after="0" w:line="290" w:lineRule="auto"/>
        <w:rPr>
          <w:sz w:val="20"/>
          <w:szCs w:val="20"/>
          <w:color w:val="auto"/>
        </w:rPr>
      </w:pPr>
      <w:r>
        <w:rPr>
          <w:rFonts w:ascii="Arial" w:cs="Arial" w:eastAsia="Arial" w:hAnsi="Arial"/>
          <w:sz w:val="17"/>
          <w:szCs w:val="17"/>
          <w:color w:val="auto"/>
        </w:rPr>
        <w:t>third party’s offer may be considered beneficial by many of our stockholders. As a result, our stockholders may be limited in their ability to obtain a premium for their shares. See “Description of Capital Stock.”</w:t>
      </w:r>
    </w:p>
    <w:p>
      <w:pPr>
        <w:spacing w:after="0" w:line="161" w:lineRule="exact"/>
        <w:rPr>
          <w:sz w:val="20"/>
          <w:szCs w:val="20"/>
          <w:color w:val="auto"/>
        </w:rPr>
      </w:pPr>
    </w:p>
    <w:p>
      <w:pPr>
        <w:ind w:left="300" w:right="759"/>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2"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66" w:lineRule="exact"/>
        <w:rPr>
          <w:sz w:val="20"/>
          <w:szCs w:val="20"/>
          <w:color w:val="auto"/>
        </w:rPr>
      </w:pPr>
    </w:p>
    <w:p>
      <w:pPr>
        <w:ind w:left="300" w:right="519"/>
        <w:spacing w:after="0" w:line="29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53" w:lineRule="exact"/>
        <w:rPr>
          <w:sz w:val="20"/>
          <w:szCs w:val="20"/>
          <w:color w:val="auto"/>
        </w:rPr>
      </w:pPr>
    </w:p>
    <w:p>
      <w:pPr>
        <w:ind w:left="300" w:right="43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w:t>
      </w:r>
    </w:p>
    <w:p>
      <w:pPr>
        <w:spacing w:after="0" w:line="2" w:lineRule="exact"/>
        <w:rPr>
          <w:sz w:val="20"/>
          <w:szCs w:val="20"/>
          <w:color w:val="auto"/>
        </w:rPr>
      </w:pPr>
    </w:p>
    <w:p>
      <w:pPr>
        <w:ind w:left="300" w:right="299" w:hanging="8"/>
        <w:spacing w:after="0" w:line="26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action asserting a claim against the Company or any director or officer of the Company arising pursuant to any provision of the Delaware General Corporation Law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79" w:lineRule="auto"/>
        <w:rPr>
          <w:sz w:val="20"/>
          <w:szCs w:val="20"/>
          <w:color w:val="auto"/>
        </w:rPr>
      </w:pPr>
      <w:r>
        <w:rPr>
          <w:rFonts w:ascii="Arial" w:cs="Arial" w:eastAsia="Arial" w:hAnsi="Arial"/>
          <w:sz w:val="17"/>
          <w:szCs w:val="17"/>
          <w:color w:val="auto"/>
        </w:rPr>
        <w:t>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be deemed to have waived our compliance with these laws, rules and regulations.</w:t>
      </w:r>
    </w:p>
    <w:p>
      <w:pPr>
        <w:spacing w:after="0" w:line="63"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This prospectus and the documents incorporated by reference herein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and “Risk Factors,” and the documents incorporated by reference herein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 and the documents incorporated by reference herein.</w:t>
      </w:r>
    </w:p>
    <w:p>
      <w:pPr>
        <w:spacing w:after="0" w:line="60"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The forward-looking statements contained, or incorporated by reference,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this prospectus and “Risk Factors” in our Annual Report incorporated by reference herein, including the following:</w:t>
      </w:r>
    </w:p>
    <w:p>
      <w:pPr>
        <w:spacing w:after="0" w:line="58"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17" w:lineRule="exact"/>
        <w:rPr>
          <w:rFonts w:ascii="Arial" w:cs="Arial" w:eastAsia="Arial" w:hAnsi="Arial"/>
          <w:sz w:val="18"/>
          <w:szCs w:val="18"/>
          <w:color w:val="auto"/>
        </w:rPr>
      </w:pPr>
    </w:p>
    <w:p>
      <w:pPr>
        <w:ind w:left="1000" w:right="379" w:hanging="348"/>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predict or effectively react to changes in consumer tastes and preferences, to acquire and sell brand name merchandise at competitive prices and/or to manage our inventory balances;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risks associated with disruptions in our supply chain and losses of merchandise purchasing incentives;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occurrence of severe weather events, catastrophic health events, natural or man-made disasters, social and political conditions or civil unrest;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91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merchandise (including raw materials) costs and availability;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offering;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ownership of our common stock.</w:t>
      </w:r>
    </w:p>
    <w:p>
      <w:pPr>
        <w:spacing w:after="0" w:line="117"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projected in these forward-looking statements.</w:t>
      </w:r>
    </w:p>
    <w:p>
      <w:pPr>
        <w:spacing w:after="0" w:line="79" w:lineRule="exact"/>
        <w:rPr>
          <w:sz w:val="20"/>
          <w:szCs w:val="20"/>
          <w:color w:val="auto"/>
        </w:rPr>
      </w:pPr>
    </w:p>
    <w:p>
      <w:pPr>
        <w:ind w:left="300" w:right="419" w:firstLine="360"/>
        <w:spacing w:after="0" w:line="288" w:lineRule="auto"/>
        <w:rPr>
          <w:sz w:val="20"/>
          <w:szCs w:val="20"/>
          <w:color w:val="auto"/>
        </w:rPr>
      </w:pPr>
      <w:r>
        <w:rPr>
          <w:rFonts w:ascii="Arial" w:cs="Arial" w:eastAsia="Arial" w:hAnsi="Arial"/>
          <w:sz w:val="16"/>
          <w:szCs w:val="16"/>
          <w:color w:val="auto"/>
        </w:rPr>
        <w:t>Any forward-looking statement made by us in this prospectus or the documents incorporated by reference herein speaks only as of the date of this prospectus or in the documents incorporated by reference herein, as applicable, and are expressly qualified in their entirety by the cautionary statements included, or incorporated by reference,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The selling stockholders will receive all of the net proceeds from the sale of shares of our common stock offered pursuant to this prospectus. We will not receive any proceeds from the sale of shares being sold in this offering. 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 See “Principal and Selling Stockholders.”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the indenture governing the 2027 Notes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indenture governing the 2027 Notes and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Note 4 to our audited consolidated financial statements in our Annual Report incorporated by reference herein.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jc w:val="both"/>
        <w:ind w:left="300" w:right="719" w:firstLine="360"/>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the selling stockholders, the number of shares of our common stock offered hereby by the selling stockholders and information with respect to shares to be beneficially owned by the selling stockholders after completion of this offering and the concurrent share repurchase.</w:t>
      </w:r>
    </w:p>
    <w:p>
      <w:pPr>
        <w:spacing w:after="0" w:line="79"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The number of shares of common stock outstanding and percentages of beneficial ownership provided in the table below are based on the beneficial ownership as of July 31, 2021 and are based on 92,883,540 shares of our common stock, par value $0.01 per share, outstanding as of July 31, 2021 and, when indicated, give effect to the repurchase by us of 4,500,000 shares of our common stock in the concurrent share repurchase. As of July 31, 2021, we had 30 holders of record of our common stock.</w:t>
      </w:r>
    </w:p>
    <w:p>
      <w:pPr>
        <w:spacing w:after="0" w:line="68"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41"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200" w:lineRule="exact"/>
        <w:rPr>
          <w:sz w:val="20"/>
          <w:szCs w:val="20"/>
          <w:color w:val="auto"/>
        </w:rPr>
      </w:pP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Shares Beneficially</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 to be Sold</w:t>
            </w: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Owned Prior to the</w:t>
            </w:r>
          </w:p>
        </w:tc>
        <w:tc>
          <w:tcPr>
            <w:tcW w:w="1200" w:type="dxa"/>
            <w:vAlign w:val="bottom"/>
            <w:gridSpan w:val="2"/>
            <w:vMerge w:val="continue"/>
          </w:tcPr>
          <w:p>
            <w:pPr>
              <w:spacing w:after="0"/>
              <w:rPr>
                <w:sz w:val="12"/>
                <w:szCs w:val="12"/>
                <w:color w:val="auto"/>
              </w:rPr>
            </w:pP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Owned After the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Offering and the</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 this</w:t>
            </w: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Offering and the</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Concurrent Share Repurchase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Concurrent Share Repurchase</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of Total</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48"/>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86"/>
        </w:trPr>
        <w:tc>
          <w:tcPr>
            <w:tcW w:w="32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53"/>
        </w:trPr>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Selling Stockholders:</w:t>
            </w: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260" w:type="dxa"/>
            <w:vAlign w:val="bottom"/>
            <w:gridSpan w:val="2"/>
          </w:tcPr>
          <w:p>
            <w:pPr>
              <w:spacing w:after="0"/>
              <w:rPr>
                <w:sz w:val="20"/>
                <w:szCs w:val="20"/>
                <w:color w:val="auto"/>
              </w:rPr>
            </w:pPr>
            <w:r>
              <w:rPr>
                <w:rFonts w:ascii="Arial" w:cs="Arial" w:eastAsia="Arial" w:hAnsi="Arial"/>
                <w:sz w:val="16"/>
                <w:szCs w:val="16"/>
                <w:color w:val="auto"/>
              </w:rPr>
              <w:t>KKR Stockholders</w:t>
            </w:r>
            <w:r>
              <w:rPr>
                <w:rFonts w:ascii="Arial" w:cs="Arial" w:eastAsia="Arial" w:hAnsi="Arial"/>
                <w:sz w:val="26"/>
                <w:szCs w:val="26"/>
                <w:color w:val="auto"/>
                <w:vertAlign w:val="superscript"/>
              </w:rPr>
              <w:t>(1)</w:t>
            </w:r>
          </w:p>
        </w:tc>
        <w:tc>
          <w:tcPr>
            <w:tcW w:w="940" w:type="dxa"/>
            <w:vAlign w:val="bottom"/>
          </w:tcPr>
          <w:p>
            <w:pPr>
              <w:jc w:val="right"/>
              <w:ind w:right="47"/>
              <w:spacing w:after="0"/>
              <w:rPr>
                <w:sz w:val="20"/>
                <w:szCs w:val="20"/>
                <w:color w:val="auto"/>
              </w:rPr>
            </w:pPr>
            <w:r>
              <w:rPr>
                <w:rFonts w:ascii="Arial" w:cs="Arial" w:eastAsia="Arial" w:hAnsi="Arial"/>
                <w:sz w:val="16"/>
                <w:szCs w:val="16"/>
                <w:color w:val="auto"/>
                <w:w w:val="99"/>
              </w:rPr>
              <w:t>18,645,602</w:t>
            </w:r>
          </w:p>
        </w:tc>
        <w:tc>
          <w:tcPr>
            <w:tcW w:w="10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18,645,602</w:t>
            </w:r>
          </w:p>
        </w:tc>
        <w:tc>
          <w:tcPr>
            <w:tcW w:w="100" w:type="dxa"/>
            <w:vAlign w:val="bottom"/>
          </w:tcPr>
          <w:p>
            <w:pPr>
              <w:spacing w:after="0"/>
              <w:rPr>
                <w:sz w:val="24"/>
                <w:szCs w:val="2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-456565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-456565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-456565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-456565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-456565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108585</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640" w:right="35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(x) KKR 2006 Allstar Blocker L.P. holds 3,361,282 shares of our common stock; (y) Allstar Co-Invest Blocker L.P. holds 6,670,127 shares of our common stock; and (z) Allstar LLC holds 8,614,193 shares of our common stock.</w:t>
      </w:r>
    </w:p>
    <w:p>
      <w:pPr>
        <w:spacing w:after="0" w:line="11" w:lineRule="exact"/>
        <w:rPr>
          <w:rFonts w:ascii="Arial" w:cs="Arial" w:eastAsia="Arial" w:hAnsi="Arial"/>
          <w:sz w:val="14"/>
          <w:szCs w:val="14"/>
          <w:color w:val="auto"/>
        </w:rPr>
      </w:pPr>
    </w:p>
    <w:p>
      <w:pPr>
        <w:ind w:left="660" w:right="299"/>
        <w:spacing w:after="0" w:line="244" w:lineRule="auto"/>
        <w:rPr>
          <w:rFonts w:ascii="Arial" w:cs="Arial" w:eastAsia="Arial" w:hAnsi="Arial"/>
          <w:sz w:val="14"/>
          <w:szCs w:val="14"/>
          <w:color w:val="auto"/>
        </w:rPr>
      </w:pPr>
      <w:r>
        <w:rPr>
          <w:rFonts w:ascii="Arial" w:cs="Arial" w:eastAsia="Arial" w:hAnsi="Arial"/>
          <w:sz w:val="13"/>
          <w:szCs w:val="13"/>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30 Hudson Yards, New York, NY, 10001. The principal business address for Mr. Roberts is c/o Kohlberg Kravis Roberts &amp; Co. L.P., 2800 Sand Hill Road, Suite 200, Menlo Park, CA 94025.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300" w:right="739" w:firstLine="360"/>
        <w:spacing w:after="0" w:line="311" w:lineRule="auto"/>
        <w:rPr>
          <w:sz w:val="20"/>
          <w:szCs w:val="20"/>
          <w:color w:val="auto"/>
        </w:rPr>
      </w:pPr>
      <w:r>
        <w:rPr>
          <w:rFonts w:ascii="Arial" w:cs="Arial" w:eastAsia="Arial" w:hAnsi="Arial"/>
          <w:sz w:val="16"/>
          <w:szCs w:val="16"/>
          <w:color w:val="auto"/>
        </w:rPr>
        <w:t>The following is a description of the material terms of, and is qualified in its entirety by, our amended and restated certificate of incorporation and amended and restated bylaws, each as in effect as of the date of this prospectus, copies of which are filed as exhibits to the registration statement of which this prospectus is a part.</w:t>
      </w:r>
    </w:p>
    <w:p>
      <w:pPr>
        <w:spacing w:after="0" w:line="4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 Our authorized capital stock consists of 300 million shares of common stock, par value $0.01 per share, and 50 million shares of preferred stock.</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00" w:right="339" w:firstLine="360"/>
        <w:spacing w:after="0" w:line="229"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vote of the then outstanding shares of our common stock is required, the affirmative vote of a majority in voting power of shares present at a meeting of the holders of our common stock is required.</w:t>
      </w:r>
    </w:p>
    <w:p>
      <w:pPr>
        <w:spacing w:after="0" w:line="98"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79"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41"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Holders of shares of our common stock do not have preemptive, subscription or conversion rights. There are no redemption or sinking fund provisions applicable to our common stock.</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We do not currently have any preferred stock outstanding. However, 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w:t>
      </w:r>
    </w:p>
    <w:p>
      <w:pPr>
        <w:spacing w:after="0" w:line="68"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1000" w:right="399" w:hanging="348"/>
        <w:spacing w:after="0" w:line="286"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terms and amounts of any sinking fund provided for the purchase or redemption of shares of the series;</w:t>
      </w:r>
    </w:p>
    <w:p>
      <w:pPr>
        <w:spacing w:after="0" w:line="140" w:lineRule="exact"/>
        <w:rPr>
          <w:rFonts w:ascii="Arial" w:cs="Arial" w:eastAsia="Arial" w:hAnsi="Arial"/>
          <w:sz w:val="16"/>
          <w:szCs w:val="16"/>
          <w:color w:val="auto"/>
        </w:rPr>
      </w:pPr>
    </w:p>
    <w:p>
      <w:pPr>
        <w:ind w:left="1000" w:right="83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the Company;</w:t>
      </w:r>
    </w:p>
    <w:p>
      <w:pPr>
        <w:spacing w:after="0" w:line="62" w:lineRule="exact"/>
        <w:rPr>
          <w:rFonts w:ascii="Arial" w:cs="Arial" w:eastAsia="Arial" w:hAnsi="Arial"/>
          <w:sz w:val="18"/>
          <w:szCs w:val="18"/>
          <w:color w:val="auto"/>
        </w:rPr>
      </w:pPr>
    </w:p>
    <w:p>
      <w:pPr>
        <w:ind w:left="1000" w:right="319" w:hanging="348"/>
        <w:spacing w:after="0" w:line="25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84" w:lineRule="exact"/>
        <w:rPr>
          <w:sz w:val="20"/>
          <w:szCs w:val="20"/>
          <w:color w:val="auto"/>
        </w:rPr>
      </w:pPr>
    </w:p>
    <w:p>
      <w:pPr>
        <w:ind w:left="300" w:right="99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53"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80" w:lineRule="exact"/>
        <w:rPr>
          <w:sz w:val="20"/>
          <w:szCs w:val="20"/>
          <w:color w:val="auto"/>
        </w:rPr>
      </w:pPr>
    </w:p>
    <w:p>
      <w:pPr>
        <w:ind w:left="300" w:right="719" w:firstLine="360"/>
        <w:spacing w:after="0" w:line="342"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000" w:right="75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000" w:right="559" w:hanging="348"/>
        <w:spacing w:after="0" w:line="212"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96"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80"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8"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any of KKR Stockholders and their affiliates and any of their respective direct or indirect transferees and any group as to which such persons are a party do not constitute “interested stockholders” for purposes of this provision.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left="300" w:right="299" w:firstLine="360"/>
        <w:spacing w:after="0" w:line="242"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provides that directors may only be removed for cause and only by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in voting power of all the then-outstanding shares of stock entitled to vote generally in the election of directors, voting together as a single class. In addition, our amended and restated certificate of incorporation and our amended and restated bylaws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also provide that, subject to the rights granted to one or more series of preferred stock then outstanding or the rights granted to KKR Stockholders under the stockholders agreement,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jc w:val="both"/>
        <w:ind w:left="300" w:right="359" w:firstLine="360"/>
        <w:spacing w:after="0" w:line="286"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w:t>
      </w:r>
    </w:p>
    <w:p>
      <w:pPr>
        <w:spacing w:after="0" w:line="1"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Stockholders and their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left="300" w:right="379" w:firstLine="360"/>
        <w:spacing w:after="0" w:line="24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Any amendment, alteration, change, addition, rescission or repeal of our amended and restated bylaws by our stockholders will require the affirmative vote of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in voting power of all the then-outstanding shares of stock entitled to vote generally in the election of directors, voting together as a single class.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300" w:right="359" w:firstLine="360"/>
        <w:spacing w:after="0" w:line="220" w:lineRule="auto"/>
        <w:rPr>
          <w:sz w:val="20"/>
          <w:szCs w:val="20"/>
          <w:color w:val="auto"/>
        </w:rPr>
      </w:pPr>
      <w:r>
        <w:rPr>
          <w:rFonts w:ascii="Arial" w:cs="Arial" w:eastAsia="Arial" w:hAnsi="Arial"/>
          <w:sz w:val="18"/>
          <w:szCs w:val="18"/>
          <w:color w:val="auto"/>
        </w:rPr>
        <w:t>Our amended and restated certificate of incorporation provides that the following provisions in our amended and restated certificate of incorporation may be amended, altered, repealed or rescinded only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3" w:lineRule="exact"/>
        <w:rPr>
          <w:sz w:val="20"/>
          <w:szCs w:val="20"/>
          <w:color w:val="auto"/>
        </w:rPr>
      </w:pPr>
    </w:p>
    <w:p>
      <w:pPr>
        <w:ind w:left="1000" w:right="479" w:hanging="348"/>
        <w:spacing w:after="0" w:line="239"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supermajority vote for stockholders to amend our amended and restated bylaws;</w:t>
      </w:r>
    </w:p>
    <w:p>
      <w:pPr>
        <w:spacing w:after="0" w:line="95"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3" w:lineRule="exact"/>
        <w:rPr>
          <w:rFonts w:ascii="Arial" w:cs="Arial" w:eastAsia="Arial" w:hAnsi="Arial"/>
          <w:sz w:val="18"/>
          <w:szCs w:val="18"/>
          <w:color w:val="auto"/>
        </w:rPr>
      </w:pPr>
    </w:p>
    <w:p>
      <w:pPr>
        <w:ind w:left="1000" w:right="1319" w:hanging="348"/>
        <w:spacing w:after="0" w:line="239"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supermajority vote.</w:t>
      </w:r>
    </w:p>
    <w:p>
      <w:pPr>
        <w:spacing w:after="0" w:line="95"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8"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300" w:right="41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the Company, (ii) action asserting a claim of breach of a fiduciary duty owed by any director, officer or other employee or stockholder of the Company to the Company or our stockholders, creditors or other constituents,</w:t>
      </w:r>
    </w:p>
    <w:p>
      <w:pPr>
        <w:spacing w:after="0" w:line="2" w:lineRule="exact"/>
        <w:rPr>
          <w:sz w:val="20"/>
          <w:szCs w:val="20"/>
          <w:color w:val="auto"/>
        </w:rPr>
      </w:pPr>
    </w:p>
    <w:p>
      <w:pPr>
        <w:ind w:left="300" w:right="339" w:hanging="8"/>
        <w:spacing w:after="0" w:line="284" w:lineRule="auto"/>
        <w:tabs>
          <w:tab w:leader="none" w:pos="6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300" w:right="519" w:firstLine="360"/>
        <w:spacing w:after="0" w:line="293"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spacing w:after="0" w:line="259" w:lineRule="auto"/>
        <w:rPr>
          <w:sz w:val="20"/>
          <w:szCs w:val="20"/>
          <w:color w:val="auto"/>
        </w:rPr>
      </w:pPr>
      <w:r>
        <w:rPr>
          <w:rFonts w:ascii="Arial" w:cs="Arial" w:eastAsia="Arial" w:hAnsi="Arial"/>
          <w:sz w:val="18"/>
          <w:szCs w:val="18"/>
          <w:color w:val="auto"/>
        </w:rPr>
        <w:t>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79"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70"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56" w:lineRule="exact"/>
        <w:rPr>
          <w:sz w:val="20"/>
          <w:szCs w:val="20"/>
          <w:color w:val="auto"/>
        </w:rPr>
      </w:pPr>
    </w:p>
    <w:p>
      <w:pPr>
        <w:ind w:left="300" w:right="83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stockholders in the public market following this offering could cause the market price of our common stock to decline.”</w:t>
      </w:r>
    </w:p>
    <w:p>
      <w:pPr>
        <w:spacing w:after="0" w:line="57" w:lineRule="exact"/>
        <w:rPr>
          <w:sz w:val="20"/>
          <w:szCs w:val="20"/>
          <w:color w:val="auto"/>
        </w:rPr>
      </w:pPr>
    </w:p>
    <w:p>
      <w:pPr>
        <w:ind w:left="300" w:right="579" w:firstLine="360"/>
        <w:spacing w:after="0" w:line="301" w:lineRule="auto"/>
        <w:rPr>
          <w:sz w:val="20"/>
          <w:szCs w:val="20"/>
          <w:color w:val="auto"/>
        </w:rPr>
      </w:pPr>
      <w:r>
        <w:rPr>
          <w:rFonts w:ascii="Arial" w:cs="Arial" w:eastAsia="Arial" w:hAnsi="Arial"/>
          <w:sz w:val="16"/>
          <w:szCs w:val="16"/>
          <w:color w:val="auto"/>
        </w:rPr>
        <w:t>Of the outstanding shares, following this offering, approximately 77,348,123 shares will be freely tradable without restriction or further registration under the Securities Act, except that any shares held by our affiliates, as that term is defined under Rule 144, including our directors, executive officers and other affiliates (including our existing stockholders), may be sold only in compliance with the limitations described below.</w:t>
      </w:r>
    </w:p>
    <w:p>
      <w:pPr>
        <w:spacing w:after="0" w:line="49" w:lineRule="exact"/>
        <w:rPr>
          <w:sz w:val="20"/>
          <w:szCs w:val="20"/>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Following this offering, based on our outstanding shares of common stock as of July 31, 2021, the remaining outstanding approximately 11,035,417 shares of common stock held by our existing stockholders, representing approximately 12.5% of the total outstanding shares of our common stock,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below.</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within any three-month period, a number of shares that does not exceed the greater of:</w:t>
      </w:r>
    </w:p>
    <w:p>
      <w:pPr>
        <w:spacing w:after="0" w:line="79" w:lineRule="exact"/>
        <w:rPr>
          <w:sz w:val="20"/>
          <w:szCs w:val="20"/>
          <w:color w:val="auto"/>
        </w:rPr>
      </w:pPr>
    </w:p>
    <w:p>
      <w:pPr>
        <w:ind w:left="1000" w:right="83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883,835 shares immediately after this offering; or</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62"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80" w:lineRule="exact"/>
        <w:rPr>
          <w:sz w:val="20"/>
          <w:szCs w:val="20"/>
          <w:color w:val="auto"/>
        </w:rPr>
      </w:pPr>
    </w:p>
    <w:p>
      <w:pPr>
        <w:ind w:left="300" w:right="519" w:firstLine="360"/>
        <w:spacing w:after="0" w:line="308" w:lineRule="auto"/>
        <w:rPr>
          <w:sz w:val="20"/>
          <w:szCs w:val="20"/>
          <w:color w:val="auto"/>
        </w:rPr>
      </w:pPr>
      <w:r>
        <w:rPr>
          <w:rFonts w:ascii="Arial" w:cs="Arial" w:eastAsia="Arial" w:hAnsi="Arial"/>
          <w:sz w:val="17"/>
          <w:szCs w:val="17"/>
          <w:color w:val="auto"/>
        </w:rPr>
        <w:t>We are unable to estimate the number of shares that will be sold under Rule 144 since this will depend on the market price for our common stock, the personal circumstances of the stockholder and other factors.</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39"/>
        <w:spacing w:after="0" w:line="263" w:lineRule="auto"/>
        <w:rPr>
          <w:sz w:val="20"/>
          <w:szCs w:val="20"/>
          <w:color w:val="auto"/>
        </w:rPr>
      </w:pPr>
      <w:r>
        <w:rPr>
          <w:rFonts w:ascii="Arial" w:cs="Arial" w:eastAsia="Arial" w:hAnsi="Arial"/>
          <w:sz w:val="18"/>
          <w:szCs w:val="18"/>
          <w:color w:val="auto"/>
        </w:rPr>
        <w:t>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Statements on Form S-8</w:t>
      </w:r>
    </w:p>
    <w:p>
      <w:pPr>
        <w:spacing w:after="0" w:line="121"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 are available for sale in the open market. The initial registration statement on Form S-8 covered 15,983,311 shares of our common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AND ESTATE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CONSEQUENCES TO NON-U.S. HOLDERS</w:t>
      </w:r>
    </w:p>
    <w:p>
      <w:pPr>
        <w:spacing w:after="0" w:line="10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57" w:lineRule="exact"/>
        <w:rPr>
          <w:sz w:val="20"/>
          <w:szCs w:val="20"/>
          <w:color w:val="auto"/>
        </w:rPr>
      </w:pPr>
    </w:p>
    <w:p>
      <w:pPr>
        <w:ind w:left="300" w:right="879" w:firstLine="360"/>
        <w:spacing w:after="0" w:line="263"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76"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1000" w:right="399" w:hanging="348"/>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corporation (or any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8" w:lineRule="exact"/>
        <w:rPr>
          <w:rFonts w:ascii="Arial" w:cs="Arial" w:eastAsia="Arial" w:hAnsi="Arial"/>
          <w:sz w:val="17"/>
          <w:szCs w:val="17"/>
          <w:color w:val="auto"/>
        </w:rPr>
      </w:pPr>
    </w:p>
    <w:p>
      <w:pPr>
        <w:ind w:left="1000" w:right="379" w:hanging="348"/>
        <w:spacing w:after="0" w:line="286"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63"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75" w:lineRule="exact"/>
        <w:rPr>
          <w:sz w:val="20"/>
          <w:szCs w:val="20"/>
          <w:color w:val="auto"/>
        </w:rPr>
      </w:pPr>
    </w:p>
    <w:p>
      <w:pPr>
        <w:ind w:left="300" w:right="419" w:firstLine="360"/>
        <w:spacing w:after="0" w:line="261"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58"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300" w:right="559" w:firstLine="360"/>
        <w:spacing w:after="0" w:line="342" w:lineRule="auto"/>
        <w:rPr>
          <w:sz w:val="20"/>
          <w:szCs w:val="20"/>
          <w:color w:val="auto"/>
        </w:rPr>
      </w:pPr>
      <w:r>
        <w:rPr>
          <w:rFonts w:ascii="Arial" w:cs="Arial" w:eastAsia="Arial" w:hAnsi="Arial"/>
          <w:sz w:val="16"/>
          <w:szCs w:val="16"/>
          <w:color w:val="auto"/>
        </w:rPr>
        <w:t>Subject to the discussion of backup withholding below, any gain realized by a non-U.S. holder on the sale or other taxable disposition of our common stock generally will not be subject to U.S. federal income tax unless:</w:t>
      </w:r>
    </w:p>
    <w:p>
      <w:pPr>
        <w:spacing w:after="0" w:line="16" w:lineRule="exact"/>
        <w:rPr>
          <w:sz w:val="20"/>
          <w:szCs w:val="20"/>
          <w:color w:val="auto"/>
        </w:rPr>
      </w:pPr>
    </w:p>
    <w:p>
      <w:pPr>
        <w:ind w:left="1000" w:right="339" w:hanging="348"/>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and certain other conditions are met.</w:t>
      </w:r>
    </w:p>
    <w:p>
      <w:pPr>
        <w:spacing w:after="0" w:line="62"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we are not and do not anticipate becoming a “U.S. real property holding corporation” for U.S.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federal income tax purposes.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left="300" w:right="679" w:firstLine="360"/>
        <w:spacing w:after="0" w:line="342" w:lineRule="auto"/>
        <w:rPr>
          <w:sz w:val="20"/>
          <w:szCs w:val="20"/>
          <w:color w:val="auto"/>
        </w:rPr>
      </w:pPr>
      <w:r>
        <w:rPr>
          <w:rFonts w:ascii="Arial" w:cs="Arial" w:eastAsia="Arial" w:hAnsi="Arial"/>
          <w:sz w:val="16"/>
          <w:szCs w:val="16"/>
          <w:color w:val="auto"/>
        </w:rPr>
        <w:t>Common stock held by an individual non-U.S. holder at the time of death will be included in such holder’s gross estate for U.S. federal estate tax purposes, unless an applicable estate tax treaty provides otherwise.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center"/>
        <w:ind w:left="300" w:right="839"/>
        <w:spacing w:after="0" w:line="342" w:lineRule="auto"/>
        <w:rPr>
          <w:sz w:val="20"/>
          <w:szCs w:val="20"/>
          <w:color w:val="auto"/>
        </w:rPr>
      </w:pPr>
      <w:r>
        <w:rPr>
          <w:rFonts w:ascii="Arial" w:cs="Arial" w:eastAsia="Arial" w:hAnsi="Arial"/>
          <w:sz w:val="16"/>
          <w:szCs w:val="16"/>
          <w:color w:val="auto"/>
        </w:rPr>
        <w:t>We must report annually to the Internal Revenue Service and to each non-U.S. holder the amount of distributions paid to such holder and the tax withheld with respect to such distributions, regardless of whether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76" w:lineRule="exact"/>
        <w:rPr>
          <w:sz w:val="20"/>
          <w:szCs w:val="20"/>
          <w:color w:val="auto"/>
        </w:rPr>
      </w:pPr>
    </w:p>
    <w:p>
      <w:pPr>
        <w:ind w:left="300" w:right="719" w:firstLine="360"/>
        <w:spacing w:after="0" w:line="259"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79"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68" w:lineRule="exact"/>
        <w:rPr>
          <w:sz w:val="20"/>
          <w:szCs w:val="20"/>
          <w:color w:val="auto"/>
        </w:rPr>
      </w:pPr>
    </w:p>
    <w:p>
      <w:pPr>
        <w:jc w:val="both"/>
        <w:ind w:left="300" w:right="339" w:firstLine="360"/>
        <w:spacing w:after="0" w:line="263"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w:t>
      </w:r>
    </w:p>
    <w:p>
      <w:pPr>
        <w:spacing w:after="0" w:line="2" w:lineRule="exact"/>
        <w:rPr>
          <w:sz w:val="20"/>
          <w:szCs w:val="20"/>
          <w:color w:val="auto"/>
        </w:rPr>
      </w:pPr>
    </w:p>
    <w:p>
      <w:pPr>
        <w:ind w:left="300" w:right="459" w:hanging="8"/>
        <w:spacing w:after="0" w:line="292" w:lineRule="auto"/>
        <w:tabs>
          <w:tab w:leader="none" w:pos="5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21" w:lineRule="exact"/>
        <w:rPr>
          <w:sz w:val="20"/>
          <w:szCs w:val="20"/>
          <w:color w:val="auto"/>
        </w:rPr>
      </w:pPr>
    </w:p>
    <w:p>
      <w:pPr>
        <w:ind w:left="300" w:right="479" w:firstLine="360"/>
        <w:spacing w:after="0" w:line="296" w:lineRule="auto"/>
        <w:rPr>
          <w:sz w:val="20"/>
          <w:szCs w:val="20"/>
          <w:color w:val="auto"/>
        </w:rPr>
      </w:pPr>
      <w:r>
        <w:rPr>
          <w:rFonts w:ascii="Arial" w:cs="Arial" w:eastAsia="Arial" w:hAnsi="Arial"/>
          <w:sz w:val="16"/>
          <w:szCs w:val="16"/>
          <w:color w:val="auto"/>
        </w:rPr>
        <w:t>Under the terms and subject to the conditions contained in an underwriting agreement, dated September 14, 2021, the selling stockholders have agreed to sell to the underwriters named below, for whom Credit Suisse Securities (USA) LLC is acting as representative, and the underwriters have agreed to purchase from the selling stockholders, the following respective numbers of shares of common stock which includes 4,500,000 shares of our common stock that we intend to repurchase from the underwriters in the concurrent share repurchase:</w:t>
      </w:r>
    </w:p>
    <w:p>
      <w:pPr>
        <w:spacing w:after="0" w:line="12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80" w:type="dxa"/>
            <w:vAlign w:val="bottom"/>
            <w:gridSpan w:val="2"/>
          </w:tcPr>
          <w:p>
            <w:pPr>
              <w:ind w:left="3060"/>
              <w:spacing w:after="0"/>
              <w:rPr>
                <w:sz w:val="20"/>
                <w:szCs w:val="20"/>
                <w:color w:val="auto"/>
              </w:rPr>
            </w:pPr>
            <w:r>
              <w:rPr>
                <w:rFonts w:ascii="Arial" w:cs="Arial" w:eastAsia="Arial" w:hAnsi="Arial"/>
                <w:sz w:val="14"/>
                <w:szCs w:val="14"/>
                <w:b w:val="1"/>
                <w:bCs w:val="1"/>
                <w:color w:val="auto"/>
              </w:rPr>
              <w:t>Underwriter</w:t>
            </w: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Number of Shares</w:t>
            </w:r>
          </w:p>
        </w:tc>
      </w:tr>
      <w:tr>
        <w:trPr>
          <w:trHeight w:val="53"/>
        </w:trPr>
        <w:tc>
          <w:tcPr>
            <w:tcW w:w="690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7,085,329</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gridSpan w:val="2"/>
          </w:tcPr>
          <w:p>
            <w:pPr>
              <w:spacing w:after="0"/>
              <w:rPr>
                <w:sz w:val="20"/>
                <w:szCs w:val="20"/>
                <w:color w:val="auto"/>
              </w:rPr>
            </w:pPr>
            <w:r>
              <w:rPr>
                <w:rFonts w:ascii="Arial" w:cs="Arial" w:eastAsia="Arial" w:hAnsi="Arial"/>
                <w:sz w:val="18"/>
                <w:szCs w:val="18"/>
                <w:color w:val="auto"/>
              </w:rPr>
              <w:t>KKR Capital Markets LLC</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7,085,329</w:t>
            </w:r>
          </w:p>
        </w:tc>
        <w:tc>
          <w:tcPr>
            <w:tcW w:w="160" w:type="dxa"/>
            <w:vAlign w:val="bottom"/>
          </w:tcPr>
          <w:p>
            <w:pPr>
              <w:spacing w:after="0"/>
              <w:rPr>
                <w:sz w:val="23"/>
                <w:szCs w:val="23"/>
                <w:color w:val="auto"/>
              </w:rPr>
            </w:pPr>
          </w:p>
        </w:tc>
      </w:tr>
      <w:tr>
        <w:trPr>
          <w:trHeight w:val="54"/>
        </w:trPr>
        <w:tc>
          <w:tcPr>
            <w:tcW w:w="6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2,237,472</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57"/>
        </w:trPr>
        <w:tc>
          <w:tcPr>
            <w:tcW w:w="728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2,237,472</w:t>
            </w:r>
          </w:p>
        </w:tc>
        <w:tc>
          <w:tcPr>
            <w:tcW w:w="160" w:type="dxa"/>
            <w:vAlign w:val="bottom"/>
          </w:tcPr>
          <w:p>
            <w:pPr>
              <w:spacing w:after="0"/>
              <w:rPr>
                <w:sz w:val="22"/>
                <w:szCs w:val="22"/>
                <w:color w:val="auto"/>
              </w:rPr>
            </w:pPr>
          </w:p>
        </w:tc>
      </w:tr>
      <w:tr>
        <w:trPr>
          <w:trHeight w:val="61"/>
        </w:trPr>
        <w:tc>
          <w:tcPr>
            <w:tcW w:w="6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318"/>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18,645,602</w:t>
            </w:r>
          </w:p>
        </w:tc>
        <w:tc>
          <w:tcPr>
            <w:tcW w:w="16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-1062355</wp:posOffset>
            </wp:positionV>
            <wp:extent cx="240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74"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Subject to the completion of the offering, we intend to concurrently repurchase from the underwriters 4,500,000 of the aggregate 18,645,602 shares of our common stock that are the subject of the offering. The price per share to be paid by us will equal the price at which the underwriters will purchase the shares from the selling stockholders in the offering. The closing of the concurrent share repurchase is conditioned on the closing of the offering and therefore, there can be no assurance that the concurrent share repurchase will be completed. The offering is not conditioned upon the completion of the concurrent share repurchase. See “Summary—Concurrent Share Repurchase.”</w:t>
      </w:r>
    </w:p>
    <w:p>
      <w:pPr>
        <w:spacing w:after="0" w:line="87" w:lineRule="exact"/>
        <w:rPr>
          <w:sz w:val="20"/>
          <w:szCs w:val="20"/>
          <w:color w:val="auto"/>
        </w:rPr>
      </w:pPr>
    </w:p>
    <w:p>
      <w:pPr>
        <w:jc w:val="both"/>
        <w:ind w:left="300" w:right="419" w:firstLine="360"/>
        <w:spacing w:after="0" w:line="311"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The underwriting agreement also provides that if an underwriter defaults the purchase commitments of non-defaulting underwriters may be increased or the offering may be terminated.</w:t>
      </w:r>
    </w:p>
    <w:p>
      <w:pPr>
        <w:spacing w:after="0" w:line="41"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76"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The underwriters propose to offer the shares of common stock that are not subject to the concurrent share repurchase initially at the public offering price on the cover page of this prospectus and to selling group members at that price less a selling concession of up to $0.6712500 per share. After the public offering, the representatives may change the public offering price and concession.</w:t>
      </w:r>
    </w:p>
    <w:p>
      <w:pPr>
        <w:spacing w:after="0" w:line="79"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to the selling stockholders.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4"/>
              <w:spacing w:after="0"/>
              <w:rPr>
                <w:sz w:val="20"/>
                <w:szCs w:val="20"/>
                <w:color w:val="auto"/>
              </w:rPr>
            </w:pPr>
            <w:r>
              <w:rPr>
                <w:rFonts w:ascii="Arial" w:cs="Arial" w:eastAsia="Arial" w:hAnsi="Arial"/>
                <w:sz w:val="14"/>
                <w:szCs w:val="14"/>
                <w:b w:val="1"/>
                <w:bCs w:val="1"/>
                <w:color w:val="auto"/>
                <w:w w:val="97"/>
              </w:rPr>
              <w:t>Underwriting</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5"/>
        </w:trPr>
        <w:tc>
          <w:tcPr>
            <w:tcW w:w="2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Price to Public</w:t>
            </w:r>
            <w:r>
              <w:rPr>
                <w:rFonts w:ascii="Arial" w:cs="Arial" w:eastAsia="Arial" w:hAnsi="Arial"/>
                <w:sz w:val="23"/>
                <w:szCs w:val="23"/>
                <w:b w:val="1"/>
                <w:bCs w:val="1"/>
                <w:color w:val="auto"/>
                <w:w w:val="94"/>
                <w:vertAlign w:val="superscript"/>
              </w:rPr>
              <w:t>(1)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w w:val="91"/>
              </w:rPr>
              <w:t>Discounts and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89"/>
              </w:rPr>
              <w:t>the selling</w:t>
            </w:r>
          </w:p>
        </w:tc>
        <w:tc>
          <w:tcPr>
            <w:tcW w:w="0" w:type="dxa"/>
            <w:vAlign w:val="bottom"/>
          </w:tcPr>
          <w:p>
            <w:pPr>
              <w:spacing w:after="0"/>
              <w:rPr>
                <w:sz w:val="1"/>
                <w:szCs w:val="1"/>
                <w:color w:val="auto"/>
              </w:rPr>
            </w:pPr>
          </w:p>
        </w:tc>
      </w:tr>
      <w:tr>
        <w:trPr>
          <w:trHeight w:val="242"/>
        </w:trPr>
        <w:tc>
          <w:tcPr>
            <w:tcW w:w="244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gridSpan w:val="2"/>
            <w:vMerge w:val="continue"/>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
              <w:spacing w:after="0" w:line="242" w:lineRule="exact"/>
              <w:rPr>
                <w:sz w:val="20"/>
                <w:szCs w:val="20"/>
                <w:color w:val="auto"/>
              </w:rPr>
            </w:pPr>
            <w:r>
              <w:rPr>
                <w:rFonts w:ascii="Arial" w:cs="Arial" w:eastAsia="Arial" w:hAnsi="Arial"/>
                <w:sz w:val="14"/>
                <w:szCs w:val="14"/>
                <w:b w:val="1"/>
                <w:bCs w:val="1"/>
                <w:color w:val="auto"/>
                <w:w w:val="86"/>
              </w:rPr>
              <w:t>Commissions</w:t>
            </w:r>
            <w:r>
              <w:rPr>
                <w:rFonts w:ascii="Arial" w:cs="Arial" w:eastAsia="Arial" w:hAnsi="Arial"/>
                <w:sz w:val="23"/>
                <w:szCs w:val="23"/>
                <w:b w:val="1"/>
                <w:bCs w:val="1"/>
                <w:color w:val="auto"/>
                <w:w w:val="86"/>
                <w:vertAlign w:val="superscript"/>
              </w:rPr>
              <w:t>(2)</w:t>
            </w:r>
          </w:p>
        </w:tc>
        <w:tc>
          <w:tcPr>
            <w:tcW w:w="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311"/>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20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1.230625</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43.519375</w:t>
            </w: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$834,390,689.50</w:t>
            </w:r>
          </w:p>
        </w:tc>
        <w:tc>
          <w:tcPr>
            <w:tcW w:w="1460" w:type="dxa"/>
            <w:vAlign w:val="bottom"/>
            <w:gridSpan w:val="3"/>
          </w:tcPr>
          <w:p>
            <w:pPr>
              <w:ind w:left="320"/>
              <w:spacing w:after="0"/>
              <w:rPr>
                <w:sz w:val="20"/>
                <w:szCs w:val="20"/>
                <w:color w:val="auto"/>
              </w:rPr>
            </w:pPr>
            <w:r>
              <w:rPr>
                <w:rFonts w:ascii="Arial" w:cs="Arial" w:eastAsia="Arial" w:hAnsi="Arial"/>
                <w:sz w:val="18"/>
                <w:szCs w:val="18"/>
                <w:color w:val="auto"/>
                <w:w w:val="89"/>
              </w:rPr>
              <w:t>$22,945,743.96</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$811,444,945.54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-393700</wp:posOffset>
            </wp:positionV>
            <wp:extent cx="2057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-393700</wp:posOffset>
            </wp:positionV>
            <wp:extent cx="2057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-393700</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right="299" w:hanging="348"/>
        <w:spacing w:after="0" w:line="253"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public offering price for the shares offered to the public was $44.75 per share. The price for the shares we intend to repurchase from the underwriters was $43.519375 per share.</w:t>
      </w:r>
    </w:p>
    <w:p>
      <w:pPr>
        <w:spacing w:after="0" w:line="11" w:lineRule="exact"/>
        <w:rPr>
          <w:rFonts w:ascii="Arial" w:cs="Arial" w:eastAsia="Arial" w:hAnsi="Arial"/>
          <w:sz w:val="14"/>
          <w:szCs w:val="14"/>
          <w:color w:val="auto"/>
        </w:rPr>
      </w:pPr>
    </w:p>
    <w:p>
      <w:pPr>
        <w:ind w:left="640" w:right="439" w:hanging="348"/>
        <w:spacing w:after="0" w:line="253"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underwriting discount for the shares offered to the public was $1.230625 per share. No underwriting discount or commissions will be paid to the underwriters with respect to the shares we intend to repurchase.</w:t>
      </w:r>
    </w:p>
    <w:p>
      <w:pPr>
        <w:spacing w:after="0" w:line="70" w:lineRule="exact"/>
        <w:rPr>
          <w:sz w:val="20"/>
          <w:szCs w:val="20"/>
          <w:color w:val="auto"/>
        </w:rPr>
      </w:pPr>
    </w:p>
    <w:p>
      <w:pPr>
        <w:jc w:val="both"/>
        <w:ind w:left="300" w:right="419" w:firstLine="360"/>
        <w:spacing w:after="0" w:line="301" w:lineRule="auto"/>
        <w:rPr>
          <w:sz w:val="20"/>
          <w:szCs w:val="20"/>
          <w:color w:val="auto"/>
        </w:rPr>
      </w:pPr>
      <w:r>
        <w:rPr>
          <w:rFonts w:ascii="Arial" w:cs="Arial" w:eastAsia="Arial" w:hAnsi="Arial"/>
          <w:sz w:val="16"/>
          <w:szCs w:val="16"/>
          <w:color w:val="auto"/>
        </w:rPr>
        <w:t>The expenses of the offering, not including the underwriting discounts and commissions for which the selling stockholders are responsible, are estimated at $0.7 million and are payable by us. We have also agreed to reimburse the underwriters for up to $35,000 of expenses related to the review of this offering by FINRA. In accordance with FINRA Rule 5110, this reimbursed fee is deemed underwriting compensation for this offering.</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00" w:right="49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62" w:lineRule="exact"/>
        <w:rPr>
          <w:rFonts w:ascii="Arial" w:cs="Arial" w:eastAsia="Arial" w:hAnsi="Arial"/>
          <w:sz w:val="18"/>
          <w:szCs w:val="18"/>
          <w:color w:val="auto"/>
        </w:rPr>
      </w:pPr>
    </w:p>
    <w:p>
      <w:pPr>
        <w:ind w:left="1000" w:right="47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underwriters would close out any short position by purchasing shares in the open market.</w:t>
      </w:r>
    </w:p>
    <w:p>
      <w:pPr>
        <w:spacing w:after="0" w:line="75" w:lineRule="exact"/>
        <w:rPr>
          <w:rFonts w:ascii="Arial" w:cs="Arial" w:eastAsia="Arial" w:hAnsi="Arial"/>
          <w:sz w:val="18"/>
          <w:szCs w:val="18"/>
          <w:color w:val="auto"/>
        </w:rPr>
      </w:pPr>
    </w:p>
    <w:p>
      <w:pPr>
        <w:ind w:left="1000" w:right="799" w:hanging="348"/>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w:t>
      </w:r>
    </w:p>
    <w:p>
      <w:pPr>
        <w:spacing w:after="0" w:line="38" w:lineRule="exact"/>
        <w:rPr>
          <w:rFonts w:ascii="Arial" w:cs="Arial" w:eastAsia="Arial" w:hAnsi="Arial"/>
          <w:sz w:val="17"/>
          <w:szCs w:val="17"/>
          <w:color w:val="auto"/>
        </w:rPr>
      </w:pPr>
    </w:p>
    <w:p>
      <w:pPr>
        <w:ind w:left="1000" w:right="39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75"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76"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80"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70"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The KKR Stockholders beneficially own in excess of 10% of our issued and outstanding common stock and will be selling stockholders in this offering and, as such, will receive in excess of 5% of the net proceeds of this offering. Because KKR Capital Markets LLC, an affiliate of the KKR Stockholders, is an underwriter in this offering, KKR Capital Markets LLC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because a bona fide public market exists in the shares, as that term is defined in FINRA Rule 5121. KKR Capital Markets LLC will not confirm any sales to any account over which it exercises discretionary authority without the specific written approval of the account holder.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w:t>
      </w:r>
    </w:p>
    <w:p>
      <w:pPr>
        <w:sectPr>
          <w:pgSz w:w="11900" w:h="16838" w:orient="portrait"/>
          <w:cols w:equalWidth="0" w:num="1">
            <w:col w:w="9019"/>
          </w:cols>
          <w:pgMar w:left="1440" w:top="265"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99"/>
        <w:spacing w:after="0" w:line="263" w:lineRule="auto"/>
        <w:rPr>
          <w:sz w:val="20"/>
          <w:szCs w:val="20"/>
          <w:color w:val="auto"/>
        </w:rPr>
      </w:pPr>
      <w:r>
        <w:rPr>
          <w:rFonts w:ascii="Arial" w:cs="Arial" w:eastAsia="Arial" w:hAnsi="Arial"/>
          <w:sz w:val="18"/>
          <w:szCs w:val="18"/>
          <w:color w:val="auto"/>
        </w:rPr>
        <w:t>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70" w:lineRule="exact"/>
        <w:rPr>
          <w:sz w:val="20"/>
          <w:szCs w:val="20"/>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000" w:right="499" w:hanging="348"/>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subject to obtaining the prior consent of the representatives for any such offer; or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7"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76"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89" w:lineRule="exact"/>
        <w:rPr>
          <w:sz w:val="20"/>
          <w:szCs w:val="20"/>
          <w:color w:val="auto"/>
        </w:rPr>
      </w:pPr>
    </w:p>
    <w:p>
      <w:pPr>
        <w:ind w:left="660" w:right="2419" w:firstLine="1762"/>
        <w:spacing w:after="0" w:line="434" w:lineRule="auto"/>
        <w:rPr>
          <w:sz w:val="20"/>
          <w:szCs w:val="20"/>
          <w:color w:val="auto"/>
        </w:rPr>
      </w:pPr>
      <w:r>
        <w:rPr>
          <w:rFonts w:ascii="Arial" w:cs="Arial" w:eastAsia="Arial" w:hAnsi="Arial"/>
          <w:sz w:val="16"/>
          <w:szCs w:val="16"/>
          <w:b w:val="1"/>
          <w:bCs w:val="1"/>
          <w:color w:val="auto"/>
        </w:rPr>
        <w:t xml:space="preserve">Notice to Prospective Investors in the United Kingdom </w:t>
      </w:r>
      <w:r>
        <w:rPr>
          <w:rFonts w:ascii="Arial" w:cs="Arial" w:eastAsia="Arial" w:hAnsi="Arial"/>
          <w:sz w:val="16"/>
          <w:szCs w:val="16"/>
          <w:color w:val="auto"/>
        </w:rPr>
        <w:t>Each of the underwriters severally represents, warrants and agrees as follows:</w:t>
      </w:r>
    </w:p>
    <w:p>
      <w:pPr>
        <w:ind w:left="1000" w:right="319" w:hanging="348"/>
        <w:spacing w:after="0" w:line="301"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49" w:lineRule="exact"/>
        <w:rPr>
          <w:rFonts w:ascii="Arial" w:cs="Arial" w:eastAsia="Arial" w:hAnsi="Arial"/>
          <w:sz w:val="16"/>
          <w:szCs w:val="16"/>
          <w:color w:val="auto"/>
        </w:rPr>
      </w:pPr>
    </w:p>
    <w:p>
      <w:pPr>
        <w:ind w:left="1000" w:right="359" w:hanging="348"/>
        <w:spacing w:after="0" w:line="30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the FSMA with respect to anything done by it in relation to the securities in, from or otherwise involving the United Kingdom.</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84"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69"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00" w:right="379" w:firstLine="360"/>
        <w:spacing w:after="0" w:line="288" w:lineRule="auto"/>
        <w:rPr>
          <w:sz w:val="20"/>
          <w:szCs w:val="20"/>
          <w:color w:val="auto"/>
        </w:rPr>
      </w:pPr>
      <w:r>
        <w:rPr>
          <w:rFonts w:ascii="Arial" w:cs="Arial" w:eastAsia="Arial" w:hAnsi="Arial"/>
          <w:sz w:val="16"/>
          <w:szCs w:val="16"/>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0" w:lineRule="exact"/>
        <w:rPr>
          <w:sz w:val="20"/>
          <w:szCs w:val="20"/>
          <w:color w:val="auto"/>
        </w:rPr>
      </w:pPr>
    </w:p>
    <w:p>
      <w:pPr>
        <w:ind w:left="1000" w:right="37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SFA,</w:t>
      </w:r>
    </w:p>
    <w:p>
      <w:pPr>
        <w:spacing w:after="0" w:line="62"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the securities are subscribed or purchased under Section 275 of the SFA by a relevant person which is:</w:t>
      </w:r>
    </w:p>
    <w:p>
      <w:pPr>
        <w:spacing w:after="0" w:line="140" w:lineRule="exact"/>
        <w:rPr>
          <w:sz w:val="20"/>
          <w:szCs w:val="20"/>
          <w:color w:val="auto"/>
        </w:rPr>
      </w:pPr>
    </w:p>
    <w:p>
      <w:pPr>
        <w:jc w:val="both"/>
        <w:ind w:left="1000" w:right="37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300" w:right="4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7" w:lineRule="exact"/>
        <w:rPr>
          <w:sz w:val="20"/>
          <w:szCs w:val="20"/>
          <w:color w:val="auto"/>
        </w:rPr>
      </w:pPr>
    </w:p>
    <w:p>
      <w:pPr>
        <w:ind w:left="1000" w:right="519" w:hanging="348"/>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00" w:right="119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58"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The consolidated financial statements of Academy Sports and Outdoors, Inc. and subsidiaries incorporated in this prospectus by reference from the Company’s Annual Report on Form 10-K for the fiscal year ended January 30, 2021,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or incorporated by reference,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73"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4" w:lineRule="exact"/>
        <w:rPr>
          <w:sz w:val="20"/>
          <w:szCs w:val="20"/>
          <w:color w:val="auto"/>
        </w:rPr>
      </w:pPr>
    </w:p>
    <w:p>
      <w:pPr>
        <w:ind w:left="1000" w:right="339" w:hanging="348"/>
        <w:spacing w:after="0" w:line="286"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our Annual Report on Form 10-K for the fiscal year ended January 30, 2021, filed on </w:t>
      </w:r>
      <w:hyperlink r:id="rId91">
        <w:r>
          <w:rPr>
            <w:rFonts w:ascii="Arial" w:cs="Arial" w:eastAsia="Arial" w:hAnsi="Arial"/>
            <w:sz w:val="17"/>
            <w:szCs w:val="17"/>
            <w:u w:val="single" w:color="auto"/>
            <w:color w:val="0000EE"/>
          </w:rPr>
          <w:t>April 7, 2021</w:t>
        </w:r>
      </w:hyperlink>
      <w:r>
        <w:rPr>
          <w:rFonts w:ascii="Arial" w:cs="Arial" w:eastAsia="Arial" w:hAnsi="Arial"/>
          <w:sz w:val="17"/>
          <w:szCs w:val="17"/>
          <w:color w:val="auto"/>
        </w:rPr>
        <w:t xml:space="preserve"> (including information specifically incorporated by reference into such Annual Report on Form 10-K from our Proxy Statement for our 2021 Annual Meeting of Stockholders filed on </w:t>
      </w:r>
      <w:hyperlink r:id="rId92">
        <w:r>
          <w:rPr>
            <w:rFonts w:ascii="Arial" w:cs="Arial" w:eastAsia="Arial" w:hAnsi="Arial"/>
            <w:sz w:val="17"/>
            <w:szCs w:val="17"/>
            <w:u w:val="single" w:color="auto"/>
            <w:color w:val="0000EE"/>
          </w:rPr>
          <w:t>April 23, 2021</w:t>
        </w:r>
      </w:hyperlink>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May 1, 2021, filed on </w:t>
      </w:r>
      <w:hyperlink r:id="rId93">
        <w:r>
          <w:rPr>
            <w:rFonts w:ascii="Arial" w:cs="Arial" w:eastAsia="Arial" w:hAnsi="Arial"/>
            <w:sz w:val="18"/>
            <w:szCs w:val="18"/>
            <w:u w:val="single" w:color="auto"/>
            <w:color w:val="0000EE"/>
          </w:rPr>
          <w:t>June 8, 2021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our Quarterly Report on Form 10-Q for the quarter ended July 31, 2021, filed on </w:t>
      </w:r>
      <w:hyperlink r:id="rId94">
        <w:r>
          <w:rPr>
            <w:rFonts w:ascii="Arial" w:cs="Arial" w:eastAsia="Arial" w:hAnsi="Arial"/>
            <w:sz w:val="16"/>
            <w:szCs w:val="16"/>
            <w:u w:val="single" w:color="auto"/>
            <w:color w:val="0000EE"/>
          </w:rPr>
          <w:t>September 9, 2021</w:t>
        </w:r>
      </w:hyperlink>
      <w:r>
        <w:rPr>
          <w:rFonts w:ascii="Arial" w:cs="Arial" w:eastAsia="Arial" w:hAnsi="Arial"/>
          <w:sz w:val="16"/>
          <w:szCs w:val="16"/>
          <w:color w:val="auto"/>
        </w:rPr>
        <w:t>; and</w:t>
      </w:r>
    </w:p>
    <w:p>
      <w:pPr>
        <w:spacing w:after="0" w:line="140" w:lineRule="exact"/>
        <w:rPr>
          <w:rFonts w:ascii="Arial" w:cs="Arial" w:eastAsia="Arial" w:hAnsi="Arial"/>
          <w:sz w:val="16"/>
          <w:szCs w:val="16"/>
          <w:color w:val="auto"/>
        </w:rPr>
      </w:pPr>
    </w:p>
    <w:p>
      <w:pPr>
        <w:ind w:left="1000" w:right="339" w:hanging="348"/>
        <w:spacing w:after="0" w:line="277" w:lineRule="auto"/>
        <w:tabs>
          <w:tab w:leader="none" w:pos="1000" w:val="left"/>
        </w:tabs>
        <w:numPr>
          <w:ilvl w:val="0"/>
          <w:numId w:val="36"/>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95">
        <w:r>
          <w:rPr>
            <w:rFonts w:ascii="Arial" w:cs="Arial" w:eastAsia="Arial" w:hAnsi="Arial"/>
            <w:sz w:val="18"/>
            <w:szCs w:val="18"/>
            <w:u w:val="single" w:color="auto"/>
            <w:color w:val="0000EE"/>
          </w:rPr>
          <w:t>February 1, 2021</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EE"/>
          </w:rPr>
          <w:t>March 4, 2021</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EE"/>
          </w:rPr>
          <w:t>May 10, 2021</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EE"/>
          </w:rPr>
          <w:t>May 25, 2021</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EE"/>
          </w:rPr>
          <w:t>June 7,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00">
        <w:r>
          <w:rPr>
            <w:rFonts w:ascii="Arial" w:cs="Arial" w:eastAsia="Arial" w:hAnsi="Arial"/>
            <w:sz w:val="18"/>
            <w:szCs w:val="18"/>
            <w:u w:val="single" w:color="auto"/>
            <w:color w:val="0000EE"/>
          </w:rPr>
          <w:t xml:space="preserve">August 5,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01">
        <w:r>
          <w:rPr>
            <w:rFonts w:ascii="Arial" w:cs="Arial" w:eastAsia="Arial" w:hAnsi="Arial"/>
            <w:sz w:val="18"/>
            <w:szCs w:val="18"/>
            <w:u w:val="single" w:color="auto"/>
            <w:color w:val="0000EE"/>
          </w:rPr>
          <w:t xml:space="preserve">September 9, 2021 </w:t>
        </w:r>
      </w:hyperlink>
      <w:r>
        <w:rPr>
          <w:rFonts w:ascii="Arial" w:cs="Arial" w:eastAsia="Arial" w:hAnsi="Arial"/>
          <w:sz w:val="18"/>
          <w:szCs w:val="18"/>
          <w:color w:val="000000"/>
        </w:rPr>
        <w:t>(only</w:t>
      </w:r>
      <w:r>
        <w:rPr>
          <w:rFonts w:ascii="Arial" w:cs="Arial" w:eastAsia="Arial" w:hAnsi="Arial"/>
          <w:sz w:val="18"/>
          <w:szCs w:val="18"/>
          <w:color w:val="0000EE"/>
        </w:rPr>
        <w:t xml:space="preserve"> </w:t>
      </w:r>
      <w:r>
        <w:rPr>
          <w:rFonts w:ascii="Arial" w:cs="Arial" w:eastAsia="Arial" w:hAnsi="Arial"/>
          <w:sz w:val="18"/>
          <w:szCs w:val="18"/>
          <w:color w:val="000000"/>
        </w:rPr>
        <w:t>with respect to Item 8.01).</w:t>
      </w:r>
    </w:p>
    <w:p>
      <w:pPr>
        <w:spacing w:after="0" w:line="62" w:lineRule="exact"/>
        <w:rPr>
          <w:rFonts w:ascii="Arial" w:cs="Arial" w:eastAsia="Arial" w:hAnsi="Arial"/>
          <w:sz w:val="18"/>
          <w:szCs w:val="18"/>
          <w:color w:val="0000EE"/>
        </w:rPr>
      </w:pPr>
    </w:p>
    <w:p>
      <w:pPr>
        <w:ind w:left="300" w:right="619" w:firstLine="360"/>
        <w:spacing w:after="0" w:line="311" w:lineRule="auto"/>
        <w:rPr>
          <w:sz w:val="20"/>
          <w:szCs w:val="20"/>
          <w:color w:val="auto"/>
        </w:rPr>
      </w:pPr>
      <w:r>
        <w:rPr>
          <w:rFonts w:ascii="Arial" w:cs="Arial" w:eastAsia="Arial" w:hAnsi="Arial"/>
          <w:sz w:val="16"/>
          <w:szCs w:val="16"/>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41" w:lineRule="exact"/>
        <w:rPr>
          <w:rFonts w:ascii="Arial" w:cs="Arial" w:eastAsia="Arial" w:hAnsi="Arial"/>
          <w:sz w:val="18"/>
          <w:szCs w:val="18"/>
          <w:color w:val="0000EE"/>
        </w:rPr>
      </w:pPr>
    </w:p>
    <w:p>
      <w:pPr>
        <w:ind w:left="300" w:right="319" w:firstLine="360"/>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Academy Sports and Outdoors, Inc., 1800 North Mason Road, Katy, Texas 77449; Attention: Corporate Secretary (telephone: 281-646-5200).</w:t>
      </w:r>
    </w:p>
    <w:p>
      <w:pPr>
        <w:spacing w:after="0" w:line="80" w:lineRule="exact"/>
        <w:rPr>
          <w:rFonts w:ascii="Arial" w:cs="Arial" w:eastAsia="Arial" w:hAnsi="Arial"/>
          <w:sz w:val="18"/>
          <w:szCs w:val="18"/>
          <w:color w:val="0000EE"/>
        </w:rPr>
      </w:pPr>
    </w:p>
    <w:p>
      <w:pPr>
        <w:ind w:left="300" w:right="439"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6178550</wp:posOffset>
            </wp:positionV>
            <wp:extent cx="5212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6238875</wp:posOffset>
            </wp:positionV>
            <wp:extent cx="52120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2586990</wp:posOffset>
            </wp:positionV>
            <wp:extent cx="3317240" cy="8229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3317240" cy="82296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lowerRoman"/>
      <w:start w:val="3"/>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9"/>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lowerRoman"/>
      <w:start w:val="3"/>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Roman"/>
      <w:start w:val="10"/>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Roman"/>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jpeg"/><Relationship Id="rId91" Type="http://schemas.openxmlformats.org/officeDocument/2006/relationships/hyperlink" Target="https://www.sec.gov/Archives/edgar/data/1817358/000181735821000059/aso-20210130.htm" TargetMode="External"/><Relationship Id="rId92" Type="http://schemas.openxmlformats.org/officeDocument/2006/relationships/hyperlink" Target="https://www.sec.gov/Archives/edgar/data/1817358/000181735821000064/a2021proxydraft.htm" TargetMode="External"/><Relationship Id="rId93" Type="http://schemas.openxmlformats.org/officeDocument/2006/relationships/hyperlink" Target="https://www.sec.gov/Archives/edgar/data/1817358/000181735821000147/aso-20210501.htm" TargetMode="External"/><Relationship Id="rId94" Type="http://schemas.openxmlformats.org/officeDocument/2006/relationships/hyperlink" Target="https://www.sec.gov/Archives/edgar/data/1817358/000181735821000171/aso-20210731.htm" TargetMode="External"/><Relationship Id="rId95" Type="http://schemas.openxmlformats.org/officeDocument/2006/relationships/hyperlink" Target="https://www.sec.gov/Archives/edgar/data/1817358/000119312521024546/d90563d8k.htm" TargetMode="External"/><Relationship Id="rId96" Type="http://schemas.openxmlformats.org/officeDocument/2006/relationships/hyperlink" Target="https://www.sec.gov/Archives/edgar/data/1817358/000181735821000014/draftmarch21form8k.htm" TargetMode="External"/><Relationship Id="rId97" Type="http://schemas.openxmlformats.org/officeDocument/2006/relationships/hyperlink" Target="https://www.sec.gov/Archives/edgar/data/1817358/000114036121016628/nt10023157x9_8k.htm" TargetMode="External"/><Relationship Id="rId98" Type="http://schemas.openxmlformats.org/officeDocument/2006/relationships/hyperlink" Target="https://www.sec.gov/Archives/edgar/data/1817358/000181735821000102/form8-ktermloanpaydown.htm" TargetMode="External"/><Relationship Id="rId99" Type="http://schemas.openxmlformats.org/officeDocument/2006/relationships/hyperlink" Target="https://www.sec.gov/Archives/edgar/data/1817358/000181735821000124/form8-kannualmeetingvoting.htm" TargetMode="External"/><Relationship Id="rId100" Type="http://schemas.openxmlformats.org/officeDocument/2006/relationships/hyperlink" Target="https://www.sec.gov/Archives/edgar/data/1817358/000181735821000159/form8-ksjt.htm" TargetMode="External"/><Relationship Id="rId101" Type="http://schemas.openxmlformats.org/officeDocument/2006/relationships/hyperlink" Target="https://www.sec.gov/Archives/edgar/data/1817358/000181735821000168/aso-202109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2021-09-16T15:18:53Z</dcterms:created>
  <dcterms:modified xsi:type="dcterms:W3CDTF">2021-09-16T15:18:53Z</dcterms:modified>
</cp:coreProperties>
</file>