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7"/>
        <w:gridCol w:w="700"/>
        <w:gridCol w:w="565"/>
        <w:gridCol w:w="1197"/>
        <w:gridCol w:w="545"/>
        <w:gridCol w:w="545"/>
        <w:gridCol w:w="814"/>
        <w:gridCol w:w="545"/>
        <w:gridCol w:w="545"/>
        <w:gridCol w:w="816"/>
        <w:gridCol w:w="545"/>
        <w:gridCol w:w="545"/>
        <w:gridCol w:w="545"/>
        <w:gridCol w:w="545"/>
        <w:gridCol w:w="545"/>
        <w:gridCol w:w="161"/>
      </w:tblGrid>
      <w:tr>
        <w:trPr/>
        <w:tc>
          <w:tcPr>
            <w:tcW w:w="104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 One)</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July 29, 2023</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88" w:before="145" w:after="283"/>
              <w:jc w:val="center"/>
              <w:rPr/>
            </w:pPr>
            <w:r>
              <w:rPr>
                <w:rFonts w:ascii="Times New Roman;sans-serif" w:hAnsi="Times New Roman;sans-serif"/>
                <w:b/>
                <w:color w:val="000000"/>
                <w:sz w:val="18"/>
              </w:rPr>
              <w:t>For the transition period from ___________ to ___________</w:t>
            </w:r>
            <w:r>
              <w:rPr>
                <w:rFonts w:ascii="Times New Roman;sans-serif" w:hAnsi="Times New Roman;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No. 001-39589</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66725"/>
                          </a:xfrm>
                          <a:prstGeom prst="rect">
                            <a:avLst/>
                          </a:prstGeom>
                        </pic:spPr>
                      </pic:pic>
                    </a:graphicData>
                  </a:graphic>
                </wp:inline>
              </w:drawing>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59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85-1800912</w:t>
            </w:r>
          </w:p>
        </w:tc>
        <w:tc>
          <w:tcPr>
            <w:tcW w:w="161" w:type="dxa"/>
            <w:tcBorders/>
          </w:tcPr>
          <w:p>
            <w:pPr>
              <w:pStyle w:val="TableContents"/>
              <w:bidi w:val="0"/>
              <w:spacing w:before="0" w:after="283"/>
              <w:jc w:val="left"/>
              <w:rPr>
                <w:sz w:val="4"/>
                <w:szCs w:val="4"/>
              </w:rPr>
            </w:pPr>
            <w:r>
              <w:rPr>
                <w:sz w:val="4"/>
                <w:szCs w:val="4"/>
              </w:rPr>
            </w:r>
          </w:p>
        </w:tc>
      </w:tr>
      <w:tr>
        <w:trPr/>
        <w:tc>
          <w:tcPr>
            <w:tcW w:w="4599"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 xml:space="preserve">(State or other jurisdiction of </w:t>
            </w:r>
          </w:p>
          <w:p>
            <w:pPr>
              <w:pStyle w:val="TableContents"/>
              <w:bidi w:val="0"/>
              <w:spacing w:lineRule="auto" w:line="288" w:before="75"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incorporation or organization)</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r>
          </w:p>
          <w:p>
            <w:pPr>
              <w:pStyle w:val="TableContents"/>
              <w:bidi w:val="0"/>
              <w:spacing w:lineRule="auto" w:line="288" w:before="74"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Identification No.)</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1800 North Mason Road</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Katy, Texas 77449</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 (Zip Code)</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(Former name, former address and former fiscal year, if changed since last report)</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c>
          <w:tcPr>
            <w:tcW w:w="161" w:type="dxa"/>
            <w:tcBorders/>
          </w:tcPr>
          <w:p>
            <w:pPr>
              <w:pStyle w:val="TableContents"/>
              <w:bidi w:val="0"/>
              <w:spacing w:before="0" w:after="283"/>
              <w:jc w:val="left"/>
              <w:rPr>
                <w:sz w:val="4"/>
                <w:szCs w:val="4"/>
              </w:rPr>
            </w:pPr>
            <w:r>
              <w:rPr>
                <w:sz w:val="4"/>
                <w:szCs w:val="4"/>
              </w:rPr>
            </w:r>
          </w:p>
        </w:tc>
      </w:tr>
      <w:tr>
        <w:trPr/>
        <w:tc>
          <w:tcPr>
            <w:tcW w:w="4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Title of each class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Trading Symbol(s)</w:t>
            </w:r>
          </w:p>
        </w:tc>
        <w:tc>
          <w:tcPr>
            <w:tcW w:w="35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u w:val="single"/>
              </w:rPr>
            </w:pPr>
            <w:r>
              <w:rPr>
                <w:rFonts w:ascii="Times New Roman;sans-serif" w:hAnsi="Times New Roman;sans-serif"/>
                <w:b/>
                <w:i/>
                <w:color w:val="000000"/>
                <w:sz w:val="18"/>
                <w:u w:val="single"/>
              </w:rPr>
              <w:t>Name of each exchange on which registered</w:t>
            </w:r>
          </w:p>
        </w:tc>
        <w:tc>
          <w:tcPr>
            <w:tcW w:w="161" w:type="dxa"/>
            <w:tcBorders/>
          </w:tcPr>
          <w:p>
            <w:pPr>
              <w:pStyle w:val="TableContents"/>
              <w:bidi w:val="0"/>
              <w:spacing w:before="0" w:after="283"/>
              <w:jc w:val="left"/>
              <w:rPr>
                <w:sz w:val="4"/>
                <w:szCs w:val="4"/>
              </w:rPr>
            </w:pPr>
            <w:r>
              <w:rPr>
                <w:sz w:val="4"/>
                <w:szCs w:val="4"/>
              </w:rPr>
            </w:r>
          </w:p>
        </w:tc>
      </w:tr>
      <w:tr>
        <w:trPr/>
        <w:tc>
          <w:tcPr>
            <w:tcW w:w="4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ASO</w:t>
            </w:r>
          </w:p>
        </w:tc>
        <w:tc>
          <w:tcPr>
            <w:tcW w:w="35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Yes ☑ No ☐</w:t>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restart"/>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Yes ☑ No ☐</w:t>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 ☑</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 </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 </w:t>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tc>
        <w:tc>
          <w:tcPr>
            <w:tcW w:w="161" w:type="dxa"/>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24, 2023, Academy Sports and Outdoors, Inc. had 74,534,794 shares of common stock, par value $0.01 per share, outstanding.</w:t>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95"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p>
      <w:pPr>
        <w:pStyle w:val="TextBody"/>
        <w:bidi w:val="0"/>
        <w:spacing w:before="0" w:after="0"/>
        <w:jc w:val="center"/>
        <w:rPr/>
      </w:pPr>
      <w:r>
        <w:rPr/>
      </w:r>
    </w:p>
    <w:p>
      <w:pPr>
        <w:pStyle w:val="TextBody"/>
        <w:bidi w:val="0"/>
        <w:spacing w:before="0" w:after="0"/>
        <w:jc w:val="center"/>
        <w:rPr/>
      </w:pPr>
      <w:r>
        <w:rPr/>
      </w:r>
    </w:p>
    <w:tbl>
      <w:tblPr>
        <w:tblW w:w="8520" w:type="dxa"/>
        <w:jc w:val="center"/>
        <w:tblInd w:w="0" w:type="dxa"/>
        <w:tblLayout w:type="fixed"/>
        <w:tblCellMar>
          <w:top w:w="28" w:type="dxa"/>
          <w:left w:w="28" w:type="dxa"/>
          <w:bottom w:w="28" w:type="dxa"/>
          <w:right w:w="28" w:type="dxa"/>
        </w:tblCellMar>
      </w:tblPr>
      <w:tblGrid>
        <w:gridCol w:w="2878"/>
        <w:gridCol w:w="2533"/>
        <w:gridCol w:w="2538"/>
        <w:gridCol w:w="167"/>
        <w:gridCol w:w="167"/>
        <w:gridCol w:w="237"/>
      </w:tblGrid>
      <w:tr>
        <w:trPr/>
        <w:tc>
          <w:tcPr>
            <w:tcW w:w="287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0">
              <w:r>
                <w:rPr>
                  <w:rStyle w:val="InternetLink"/>
                  <w:rFonts w:ascii="Times New Roman;sans-serif" w:hAnsi="Times New Roman;sans-serif"/>
                  <w:b w:val="false"/>
                  <w:color w:val="0000FF"/>
                  <w:sz w:val="20"/>
                  <w:u w:val="single"/>
                </w:rPr>
                <w:t>PART I.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da8c0cfc2bff43d5b253a5fab6048275_10">
              <w:r>
                <w:rPr>
                  <w:rStyle w:val="InternetLink"/>
                  <w:rFonts w:ascii="Times New Roman;sans-serif" w:hAnsi="Times New Roman;sans-serif"/>
                  <w:b w:val="false"/>
                  <w:color w:val="0000FF"/>
                  <w:sz w:val="20"/>
                  <w:u w:val="single"/>
                </w:rPr>
                <w:t>3</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3">
              <w:r>
                <w:rPr>
                  <w:rStyle w:val="InternetLink"/>
                  <w:rFonts w:ascii="Times New Roman;sans-serif" w:hAnsi="Times New Roman;sans-serif"/>
                  <w:b w:val="false"/>
                  <w:color w:val="0000FF"/>
                  <w:sz w:val="20"/>
                  <w:u w:val="single"/>
                </w:rPr>
                <w:t>Item 1.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3">
              <w:r>
                <w:rPr>
                  <w:rStyle w:val="InternetLink"/>
                  <w:rFonts w:ascii="Times New Roman;sans-serif" w:hAnsi="Times New Roman;sans-serif"/>
                  <w:b w:val="false"/>
                  <w:color w:val="0000FF"/>
                  <w:sz w:val="20"/>
                  <w:u w:val="single"/>
                </w:rPr>
                <w:t>3</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91">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91">
              <w:r>
                <w:rPr>
                  <w:rStyle w:val="InternetLink"/>
                  <w:rFonts w:ascii="Times New Roman;sans-serif" w:hAnsi="Times New Roman;sans-serif"/>
                  <w:b w:val="false"/>
                  <w:color w:val="0000FF"/>
                  <w:sz w:val="20"/>
                  <w:u w:val="single"/>
                </w:rPr>
                <w:t>20</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21">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21">
              <w:r>
                <w:rPr>
                  <w:rStyle w:val="InternetLink"/>
                  <w:rFonts w:ascii="Times New Roman;sans-serif" w:hAnsi="Times New Roman;sans-serif"/>
                  <w:b w:val="false"/>
                  <w:color w:val="0000FF"/>
                  <w:sz w:val="20"/>
                  <w:u w:val="single"/>
                </w:rPr>
                <w:t>36</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24">
              <w:r>
                <w:rPr>
                  <w:rStyle w:val="InternetLink"/>
                  <w:rFonts w:ascii="Times New Roman;sans-serif" w:hAnsi="Times New Roman;sans-serif"/>
                  <w:b w:val="false"/>
                  <w:color w:val="0000FF"/>
                  <w:sz w:val="20"/>
                  <w:u w:val="single"/>
                </w:rPr>
                <w:t>Item 4. 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24">
              <w:r>
                <w:rPr>
                  <w:rStyle w:val="InternetLink"/>
                  <w:rFonts w:ascii="Times New Roman;sans-serif" w:hAnsi="Times New Roman;sans-serif"/>
                  <w:b w:val="false"/>
                  <w:color w:val="0000FF"/>
                  <w:sz w:val="20"/>
                  <w:u w:val="single"/>
                </w:rPr>
                <w:t>36</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27">
              <w:r>
                <w:rPr>
                  <w:rStyle w:val="InternetLink"/>
                  <w:rFonts w:ascii="Times New Roman;sans-serif" w:hAnsi="Times New Roman;sans-serif"/>
                  <w:b w:val="false"/>
                  <w:color w:val="0000FF"/>
                  <w:sz w:val="20"/>
                  <w:u w:val="single"/>
                </w:rPr>
                <w:t>PART II.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27">
              <w:r>
                <w:rPr>
                  <w:rStyle w:val="InternetLink"/>
                  <w:rFonts w:ascii="Times New Roman;sans-serif" w:hAnsi="Times New Roman;sans-serif"/>
                  <w:b w:val="false"/>
                  <w:color w:val="0000FF"/>
                  <w:sz w:val="20"/>
                  <w:u w:val="single"/>
                </w:rPr>
                <w:t>37</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30">
              <w:r>
                <w:rPr>
                  <w:rStyle w:val="InternetLink"/>
                  <w:rFonts w:ascii="Times New Roman;sans-serif" w:hAnsi="Times New Roman;sans-serif"/>
                  <w:b w:val="false"/>
                  <w:color w:val="0000FF"/>
                  <w:sz w:val="20"/>
                  <w:u w:val="single"/>
                </w:rPr>
                <w:t>Item 1. 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30">
              <w:r>
                <w:rPr>
                  <w:rStyle w:val="InternetLink"/>
                  <w:rFonts w:ascii="Times New Roman;sans-serif" w:hAnsi="Times New Roman;sans-serif"/>
                  <w:b w:val="false"/>
                  <w:color w:val="0000FF"/>
                  <w:sz w:val="20"/>
                  <w:u w:val="single"/>
                </w:rPr>
                <w:t>37</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33">
              <w:r>
                <w:rPr>
                  <w:rStyle w:val="InternetLink"/>
                  <w:rFonts w:ascii="Times New Roman;sans-serif" w:hAnsi="Times New Roman;sans-serif"/>
                  <w:b w:val="false"/>
                  <w:color w:val="0000FF"/>
                  <w:sz w:val="20"/>
                  <w:u w:val="single"/>
                </w:rPr>
                <w:t>Item 1A. 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33">
              <w:r>
                <w:rPr>
                  <w:rStyle w:val="InternetLink"/>
                  <w:rFonts w:ascii="Times New Roman;sans-serif" w:hAnsi="Times New Roman;sans-serif"/>
                  <w:b w:val="false"/>
                  <w:color w:val="0000FF"/>
                  <w:sz w:val="20"/>
                  <w:u w:val="single"/>
                </w:rPr>
                <w:t>37</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36">
              <w:r>
                <w:rPr>
                  <w:rStyle w:val="InternetLink"/>
                  <w:rFonts w:ascii="Times New Roman;sans-serif" w:hAnsi="Times New Roman;sans-serif"/>
                  <w:b w:val="false"/>
                  <w:color w:val="0000FF"/>
                  <w:sz w:val="20"/>
                  <w:u w:val="single"/>
                </w:rPr>
                <w:t>Item 2. 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36">
              <w:r>
                <w:rPr>
                  <w:rStyle w:val="InternetLink"/>
                  <w:rFonts w:ascii="Times New Roman;sans-serif" w:hAnsi="Times New Roman;sans-serif"/>
                  <w:b w:val="false"/>
                  <w:color w:val="0000FF"/>
                  <w:sz w:val="20"/>
                  <w:u w:val="single"/>
                </w:rPr>
                <w:t>38</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39">
              <w:r>
                <w:rPr>
                  <w:rStyle w:val="InternetLink"/>
                  <w:rFonts w:ascii="Times New Roman;sans-serif" w:hAnsi="Times New Roman;sans-serif"/>
                  <w:b w:val="false"/>
                  <w:color w:val="0000FF"/>
                  <w:sz w:val="20"/>
                  <w:u w:val="single"/>
                </w:rPr>
                <w:t>Item 3. 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39">
              <w:r>
                <w:rPr>
                  <w:rStyle w:val="InternetLink"/>
                  <w:rFonts w:ascii="Times New Roman;sans-serif" w:hAnsi="Times New Roman;sans-serif"/>
                  <w:b w:val="false"/>
                  <w:color w:val="0000FF"/>
                  <w:sz w:val="20"/>
                  <w:u w:val="single"/>
                </w:rPr>
                <w:t>38</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42">
              <w:r>
                <w:rPr>
                  <w:rStyle w:val="InternetLink"/>
                  <w:rFonts w:ascii="Times New Roman;sans-serif" w:hAnsi="Times New Roman;sans-serif"/>
                  <w:b w:val="false"/>
                  <w:color w:val="0000FF"/>
                  <w:sz w:val="20"/>
                  <w:u w:val="single"/>
                </w:rPr>
                <w:t>Item 4. 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42">
              <w:r>
                <w:rPr>
                  <w:rStyle w:val="InternetLink"/>
                  <w:rFonts w:ascii="Times New Roman;sans-serif" w:hAnsi="Times New Roman;sans-serif"/>
                  <w:b w:val="false"/>
                  <w:color w:val="0000FF"/>
                  <w:sz w:val="20"/>
                  <w:u w:val="single"/>
                </w:rPr>
                <w:t>38</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45">
              <w:r>
                <w:rPr>
                  <w:rStyle w:val="InternetLink"/>
                  <w:rFonts w:ascii="Times New Roman;sans-serif" w:hAnsi="Times New Roman;sans-serif"/>
                  <w:b w:val="false"/>
                  <w:color w:val="0000FF"/>
                  <w:sz w:val="20"/>
                  <w:u w:val="single"/>
                </w:rPr>
                <w:t>Item 5.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45">
              <w:r>
                <w:rPr>
                  <w:rStyle w:val="InternetLink"/>
                  <w:rFonts w:ascii="Times New Roman;sans-serif" w:hAnsi="Times New Roman;sans-serif"/>
                  <w:b w:val="false"/>
                  <w:color w:val="0000FF"/>
                  <w:sz w:val="20"/>
                  <w:u w:val="single"/>
                </w:rPr>
                <w:t>38</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48">
              <w:r>
                <w:rPr>
                  <w:rStyle w:val="InternetLink"/>
                  <w:rFonts w:ascii="Times New Roman;sans-serif" w:hAnsi="Times New Roman;sans-serif"/>
                  <w:b w:val="false"/>
                  <w:color w:val="0000FF"/>
                  <w:sz w:val="20"/>
                  <w:u w:val="single"/>
                </w:rPr>
                <w:t>Item 6. 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48">
              <w:r>
                <w:rPr>
                  <w:rStyle w:val="InternetLink"/>
                  <w:rFonts w:ascii="Times New Roman;sans-serif" w:hAnsi="Times New Roman;sans-serif"/>
                  <w:b w:val="false"/>
                  <w:color w:val="0000FF"/>
                  <w:sz w:val="20"/>
                  <w:u w:val="single"/>
                </w:rPr>
                <w:t>39</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a8c0cfc2bff43d5b253a5fab6048275_151">
              <w:r>
                <w:rPr>
                  <w:rStyle w:val="InternetLink"/>
                  <w:rFonts w:ascii="Times New Roman;sans-serif" w:hAnsi="Times New Roman;sans-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a8c0cfc2bff43d5b253a5fab6048275_151">
              <w:r>
                <w:rPr>
                  <w:rStyle w:val="InternetLink"/>
                  <w:rFonts w:ascii="Times New Roman;sans-serif" w:hAnsi="Times New Roman;sans-serif"/>
                  <w:b w:val="false"/>
                  <w:color w:val="0000FF"/>
                  <w:sz w:val="20"/>
                  <w:u w:val="single"/>
                </w:rPr>
                <w:t>40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 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40"/>
        <w:gridCol w:w="1477"/>
        <w:gridCol w:w="1489"/>
        <w:gridCol w:w="109"/>
        <w:gridCol w:w="109"/>
        <w:gridCol w:w="109"/>
        <w:gridCol w:w="211"/>
        <w:gridCol w:w="991"/>
        <w:gridCol w:w="109"/>
        <w:gridCol w:w="109"/>
        <w:gridCol w:w="109"/>
        <w:gridCol w:w="109"/>
        <w:gridCol w:w="222"/>
        <w:gridCol w:w="1028"/>
        <w:gridCol w:w="114"/>
        <w:gridCol w:w="109"/>
        <w:gridCol w:w="109"/>
        <w:gridCol w:w="109"/>
        <w:gridCol w:w="211"/>
        <w:gridCol w:w="976"/>
        <w:gridCol w:w="156"/>
      </w:tblGrid>
      <w:tr>
        <w:trPr/>
        <w:tc>
          <w:tcPr>
            <w:tcW w:w="224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July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July 30, 2022</w:t>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311,336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337,145 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399,857 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 less allowance for doubtful accounts of $2,534, $2,004 and $1,143,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14,625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Merchandise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1,309,033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1,283,517 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1,304,556 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80,490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1,715,484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1,686,675 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1,767,145 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404,967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351,424 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1,091,145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1,100,085 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1,087,085 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577,929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577,716 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577,299 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861,920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861,920 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861,920 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23,971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4,675,416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4,595,439 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4,653,969 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669,832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686,472 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778,016 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234,011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251,569 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112,936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109,075 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1,019,779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1,038,716 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1,119,627 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583,729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584,456 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683,065 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1,060,996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1,072,192 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1,081,790 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260,909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259,043 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2,937,377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2,967,133 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3,132,698 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$0.01 par value, authorized 50,000,000 shares; none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$0.01 par value, authorized 300,000,000 shares; 74,845,563; 76,711,720 and 79,725,034 issued and outstanding as of July 29, 2023, January 28, 2023 and July 30,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236,789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216,209 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1,500,502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1,411,330 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1,323,964 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1,738,039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1,628,306 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1,521,271 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4,675,416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4,595,439 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4,653,969 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76"/>
        <w:gridCol w:w="1213"/>
        <w:gridCol w:w="1048"/>
        <w:gridCol w:w="109"/>
        <w:gridCol w:w="109"/>
        <w:gridCol w:w="109"/>
        <w:gridCol w:w="211"/>
        <w:gridCol w:w="991"/>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5"/>
      </w:tblGrid>
      <w:tr>
        <w:trPr/>
        <w:tc>
          <w:tcPr>
            <w:tcW w:w="137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1,583,077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2,966,686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3,154,645 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1,019,631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1,936,125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563,446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1,030,561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352,483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693,402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210,963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337,159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203,273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321,952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46,198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(Amounts in thousands, except per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7"/>
        <w:gridCol w:w="665"/>
        <w:gridCol w:w="667"/>
        <w:gridCol w:w="109"/>
        <w:gridCol w:w="109"/>
        <w:gridCol w:w="109"/>
        <w:gridCol w:w="367"/>
        <w:gridCol w:w="369"/>
        <w:gridCol w:w="226"/>
        <w:gridCol w:w="109"/>
        <w:gridCol w:w="109"/>
        <w:gridCol w:w="109"/>
        <w:gridCol w:w="211"/>
        <w:gridCol w:w="481"/>
        <w:gridCol w:w="109"/>
        <w:gridCol w:w="109"/>
        <w:gridCol w:w="109"/>
        <w:gridCol w:w="109"/>
        <w:gridCol w:w="221"/>
        <w:gridCol w:w="881"/>
        <w:gridCol w:w="114"/>
        <w:gridCol w:w="109"/>
        <w:gridCol w:w="109"/>
        <w:gridCol w:w="109"/>
        <w:gridCol w:w="224"/>
        <w:gridCol w:w="1053"/>
        <w:gridCol w:w="115"/>
        <w:gridCol w:w="109"/>
        <w:gridCol w:w="109"/>
        <w:gridCol w:w="109"/>
        <w:gridCol w:w="109"/>
        <w:gridCol w:w="109"/>
        <w:gridCol w:w="248"/>
        <w:gridCol w:w="1167"/>
        <w:gridCol w:w="187"/>
      </w:tblGrid>
      <w:tr>
        <w:trPr/>
        <w:tc>
          <w:tcPr>
            <w:tcW w:w="104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January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1,628,306 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$0.09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April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1,680,962 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157,075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157,075</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8,501</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(100,242)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(107,349)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2,887</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3,124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3,127</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$0.09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(6,896)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(6,896)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July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74,846</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236,789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1,500,502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1,738,039</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(Amounts in thousands, except per share data) </w:t>
      </w:r>
    </w:p>
    <w:tbl>
      <w:tblPr>
        <w:tblW w:w="10205" w:type="dxa"/>
        <w:jc w:val="center"/>
        <w:tblInd w:w="0" w:type="dxa"/>
        <w:tblLayout w:type="fixed"/>
        <w:tblCellMar>
          <w:top w:w="28" w:type="dxa"/>
          <w:left w:w="28" w:type="dxa"/>
          <w:bottom w:w="28" w:type="dxa"/>
          <w:right w:w="28" w:type="dxa"/>
        </w:tblCellMar>
      </w:tblPr>
      <w:tblGrid>
        <w:gridCol w:w="981"/>
        <w:gridCol w:w="611"/>
        <w:gridCol w:w="613"/>
        <w:gridCol w:w="109"/>
        <w:gridCol w:w="109"/>
        <w:gridCol w:w="109"/>
        <w:gridCol w:w="360"/>
        <w:gridCol w:w="361"/>
        <w:gridCol w:w="226"/>
        <w:gridCol w:w="109"/>
        <w:gridCol w:w="109"/>
        <w:gridCol w:w="109"/>
        <w:gridCol w:w="211"/>
        <w:gridCol w:w="466"/>
        <w:gridCol w:w="109"/>
        <w:gridCol w:w="109"/>
        <w:gridCol w:w="109"/>
        <w:gridCol w:w="109"/>
        <w:gridCol w:w="222"/>
        <w:gridCol w:w="871"/>
        <w:gridCol w:w="114"/>
        <w:gridCol w:w="109"/>
        <w:gridCol w:w="109"/>
        <w:gridCol w:w="109"/>
        <w:gridCol w:w="225"/>
        <w:gridCol w:w="1044"/>
        <w:gridCol w:w="116"/>
        <w:gridCol w:w="109"/>
        <w:gridCol w:w="109"/>
        <w:gridCol w:w="109"/>
        <w:gridCol w:w="109"/>
        <w:gridCol w:w="109"/>
        <w:gridCol w:w="109"/>
        <w:gridCol w:w="109"/>
        <w:gridCol w:w="251"/>
        <w:gridCol w:w="1163"/>
        <w:gridCol w:w="190"/>
      </w:tblGrid>
      <w:tr>
        <w:trPr/>
        <w:tc>
          <w:tcPr>
            <w:tcW w:w="9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3" w:type="dxa"/>
            <w:gridSpan w:val="31"/>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January 29,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1,466,946 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$0.075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April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1,528,508 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(200,111)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$0.075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July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196,510 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1,323,964 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1,521,271 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9937" w:type="dxa"/>
        <w:jc w:val="center"/>
        <w:tblInd w:w="0" w:type="dxa"/>
        <w:tblLayout w:type="fixed"/>
        <w:tblCellMar>
          <w:top w:w="28" w:type="dxa"/>
          <w:left w:w="28" w:type="dxa"/>
          <w:bottom w:w="28" w:type="dxa"/>
          <w:right w:w="28" w:type="dxa"/>
        </w:tblCellMar>
      </w:tblPr>
      <w:tblGrid>
        <w:gridCol w:w="2444"/>
        <w:gridCol w:w="2147"/>
        <w:gridCol w:w="2159"/>
        <w:gridCol w:w="109"/>
        <w:gridCol w:w="109"/>
        <w:gridCol w:w="109"/>
        <w:gridCol w:w="226"/>
        <w:gridCol w:w="902"/>
        <w:gridCol w:w="116"/>
        <w:gridCol w:w="109"/>
        <w:gridCol w:w="109"/>
        <w:gridCol w:w="109"/>
        <w:gridCol w:w="228"/>
        <w:gridCol w:w="895"/>
        <w:gridCol w:w="166"/>
      </w:tblGrid>
      <w:tr>
        <w:trPr/>
        <w:tc>
          <w:tcPr>
            <w:tcW w:w="2444"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251,045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52,021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19,883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loan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(25,516)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(37,559)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243,566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(109,759)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(107,846)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11,639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retirement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(156,447)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(161,529)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(25,809)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337,145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311,336</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21,521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69,169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NON-CASH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5,542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45,237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ACADEMY SPORTS AND OUTDOORS,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1. Nature of Operations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Our fiscal year represents the 52 or 53 weeks ending on the Saturday closest to January 31.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Company is a leading full-line sporting goods and outdoor recreational products retailer in the United States in terms of net sales. As of July 29, 2023, we operated 270 "Academy Sports + Outdoors" retail locations in 18 states and three distribution centers located in Katy, Texas, Twiggs County, Georgia and Cookeville, Tennessee. We also sell merchandise to customers across most of the United States via our </w:t>
      </w:r>
      <w:r>
        <w:rPr>
          <w:rFonts w:ascii="Times New Roman;sans-serif" w:hAnsi="Times New Roman;sans-serif"/>
          <w:b w:val="false"/>
          <w:i/>
          <w:color w:val="000000"/>
          <w:sz w:val="20"/>
        </w:rPr>
        <w:t>academy.com</w:t>
      </w:r>
      <w:r>
        <w:rPr>
          <w:color w:val="000000"/>
        </w:rPr>
        <w:t xml:space="preserve"> </w:t>
      </w:r>
      <w:r>
        <w:rPr>
          <w:rFonts w:ascii="Times New Roman;sans-serif" w:hAnsi="Times New Roman;sans-serif"/>
          <w:b w:val="false"/>
          <w:color w:val="000000"/>
          <w:sz w:val="20"/>
        </w:rPr>
        <w:t>website.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28, 2023, as filed with the Securities and Exchange Commission on March 16, 2023 (the "Annual Report"). The information furnished herein reflects all normal recurring adjustments which are, in the opinion of management, necessary for a fair presentation of the results for the interim periods presented. The results of operations for the thirteen and twenty-six weeks ended July 29, 2023 are not necessarily indicative of the results that will be realized for the fiscal year ending February 3, 2024 or any other period. The balance sheet as of January 28, 2023 has been derived from our audited financial statements as of that date. For further information, refer to our audited financial statements and notes thereto included in the Annual Report.</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include the accounts of ASO, Inc. and its subsidiaries, New Academy Holding Company, LLC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these estimates remain challenging, and actual results could differ materially from our estimates.</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July 30, 2022 for comparability purposes. This reclassification is in divisional presentation only and did not impact the overall net sales balances previously disclosed.</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Change in Accounting Principle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29, 2023, the Company changed the method of accounting for its inventories from the last-in-first-out (“LIFO”) method to the weighted average cost method. The Company believes that this inventory method change is preferable because we believe it improves comparability with industry peers and is a more accurate representation of merchandise inventories, net and cost of goods sold. Due to historical price deflation on the Company’s merchandise purchases, the Company was in a position where the LIFO merchandise inventories value exceeded the cost of its inventory for all periods presented in the consolidated financial statements. In considering the lower of cost or market principle, merchandise inventories valued at LIFO, including necessary valuation adjustments, approximated the cost of such inventories using the weighted average inventory method. As such, there is no impact to the prior periods from the retrospective presentation of the change.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pro forma effect to our consolidated financial statements as if the Company had remained on LIFO (amounts in thousands):</w:t>
      </w:r>
    </w:p>
    <w:tbl>
      <w:tblPr>
        <w:tblW w:w="10294"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976"/>
        <w:gridCol w:w="109"/>
        <w:gridCol w:w="109"/>
        <w:gridCol w:w="109"/>
        <w:gridCol w:w="109"/>
        <w:gridCol w:w="211"/>
        <w:gridCol w:w="616"/>
        <w:gridCol w:w="109"/>
        <w:gridCol w:w="109"/>
        <w:gridCol w:w="109"/>
        <w:gridCol w:w="109"/>
        <w:gridCol w:w="211"/>
        <w:gridCol w:w="976"/>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 July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 July 29, 2023</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LIFO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LIFO</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tbl>
      <w:tblPr>
        <w:tblW w:w="9221"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11"/>
        <w:gridCol w:w="976"/>
        <w:gridCol w:w="109"/>
        <w:gridCol w:w="109"/>
        <w:gridCol w:w="109"/>
        <w:gridCol w:w="109"/>
        <w:gridCol w:w="313"/>
        <w:gridCol w:w="1025"/>
        <w:gridCol w:w="161"/>
        <w:gridCol w:w="109"/>
        <w:gridCol w:w="109"/>
        <w:gridCol w:w="109"/>
        <w:gridCol w:w="255"/>
        <w:gridCol w:w="1179"/>
        <w:gridCol w:w="186"/>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LIFO</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1,711,424 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1,007,553 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2,936,542 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10" w:type="dxa"/>
        <w:jc w:val="left"/>
        <w:tblInd w:w="0" w:type="dxa"/>
        <w:tblLayout w:type="fixed"/>
        <w:tblCellMar>
          <w:top w:w="28" w:type="dxa"/>
          <w:left w:w="28" w:type="dxa"/>
          <w:bottom w:w="28" w:type="dxa"/>
          <w:right w:w="28" w:type="dxa"/>
        </w:tblCellMar>
      </w:tblPr>
      <w:tblGrid>
        <w:gridCol w:w="1255"/>
        <w:gridCol w:w="1103"/>
        <w:gridCol w:w="1106"/>
        <w:gridCol w:w="109"/>
        <w:gridCol w:w="109"/>
        <w:gridCol w:w="109"/>
        <w:gridCol w:w="211"/>
        <w:gridCol w:w="826"/>
        <w:gridCol w:w="109"/>
        <w:gridCol w:w="109"/>
        <w:gridCol w:w="109"/>
        <w:gridCol w:w="109"/>
        <w:gridCol w:w="313"/>
        <w:gridCol w:w="1025"/>
        <w:gridCol w:w="161"/>
        <w:gridCol w:w="109"/>
        <w:gridCol w:w="109"/>
        <w:gridCol w:w="109"/>
        <w:gridCol w:w="287"/>
        <w:gridCol w:w="1124"/>
        <w:gridCol w:w="209"/>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 July 29, 2023</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LIFO</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LIFO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243,566 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0" w:after="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The 2022 Share Repurchase Program and the 2021 Share Repurchase program are collectively referred to as the "Share Repurchase Programs".</w:t>
      </w:r>
    </w:p>
    <w:p>
      <w:pPr>
        <w:pStyle w:val="TextBody"/>
        <w:bidi w:val="0"/>
        <w:spacing w:lineRule="auto" w:line="288" w:before="18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share repurchases for the periods presented:</w:t>
      </w:r>
    </w:p>
    <w:tbl>
      <w:tblPr>
        <w:tblW w:w="10205" w:type="dxa"/>
        <w:jc w:val="left"/>
        <w:tblInd w:w="0" w:type="dxa"/>
        <w:tblLayout w:type="fixed"/>
        <w:tblCellMar>
          <w:top w:w="28" w:type="dxa"/>
          <w:left w:w="28" w:type="dxa"/>
          <w:bottom w:w="28" w:type="dxa"/>
          <w:right w:w="28" w:type="dxa"/>
        </w:tblCellMar>
      </w:tblPr>
      <w:tblGrid>
        <w:gridCol w:w="1411"/>
        <w:gridCol w:w="1239"/>
        <w:gridCol w:w="1244"/>
        <w:gridCol w:w="109"/>
        <w:gridCol w:w="109"/>
        <w:gridCol w:w="109"/>
        <w:gridCol w:w="276"/>
        <w:gridCol w:w="821"/>
        <w:gridCol w:w="140"/>
        <w:gridCol w:w="109"/>
        <w:gridCol w:w="109"/>
        <w:gridCol w:w="109"/>
        <w:gridCol w:w="280"/>
        <w:gridCol w:w="814"/>
        <w:gridCol w:w="143"/>
        <w:gridCol w:w="109"/>
        <w:gridCol w:w="109"/>
        <w:gridCol w:w="109"/>
        <w:gridCol w:w="276"/>
        <w:gridCol w:w="822"/>
        <w:gridCol w:w="140"/>
        <w:gridCol w:w="109"/>
        <w:gridCol w:w="109"/>
        <w:gridCol w:w="109"/>
        <w:gridCol w:w="277"/>
        <w:gridCol w:w="806"/>
        <w:gridCol w:w="208"/>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1,994,064</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5,550,892 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2,744,074</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7,823,241 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Aggregate amount paid (amounts in millions)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157.6</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 Includes estimated excise tax fees of $0.9 million and $1.2 million for the thirteen and twenty-six weeks ended July 29, 2023, respectively.</w:t>
            </w:r>
          </w:p>
        </w:tc>
      </w:tr>
    </w:tbl>
    <w:p>
      <w:pPr>
        <w:pStyle w:val="TextBody"/>
        <w:bidi w:val="0"/>
        <w:spacing w:lineRule="auto" w:line="288" w:before="120" w:after="283"/>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As of July 29, 2023, we no longer had availability under the 2021 Share Repurchase Program, and we had approximately $143.0 million available for share repurchases pursuant to the 2022 Share Repurchase Program.</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Supplier Finance Programs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FASB issued ASU 2022-04: Liabilities - Supplier Finance Programs Disclosure of Supplier Finance Program Obligations. This pronouncement requires that a buyer in a supplier finance program disclose sufficient information about the program to allow a user of the financial statements to understand the program's nature, activity during the period, changes from period to period and potential magnitude. The Company adopted the new guidance as of January 29, 2023.</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consolidated balance sheets, was $6.6 million, $9.0 million, and $9.1 million as of July 29, 2023, January 28, 2023 and July 30, 2022, respectively.</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 Rate Reform</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FASB issued ASU 2020-04: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In December 2022, the FASB issued ASU 2022-06 which extended the effectiveness of this guidance to December 31, 2024. The Company elected to utilize these optional expedients in connection with the amendments to our ABL Facility and Term Loan, which transitioned the facility from LIBOR to the Secured Overnight Financing Rate (“SOFR”) on March 30, 2023 and August 1, 2023, respectively (see Note 4).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3. Net Sales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approximate amount of sales by merchandise divisions for the periods presented (amounts in thousands):</w:t>
      </w:r>
    </w:p>
    <w:tbl>
      <w:tblPr>
        <w:tblW w:w="9116" w:type="dxa"/>
        <w:jc w:val="left"/>
        <w:tblInd w:w="0" w:type="dxa"/>
        <w:tblLayout w:type="fixed"/>
        <w:tblCellMar>
          <w:top w:w="28" w:type="dxa"/>
          <w:left w:w="28" w:type="dxa"/>
          <w:bottom w:w="28" w:type="dxa"/>
          <w:right w:w="28" w:type="dxa"/>
        </w:tblCellMar>
      </w:tblPr>
      <w:tblGrid>
        <w:gridCol w:w="923"/>
        <w:gridCol w:w="812"/>
        <w:gridCol w:w="814"/>
        <w:gridCol w:w="109"/>
        <w:gridCol w:w="109"/>
        <w:gridCol w:w="109"/>
        <w:gridCol w:w="211"/>
        <w:gridCol w:w="991"/>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Merchandise division sales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Outdoors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432,400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821,438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and recreation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389,607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733,183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446,426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791,674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Footwear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308,032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604,323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merchandise sales</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1,576,465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2,950,618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sales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1,583,077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2,966,686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3,154,645 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July 30, 2022, for comparability purposes. This reclassification is in divisional presentation only and did not impact the overall net sales balances previously disclosed (see Note 2).</w:t>
      </w:r>
    </w:p>
    <w:p>
      <w:pPr>
        <w:pStyle w:val="TextBody"/>
        <w:bidi w:val="0"/>
        <w:spacing w:lineRule="auto" w:line="288" w:before="0" w:after="0"/>
        <w:ind w:left="0" w:right="0" w:hanging="18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E-commerce sales consisted of 9.4% and 8.8% of merchandise sales for the thirteen and twenty-six weeks ended July 29, 2023, respectively, and 10.0% and 9.8% for thirteen and twenty-six weeks ended July 30, 2022, respectively.</w:t>
      </w:r>
    </w:p>
    <w:p>
      <w:pPr>
        <w:pStyle w:val="TextBody"/>
        <w:bidi w:val="0"/>
        <w:spacing w:lineRule="auto" w:line="288" w:before="0" w:after="0"/>
        <w:ind w:left="0" w:right="0" w:hanging="18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Other sales consisted primarily of the gift card breakage income, credit card bounties and royalties, shipping income, net hunting and fishing license income, sales return allowance and other items.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gift cards in stores, online and in third-party retail locations. A liability for gift cards, which is recorded in accrued expenses and other liabilities on our consolidated balance sheets is established at the time of sale and revenues are recognized as the gift cards are redeemed in stores or on our website.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gift card liability (amounts in thousands):</w:t>
      </w:r>
    </w:p>
    <w:tbl>
      <w:tblPr>
        <w:tblW w:w="9569" w:type="dxa"/>
        <w:jc w:val="left"/>
        <w:tblInd w:w="0" w:type="dxa"/>
        <w:tblLayout w:type="fixed"/>
        <w:tblCellMar>
          <w:top w:w="28" w:type="dxa"/>
          <w:left w:w="28" w:type="dxa"/>
          <w:bottom w:w="28" w:type="dxa"/>
          <w:right w:w="28" w:type="dxa"/>
        </w:tblCellMar>
      </w:tblPr>
      <w:tblGrid>
        <w:gridCol w:w="1171"/>
        <w:gridCol w:w="1032"/>
        <w:gridCol w:w="1036"/>
        <w:gridCol w:w="109"/>
        <w:gridCol w:w="109"/>
        <w:gridCol w:w="109"/>
        <w:gridCol w:w="248"/>
        <w:gridCol w:w="868"/>
        <w:gridCol w:w="128"/>
        <w:gridCol w:w="109"/>
        <w:gridCol w:w="109"/>
        <w:gridCol w:w="109"/>
        <w:gridCol w:w="252"/>
        <w:gridCol w:w="862"/>
        <w:gridCol w:w="130"/>
        <w:gridCol w:w="109"/>
        <w:gridCol w:w="109"/>
        <w:gridCol w:w="109"/>
        <w:gridCol w:w="248"/>
        <w:gridCol w:w="868"/>
        <w:gridCol w:w="128"/>
        <w:gridCol w:w="109"/>
        <w:gridCol w:w="109"/>
        <w:gridCol w:w="109"/>
        <w:gridCol w:w="250"/>
        <w:gridCol w:w="857"/>
        <w:gridCol w:w="183"/>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Gift card liability, 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25,820</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43,113</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(28,076)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(56,791)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as breakage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(2,222)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Gift card liability,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74,750</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74,750</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4. Long-Term Debt</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debt consisted of the following (amounts in thousands) as of:</w:t>
      </w:r>
    </w:p>
    <w:tbl>
      <w:tblPr>
        <w:tblW w:w="8582" w:type="dxa"/>
        <w:jc w:val="left"/>
        <w:tblInd w:w="0" w:type="dxa"/>
        <w:tblLayout w:type="fixed"/>
        <w:tblCellMar>
          <w:top w:w="28" w:type="dxa"/>
          <w:left w:w="28" w:type="dxa"/>
          <w:bottom w:w="28" w:type="dxa"/>
          <w:right w:w="28" w:type="dxa"/>
        </w:tblCellMar>
      </w:tblPr>
      <w:tblGrid>
        <w:gridCol w:w="1260"/>
        <w:gridCol w:w="1108"/>
        <w:gridCol w:w="1111"/>
        <w:gridCol w:w="109"/>
        <w:gridCol w:w="109"/>
        <w:gridCol w:w="109"/>
        <w:gridCol w:w="226"/>
        <w:gridCol w:w="902"/>
        <w:gridCol w:w="116"/>
        <w:gridCol w:w="109"/>
        <w:gridCol w:w="109"/>
        <w:gridCol w:w="109"/>
        <w:gridCol w:w="292"/>
        <w:gridCol w:w="1146"/>
        <w:gridCol w:w="151"/>
        <w:gridCol w:w="109"/>
        <w:gridCol w:w="109"/>
        <w:gridCol w:w="109"/>
        <w:gridCol w:w="228"/>
        <w:gridCol w:w="895"/>
        <w:gridCol w:w="166"/>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 due 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November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193,250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400,000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593,250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594,750 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696,250 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on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deferred loan costs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583,729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683,065 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Deferred loan costs are related to the Term Loan and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29, 2023, January 28, 2023 and July 30, 2022, the balance in deferred loan costs related to the ABL Facility (as defined below) was approximately $2.6 million, $3.2 million and $3.8 million, respectively, and was included in other noncurrent assets on our consolidated balance sheets. Total amortization of deferred loan costs was $0.6 million and $1.2 million for the thirteen and twenty-six weeks ended July 29, 2023, respectively, and $0.6 million and $1.3 million for the thirteen and twenty-six weeks ended July 30, 2022, respectively. Total expenses related to accretion of original issuance discount was $0.1 million and $0.2 million for the thirteen and twenty-six weeks ended July 29, 2023, respectively, and $0.1 million and $0.2 million for the thirteen and twenty-six weeks ended July 30, 2022, respectively. The expenses related to amortization of deferred loan costs and accretion of original issuance discount are included in interest expense, net on the consolidated statements of income.</w:t>
      </w:r>
    </w:p>
    <w:p>
      <w:pPr>
        <w:pStyle w:val="TextBody"/>
        <w:bidi w:val="0"/>
        <w:spacing w:lineRule="auto" w:line="288" w:before="180" w:after="283"/>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Term Loan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2020 Term Loan and the Amendment collectively as the "Term Loan".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2020, Academy, Ltd. entered into a seven-year $400.0 million senior secured term loan (the "2020 Term Loan"). 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Under the Amendment, the Term Loan bears interest, at Academy, Ltd.'s election, at either (1) LIBOR rate with a floor of 0.75%, plus a margin of 3.75%, or (2) a base rate equal to the highest of (a) the federal funds rate plus 0.50%, (b) Credit Suisse's "prime rate", or (c) the one-month LIBOR rate plus 1.00%, plus a margin of 4.00%. Quarterly principal payments of $750.0 thousand are required through September 30, 2027 and borrowings mature on November 6, 2027. As of July 29, 2023, the weighted average interest rate was 8.94%, with interest payable monthly. The terms and conditions of the Amendment also require that the outstanding balance under the Term Loan is prepaid under certain circumstances. As of July 29, 2023, no prepayment was due under the terms and conditions of the Term Loan.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2023, Academy, Ltd. entered into a Conforming Changes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The transition of our Term Loan to Adjusted Term SOFR will become effective on August 1, 2023.</w:t>
      </w:r>
    </w:p>
    <w:p>
      <w:pPr>
        <w:pStyle w:val="TextBody"/>
        <w:bidi w:val="0"/>
        <w:spacing w:lineRule="auto" w:line="288" w:before="180" w:after="120"/>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ABL Facility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2020 ABL Facility and the amendments thereto collectively as the "ABL Facility".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6, 2020, Academy, Ltd., as borrower, and the guarantors, amended the previously existing secured asset-based revolving credit facility by entering into an amendment to the First Amended and Restated ABL Credit Agreement, dated as of November 6, 2020,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"2020 ABL Facility").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July 29, 2023, we had outstanding letters of credit of approximately $11.6 million, all of which were issued under the ABL Facility, and we had no borrowings outstanding under the ABL Facility, leaving an available borrowing capacity under the ABL Facility of $988.4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ABL Facility bear interest, at our election, at either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0.25%. The terms and conditions of the ABL Facility also require that we prepay outstanding loans under the ABL Facility under certain circumstances. As of July 29, 2023, no future prepayments of outstanding loans have been triggered under the terms and conditions of the ABL Facility.</w:t>
      </w:r>
    </w:p>
    <w:p>
      <w:pPr>
        <w:pStyle w:val="TextBody"/>
        <w:bidi w:val="0"/>
        <w:spacing w:lineRule="auto" w:line="288" w:before="180" w:after="283"/>
        <w:ind w:left="0" w:right="0" w:firstLine="360"/>
        <w:jc w:val="both"/>
        <w:rPr/>
      </w:pPr>
      <w:r>
        <w:rPr>
          <w:rFonts w:ascii="Times New Roman;sans-serif" w:hAnsi="Times New Roman;sans-serif"/>
          <w:b/>
          <w:i/>
          <w:color w:val="000000"/>
          <w:sz w:val="20"/>
          <w:u w:val="single"/>
        </w:rPr>
        <w:t>Covenants</w:t>
      </w:r>
      <w:r>
        <w:rPr>
          <w:rFonts w:ascii="Times New Roman;sans-serif" w:hAnsi="Times New Roman;sans-serif"/>
          <w:b/>
          <w:color w:val="000000"/>
          <w:sz w:val="20"/>
          <w:u w:val="single"/>
        </w:rPr>
        <w:t>.</w:t>
      </w:r>
      <w:r>
        <w:rPr>
          <w:color w:val="000000"/>
        </w:rPr>
        <w:t xml:space="preserve"> </w:t>
      </w:r>
      <w:r>
        <w:rPr>
          <w:rFonts w:ascii="Times New Roman;sans-serif" w:hAnsi="Times New Roman;sans-serif"/>
          <w:b w:val="false"/>
          <w:color w:val="000000"/>
          <w:sz w:val="20"/>
        </w:rPr>
        <w:t>The ABL Facility, Term Loan and Notes agreements contain covenants, including, among other things, covenants that may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July 29,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are classified as either: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which represents valuations based on unadjusted quoted prices in active markets that are accessible at the measurement date for identical, unrestricted assets or liabilities;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3 which represents valuations based on prices or valuation techniques that require inputs that are both significant to the fair value measurement and unobservable (i.e., supported by little or no market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we make cash investments in money market funds comprised of U.S. Government treasury bills and securities, which are classified as cash and redeemable on demand. As of July 29, 2023, January 28, 2023 and July 30, 2022, we held $145.7 million, $95.6 million and $321.4 million in money market funds, respectively.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Term Loan and Notes is estimated using a discounted cash flow analysis based on quoted market prices for the instrument in an inactive market and is therefore classified as Level 2 within the fair value hierarchy. As of July 29, 2023, January 28, 2023, and July 30, 2022 the estimated fair value of the Term Loan and Notes was $0.6 billion, $0.6 billion and $0.7 billion, respectively. As borrowings on the ABL Facility are generally repaid in less than 12 months, we believe that fair value approximates the carrying value.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 xml:space="preserve">6. Property and Equipment </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(amounts in thousands) as of:</w:t>
      </w:r>
    </w:p>
    <w:tbl>
      <w:tblPr>
        <w:tblW w:w="8793" w:type="dxa"/>
        <w:jc w:val="left"/>
        <w:tblInd w:w="0" w:type="dxa"/>
        <w:tblLayout w:type="fixed"/>
        <w:tblCellMar>
          <w:top w:w="28" w:type="dxa"/>
          <w:left w:w="28" w:type="dxa"/>
          <w:bottom w:w="28" w:type="dxa"/>
          <w:right w:w="28" w:type="dxa"/>
        </w:tblCellMar>
      </w:tblPr>
      <w:tblGrid>
        <w:gridCol w:w="1336"/>
        <w:gridCol w:w="1174"/>
        <w:gridCol w:w="1180"/>
        <w:gridCol w:w="109"/>
        <w:gridCol w:w="109"/>
        <w:gridCol w:w="109"/>
        <w:gridCol w:w="226"/>
        <w:gridCol w:w="902"/>
        <w:gridCol w:w="116"/>
        <w:gridCol w:w="109"/>
        <w:gridCol w:w="109"/>
        <w:gridCol w:w="109"/>
        <w:gridCol w:w="292"/>
        <w:gridCol w:w="1146"/>
        <w:gridCol w:w="151"/>
        <w:gridCol w:w="109"/>
        <w:gridCol w:w="109"/>
        <w:gridCol w:w="109"/>
        <w:gridCol w:w="228"/>
        <w:gridCol w:w="895"/>
        <w:gridCol w:w="166"/>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499,499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659,693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364,423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86,307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1,613,620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1,513,273 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1,466,745 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(1,208,653)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(1,161,849)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(1,116,117)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404,967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351,424 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350,628 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$25.7 million and $52.0 million in the thirteen and twenty-six weeks ended July 29, 2023, respectively, and $26.3 million and $51.9 million in the thirteen and twenty-six weeks ended July 30, 2022,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7. Accrued Expenses and Other Current Liabilities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(amounts in thousands) as of:</w:t>
      </w:r>
    </w:p>
    <w:tbl>
      <w:tblPr>
        <w:tblW w:w="8928" w:type="dxa"/>
        <w:jc w:val="left"/>
        <w:tblInd w:w="0" w:type="dxa"/>
        <w:tblLayout w:type="fixed"/>
        <w:tblCellMar>
          <w:top w:w="28" w:type="dxa"/>
          <w:left w:w="28" w:type="dxa"/>
          <w:bottom w:w="28" w:type="dxa"/>
          <w:right w:w="28" w:type="dxa"/>
        </w:tblCellMar>
      </w:tblPr>
      <w:tblGrid>
        <w:gridCol w:w="1384"/>
        <w:gridCol w:w="1217"/>
        <w:gridCol w:w="1224"/>
        <w:gridCol w:w="109"/>
        <w:gridCol w:w="109"/>
        <w:gridCol w:w="109"/>
        <w:gridCol w:w="226"/>
        <w:gridCol w:w="902"/>
        <w:gridCol w:w="116"/>
        <w:gridCol w:w="109"/>
        <w:gridCol w:w="109"/>
        <w:gridCol w:w="109"/>
        <w:gridCol w:w="292"/>
        <w:gridCol w:w="1146"/>
        <w:gridCol w:w="151"/>
        <w:gridCol w:w="109"/>
        <w:gridCol w:w="109"/>
        <w:gridCol w:w="109"/>
        <w:gridCol w:w="228"/>
        <w:gridCol w:w="895"/>
        <w:gridCol w:w="166"/>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39,940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and use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14,388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15,486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gift cards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78,095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37,639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6,300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30,198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234,011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240,169 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251,569 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8. Share-Based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July 29, 2023, there were 4,284,231 shares that were authorized and available for future issuance under the 2020 Omnibus Incentive Plan.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ASO, Inc. Board of Directors adopted the 2020 Employee Stock Purchase Plan (the "ESPP"), which became effective on October 1, 2020. We have reserved a total of 2,000,000 shares under the ESPP and as of July 29, 2023, there were 1,650,543 shares authorized and available for future issuance under the ESPP.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Equity compensation expense was $8.5 million and $19.9 million for the thirteen and twenty-six weeks ended July 29, 2023, respectively. Equity compensation was $6.2 million and $9.7 million for the thirteen and twenty-six weeks ended July 30, 2022, respectively. These costs are included in selling, general and administrative expenses in the consolidated statements of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Service Option Fair Value Assumptions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Service Options granted was estimated using a Black-Scholes option-pricing model. The expected lives of the Service Options granted were based on the "SEC simplified" method. Expected price volatility was determined based on a time-weighted average of the historical volatility for the Company and implied volatilities of comparable companies over a historical period that matches the expected life of the Award. The risk-free interest rate was based on the expected U.S. Treasury rate over the expected life. The dividend yield was calculated based on the most recent annualized quarterly dividend and the valuation date closing stock price. The assumptions used to calculate the fair value of Awards granted are evaluated and modified, as necessary, to reflect current market conditions and experience.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assumptions and grant date fair values for Service Options granted in the twenty-six weeks ended July 29, 2023:</w:t>
      </w:r>
    </w:p>
    <w:tbl>
      <w:tblPr>
        <w:tblW w:w="4241"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304"/>
        <w:gridCol w:w="304"/>
        <w:gridCol w:w="892"/>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45.7% to 50.8% </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3.7% to 3.8%</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Award grants during the twenty-six weeks ended July 29, 2023:</w:t>
      </w:r>
    </w:p>
    <w:tbl>
      <w:tblPr>
        <w:tblW w:w="10205" w:type="dxa"/>
        <w:jc w:val="left"/>
        <w:tblInd w:w="0" w:type="dxa"/>
        <w:tblLayout w:type="fixed"/>
        <w:tblCellMar>
          <w:top w:w="28" w:type="dxa"/>
          <w:left w:w="28" w:type="dxa"/>
          <w:bottom w:w="28" w:type="dxa"/>
          <w:right w:w="28" w:type="dxa"/>
        </w:tblCellMar>
      </w:tblPr>
      <w:tblGrid>
        <w:gridCol w:w="1182"/>
        <w:gridCol w:w="1001"/>
        <w:gridCol w:w="1006"/>
        <w:gridCol w:w="109"/>
        <w:gridCol w:w="109"/>
        <w:gridCol w:w="109"/>
        <w:gridCol w:w="291"/>
        <w:gridCol w:w="851"/>
        <w:gridCol w:w="150"/>
        <w:gridCol w:w="109"/>
        <w:gridCol w:w="109"/>
        <w:gridCol w:w="109"/>
        <w:gridCol w:w="481"/>
        <w:gridCol w:w="1407"/>
        <w:gridCol w:w="251"/>
        <w:gridCol w:w="109"/>
        <w:gridCol w:w="109"/>
        <w:gridCol w:w="109"/>
        <w:gridCol w:w="558"/>
        <w:gridCol w:w="1631"/>
        <w:gridCol w:w="415"/>
      </w:tblGrid>
      <w:tr>
        <w:trPr/>
        <w:tc>
          <w:tcPr>
            <w:tcW w:w="118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Restricted Stock Units</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340,848 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221,775 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 per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unrecognized compensation cost as of July 29, 2023:</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15"/>
        <w:gridCol w:w="891"/>
        <w:gridCol w:w="894"/>
        <w:gridCol w:w="109"/>
        <w:gridCol w:w="109"/>
        <w:gridCol w:w="109"/>
        <w:gridCol w:w="215"/>
        <w:gridCol w:w="1102"/>
        <w:gridCol w:w="111"/>
        <w:gridCol w:w="109"/>
        <w:gridCol w:w="109"/>
        <w:gridCol w:w="109"/>
        <w:gridCol w:w="345"/>
        <w:gridCol w:w="1773"/>
        <w:gridCol w:w="178"/>
        <w:gridCol w:w="109"/>
        <w:gridCol w:w="109"/>
        <w:gridCol w:w="109"/>
        <w:gridCol w:w="392"/>
        <w:gridCol w:w="2014"/>
        <w:gridCol w:w="294"/>
      </w:tblGrid>
      <w:tr>
        <w:trPr/>
        <w:tc>
          <w:tcPr>
            <w:tcW w:w="101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Restricted Stock Units</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13,988,004 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23,993,786 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10,444,964 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life remaining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9. Earnings per Common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target which has yet to be achieved.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shares outstanding and basic and diluted earnings per common share are calculated as follows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573"/>
        <w:gridCol w:w="1359"/>
        <w:gridCol w:w="1374"/>
        <w:gridCol w:w="221"/>
        <w:gridCol w:w="884"/>
        <w:gridCol w:w="113"/>
        <w:gridCol w:w="109"/>
        <w:gridCol w:w="109"/>
        <w:gridCol w:w="109"/>
        <w:gridCol w:w="223"/>
        <w:gridCol w:w="876"/>
        <w:gridCol w:w="115"/>
        <w:gridCol w:w="109"/>
        <w:gridCol w:w="109"/>
        <w:gridCol w:w="109"/>
        <w:gridCol w:w="221"/>
        <w:gridCol w:w="884"/>
        <w:gridCol w:w="113"/>
        <w:gridCol w:w="109"/>
        <w:gridCol w:w="109"/>
        <w:gridCol w:w="109"/>
        <w:gridCol w:w="223"/>
        <w:gridCol w:w="874"/>
        <w:gridCol w:w="171"/>
      </w:tblGrid>
      <w:tr>
        <w:trPr/>
        <w:tc>
          <w:tcPr>
            <w:tcW w:w="157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157,075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251,045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76,104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76,483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Service Restricted Stock Units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Performance Restricted Stock Units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Service Options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Performance Unit Options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ESPP Shares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78,091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78,735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basic</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 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stock-based awards excluded from diluted calculation</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ans-serif" w:hAnsi="Times New Roman;sans-serif"/>
          <w:b/>
          <w:i/>
          <w:color w:val="000000"/>
          <w:sz w:val="20"/>
        </w:rPr>
        <w:t>Freight, Technology Related and Other</w:t>
      </w:r>
      <w:r>
        <w:rPr>
          <w:color w:val="000000"/>
        </w:rPr>
        <w:t xml:space="preserve"> </w:t>
      </w:r>
      <w:r>
        <w:rPr>
          <w:rFonts w:ascii="Times New Roman;sans-serif" w:hAnsi="Times New Roman;sans-serif"/>
          <w:b/>
          <w:i/>
          <w:color w:val="000000"/>
          <w:sz w:val="20"/>
        </w:rPr>
        <w:t>Commitments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29, 2023, we have obligations under freight, technology-related, construction and other contractual commitments in the amount of $117.0 million. Of such commitments, approximately $88.1 million is payable in the next 12 months.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Guarantees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On May 9, 2023, the U.S. Customs and Border Protection (the "CBP") notified us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do not believe this matter will have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during the fiscal quarter ended July 29, 2023,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Sponsorship Agreement and Intellectual Property Commitments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July 29, 2023, we have $16.3 million in related commitments through 2027, of which $5.1 million is payable in the next 12 months.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11. Subsequent Events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evaluated events or transactions that occurred after July 29, 2023 through August 31, 2023, the issuance date of the consolidated financial statements, and identified the following matter to report: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the Company's Board of Directors declared a quarterly cash dividend with respect to the fiscal quarter ended July 29, 2023, of $0.09 per share of the Company's common stock, payable on October 11, 2023, to stockholders of record as of the close of business on September 13,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28, 2023 (the "Annual Report"), as filed with the Securities and Exchange Commission (the "SEC") on March 16, 2023, as such risk factors have been updated from time to time in our periodic filings with the SEC, and are accessible on the SEC's website at www.sec.gov.</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factors that make an investment in our securities speculative or risky (all of which are more fully described in the section entitled "Risk Factors" in the Annual Report):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overall decline in the health of the economy and consumer discretionary spending;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predict or effectively react to changes in consumer tastes and preferences, to acquire and sell brand name merchandise at competitive prices and/or to manage our inventory balances;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continued impact of the COVID-19 pandemic on our business and the communities we serve;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associated with our reliance on internationally manufactured merchandise;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safeguard sensitive or confidential data relating to us and our customers, team members and vendors;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intense competition in the sporting goods and outdoor recreation retail industries;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operate, update or implement our information technology systems;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associated with disruptions in our supply chain and losses of merchandise purchasing incentives;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harm to our reputation;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failure of our third-party vendors of outsourced business services and solutions;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continue our store growth plans or manage our growth effectively, or any failure of our new stores to generate sales and/or achieve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associated with our e-commerce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related to our private label brand merchandise;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disruption in the operation of our distribution centers;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quarterly and seasonal fluctuations in our operating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occurrence of severe weather events, catastrophic health events, natural or man-made disasters, social and political conditions or civil unrest;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dependence on our ability to meet our labor needs;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retain key personnel;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geographic concentration of our stores;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fluctuations in merchandise (including raw materials) costs and availability;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payment-related risks;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effectiveness of our marketing and advertising programs;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pursue strategic acquisitions and integrate acquired businesses.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and Regulatory Risks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comply with laws and regulations affecting our business, including those relating to the sale, manufacture and import of consumer products;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related to climate change and other sustainability-related matters;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claims, demands and lawsuits to which we are, and may in the future, be subject and the risk that our insurance or indemnities coverage may not be sufficient;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related to product safety;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protect our intellectual property and avoid the infringement of third-party intellectual property rights.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level of indebtedness and related debt service payments and our ability to generate sufficient cash flow to satisfy all of our obligations under our indebtedness;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incur substantially more debt;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variable rate indebtedness subjects us to interest rate risk;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our current and future operations imposed by the terms of our indebtedness;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borrow under the ABL Facility (as defined below);</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level of indebtedness may hinder our ability to negotiate favorable terms with our vendors;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the Ownership of Our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stock price is volatile or may decline;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or decision to pay dividends on our common stock or conduct stock repurchases;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lack of or negative coverage by securities analysts;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anti-takeover provisions in our organizational documents could delay or prevent a change of control;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board of directors is authorized to issue and designate shares of preferred stock without stockholder approval;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exclusive forum provision;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you may be diluted by any future issuances of shares by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pStyle w:val="TextBody"/>
        <w:bidi w:val="0"/>
        <w:spacing w:before="180" w:after="283"/>
        <w:ind w:left="0" w:right="0" w:firstLine="360"/>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together with our unaudited financial statements and related notes included elsewhere in this Quarterly Report for the thirteen and twenty-six weeks ended July 29, 2023 and our audited financial statements for the fiscal year ended January 28, 2023 and the section entitled "Management's Discussion and Analysis of Financial Condition and Results of Operations" included in the Annual Report.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All of the Company's sales and business operations occur at Academy, Ltd., and Academy, Ltd., is also the borrower and/or issuer of the Company's long-term debt and lessee of facilities.</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"2023 second quarter," or similar reference refers to the thirteen week period ended July 29, 2023, and any reference to the "prior year quarter," "2022 second quarter" or similar reference refers to the thirteen week period ended July 30, 2022. Any reference in this Quarterly Report to "current year-to-date," "year-to-date 2023" or similar reference represents the twenty-six week period ended July 29, 2023, and any reference in this Quarterly Report to "prior year-to-date," "year-to-date 2022" or similar reference represents the twenty-six week period ended July 30, 2022. Unless otherwise specified, all comparisons regarding the current period of 2023 are made to the corresponding period of 2022.</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apparel, outdoors, sports and recreation and footwear (representing 28%, 27%, 25% and 20% of our 2023 second quarter net sales, respectively) through both leading national brands and a portfolio of private label brands, which go well beyond traditional sporting goods and apparel offerings.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29, 2023, we operated 270 stores that range in size from approximately 40,000 to 130,000 gross square feet, with an average size of approximately 70,000 gross square feet, throughout 18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store activity for the periods indicated:</w:t>
      </w:r>
    </w:p>
    <w:tbl>
      <w:tblPr>
        <w:tblW w:w="5090" w:type="dxa"/>
        <w:jc w:val="left"/>
        <w:tblInd w:w="0" w:type="dxa"/>
        <w:tblLayout w:type="fixed"/>
        <w:tblCellMar>
          <w:top w:w="28" w:type="dxa"/>
          <w:left w:w="28" w:type="dxa"/>
          <w:bottom w:w="28" w:type="dxa"/>
          <w:right w:w="28" w:type="dxa"/>
        </w:tblCellMar>
      </w:tblPr>
      <w:tblGrid>
        <w:gridCol w:w="543"/>
        <w:gridCol w:w="477"/>
        <w:gridCol w:w="480"/>
        <w:gridCol w:w="109"/>
        <w:gridCol w:w="109"/>
        <w:gridCol w:w="109"/>
        <w:gridCol w:w="415"/>
        <w:gridCol w:w="415"/>
        <w:gridCol w:w="415"/>
        <w:gridCol w:w="243"/>
        <w:gridCol w:w="243"/>
        <w:gridCol w:w="243"/>
        <w:gridCol w:w="377"/>
        <w:gridCol w:w="377"/>
        <w:gridCol w:w="535"/>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Q1 new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Q2 new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Relocated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How We Assess the Performance of Our Business and Recent Trends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Comparable Sales. </w:t>
      </w:r>
      <w:r>
        <w:rPr>
          <w:rFonts w:ascii="Times New Roman;sans-serif" w:hAnsi="Times New Roman;sans-serif"/>
          <w:b w:val="false"/>
          <w:color w:val="000000"/>
          <w:sz w:val="20"/>
        </w:rPr>
        <w:t>We define comparable sales as the percentage of period-over-period net sales increase or decrease, in the aggregate, for stores open 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experienced a decrease in comparable sales in the prior year, which continued with a decline of 7.4% for the year-to-date 2023. See the discussion on Net Sales below for some contributing factors to these changes.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Transactions and average ticket.</w:t>
      </w:r>
      <w:r>
        <w:rPr>
          <w:color w:val="000000"/>
        </w:rPr>
        <w:t xml:space="preserve"> </w:t>
      </w:r>
      <w:r>
        <w:rPr>
          <w:rFonts w:ascii="Times New Roman;sans-serif" w:hAnsi="Times New Roman;sans-serif"/>
          <w:b w:val="false"/>
          <w:color w:val="000000"/>
          <w:sz w:val="20"/>
        </w:rPr>
        <w:t>We define transactions as the number of customer transactions for stores and e-commerce during a given period on a 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Adjusted EBITDA, Adjusted EBIT, Adjusted Net Income, Adjusted Earnings per Share and Adjusted Free Cash Flow. </w:t>
      </w:r>
      <w:r>
        <w:rPr>
          <w:rFonts w:ascii="Times New Roman;sans-serif" w:hAnsi="Times New Roman;sans-serif"/>
          <w:b w:val="false"/>
          <w:color w:val="000000"/>
          <w:sz w:val="20"/>
        </w:rPr>
        <w:t>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Components of Our Results of Operations. </w:t>
      </w:r>
      <w:r>
        <w:rPr>
          <w:rFonts w:ascii="Times New Roman;sans-serif" w:hAnsi="Times New Roman;sans-serif"/>
          <w:b w:val="false"/>
          <w:color w:val="000000"/>
          <w:sz w:val="20"/>
        </w:rPr>
        <w:t>Our profitability is primarily influenced by fluctuations in net sales, gross margin and our ability to leverage selling, general and administrative expenses.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Net Sales.</w:t>
      </w:r>
      <w:r>
        <w:rPr>
          <w:color w:val="000000"/>
        </w:rPr>
        <w:t xml:space="preserve"> </w:t>
      </w:r>
      <w:r>
        <w:rPr>
          <w:rFonts w:ascii="Times New Roman;sans-serif" w:hAnsi="Times New Roman;sans-serif"/>
          <w:b w:val="false"/>
          <w:color w:val="000000"/>
          <w:sz w:val="20"/>
        </w:rPr>
        <w:t>Net sales are derived from in-store and e-commerce merchandise sales, net of sales tax and an allowance for merchandise returns.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shd w:fill="FFFFFF" w:val="clear"/>
        </w:rPr>
        <w:t>Our broad assortment gives us an advantage over mass general merchants who typically do not carry the leading national brands sold at Academy.</w:t>
      </w:r>
      <w:r>
        <w:rPr>
          <w:color w:val="000000"/>
        </w:rPr>
        <w:t xml:space="preserve"> </w:t>
      </w:r>
      <w:r>
        <w:rPr>
          <w:rFonts w:ascii="Times New Roman;sans-serif" w:hAnsi="Times New Roman;sans-serif"/>
          <w:b w:val="false"/>
          <w:color w:val="000000"/>
          <w:sz w:val="20"/>
          <w:shd w:fill="FFFFFF" w:val="clear"/>
        </w:rPr>
        <w:t>We have also continued to add private label brand products to our assortment of products, which we generally price lower than the national brand products of comparable quality that we also offer.</w:t>
      </w:r>
      <w:r>
        <w:rPr>
          <w:color w:val="000000"/>
        </w:rPr>
        <w:t xml:space="preserve"> </w:t>
      </w:r>
      <w:r>
        <w:rPr>
          <w:rFonts w:ascii="Times New Roman;sans-serif" w:hAnsi="Times New Roman;sans-serif"/>
          <w:b w:val="false"/>
          <w:color w:val="000000"/>
          <w:sz w:val="20"/>
          <w:shd w:fill="FFFFFF" w:val="clear"/>
        </w:rPr>
        <w:t xml:space="preserve">A shift in our sales mix in which we sell more units of our private label brand products and fewer units of the national brand products would generally have a positive impact on our gross margin but an adverse impact on our total net sales. </w:t>
      </w:r>
      <w:r>
        <w:rPr>
          <w:rFonts w:ascii="Times New Roman;sans-serif" w:hAnsi="Times New Roman;sans-serif"/>
          <w:b w:val="false"/>
          <w:color w:val="000000"/>
          <w:sz w:val="20"/>
        </w:rPr>
        <w:t>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In recent years we have experienced higher sales related to the outdoors and sports and recreation merchandise divisions, as our customers turned to us for isolated recreation and outdoor and leisure activities during the pandemic. As our business has normalized, we have experienced a shift in our sales mix from the outdoors and sports and recreation merchandise divisions to the footwear and apparel merchandise divisions, which has generally had a positive impact on our gross margin rate.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expansion and enhancement of our omnichannel capabilities has resulted in increased sales in recent years, and we expect that it will continue to be a driver of growth in our net sales. We continue to invest in initiatives that will increase traffic to our e-commerce platform, which includes our website and mobile app, and drive increased online sales conversion. We have recently improved our omnichannel capabilities by implementing several innovative features to enhance the customer shopping experience, including a redesigned home page, additional BOPIS features, and enhanced shipment notifications. Our improved e-commerce platform supports our stores with digital marketing and our BOPIS and ship-to-store programs. Additionally, our e-commerce platform allows us to reach customers outside of our current store footprint and introduces new customers to the Academy brand. It also allows for us to connect further with our customers for marketing and product education. We believe it is important that we continue to grow our omnichannel capabilities, which, together with recent enhancements made to our website and omnichannel capabilities, contributed to the increase in e-commerce sales during 2022. During the 2023 second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significant investments by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new stores will be a key driver of growth in our net sales in the future as we execute our new store opening growth plans of 13 to 14 total new stores in 2023 and 120 to 140 total new stores over the five fiscal year period ending with 2027. Our results of operations have been and will continue to be materially affected by the timing and number of new store openings. We are continually assessing the number of locations available that could accommodate our preferred size of stores in markets we would consider, and during the 2023 second quarter we opened one new store. We expect most of our stores to achieve profitability within the first twelve months of opening. We believe our real estate strategy has positioned us well for further expansion.</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Gross Margin. </w:t>
      </w:r>
      <w:r>
        <w:rPr>
          <w:rFonts w:ascii="Times New Roman;sans-serif" w:hAnsi="Times New Roman;sans-serif"/>
          <w:b w:val="false"/>
          <w:color w:val="000000"/>
          <w:sz w:val="20"/>
        </w:rPr>
        <w:t>Gross margin is our net sales less cost of goods sold. Our cost of goods sold includes the direct cost of merchandise and costs related to procurement, warehousing and distribution, which consist primarily of payroll and benefits, distribution center occupancy costs and freight and are generally variable in nature relative to our sales volume.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there was increased competition across the industry for resources throughout a constrained supply chain, which resulted in disruptions to the flow of products from our vendors, labor shortages, reduced shipping container availability, and longer delays at the port. As a result, we experienced a period of decreased or delayed supply and high inflation which negatively impacted transportation and inventory costs. Over the past year, we have seen improvement to these constraints, resulting in decreased freight costs.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Selling, General and Administrative Expenses. </w:t>
      </w:r>
      <w:r>
        <w:rPr>
          <w:rFonts w:ascii="Times New Roman;sans-serif" w:hAnsi="Times New Roman;sans-serif"/>
          <w:b w:val="false"/>
          <w:color w:val="000000"/>
          <w:sz w:val="20"/>
        </w:rPr>
        <w:t>Selling, general and administrative ("SG&amp;A") expenses include store and corporate administrative 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20.8% in the prior year-to-date to 23.4% in the current year-to-date.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of 13 to 14 total new stores in 2023 and 120 to 140 total new stores over the five fiscal year period ending with 2027, we expect our pre-opening expenses to increase and result in a negative impact to SG&amp;A as a percentage of sales. The following table summarizes our pre-opening expense activity for the periods presented:</w:t>
      </w:r>
    </w:p>
    <w:tbl>
      <w:tblPr>
        <w:tblW w:w="9392"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354"/>
        <w:gridCol w:w="707"/>
        <w:gridCol w:w="183"/>
        <w:gridCol w:w="123"/>
        <w:gridCol w:w="123"/>
        <w:gridCol w:w="123"/>
        <w:gridCol w:w="362"/>
        <w:gridCol w:w="696"/>
        <w:gridCol w:w="187"/>
        <w:gridCol w:w="109"/>
        <w:gridCol w:w="109"/>
        <w:gridCol w:w="109"/>
        <w:gridCol w:w="354"/>
        <w:gridCol w:w="707"/>
        <w:gridCol w:w="183"/>
        <w:gridCol w:w="136"/>
        <w:gridCol w:w="136"/>
        <w:gridCol w:w="136"/>
        <w:gridCol w:w="353"/>
        <w:gridCol w:w="679"/>
        <w:gridCol w:w="257"/>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new stores opened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360"/>
        <w:jc w:val="both"/>
        <w:rPr/>
      </w:pPr>
      <w:r>
        <w:rPr>
          <w:rFonts w:ascii="Times New Roman;sans-serif" w:hAnsi="Times New Roman;sans-serif"/>
          <w:b/>
          <w:i/>
          <w:color w:val="000000"/>
          <w:sz w:val="20"/>
        </w:rPr>
        <w:t xml:space="preserve">Interest Expense. </w:t>
      </w:r>
      <w:r>
        <w:rPr>
          <w:rFonts w:ascii="Times New Roman;sans-serif" w:hAnsi="Times New Roman;sans-serif"/>
          <w:b w:val="false"/>
          <w:color w:val="000000"/>
          <w:sz w:val="20"/>
        </w:rPr>
        <w:t>Interest expense includes regular interest payable related to our Term Loan, Notes and ABL Facility (see Note 4 to the accompanying financial statements) and the amortization of our deferred loan costs and original issuance discounts associated with the acquisition of the debt. In December of 2022, we utilized cash on hand to voluntarily prepay $100 million of outstanding borrowings on our Term Loan (see Note 4 to the accompanying financial statements), however, during the year-to-date 2022 and 2023, the Federal Reserve increased the federal funds benchmark rate, which resulted in increased interest rates on our Term Loan and led to higher interest expense in the year-to-date 2023 relative to the year-to-date 2022.</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ASO, Inc. is treated as a U.S. corporation for U.S. federal, state, and local income tax purposes and accordingly, a provision for income taxes has been recorded for the anticipated tax consequences of our reported results of operations for federal, state and local income taxes. Recent fluctuations in income tax expense have been primarily as a result of changes in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Thirteen Weeks Ended July 29, 2023 Compared to Thirteen Weeks Ended July 30, 2022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amounts and information derived from our unaudited statements of income for the periods indicated as follows (dollar amounts in thousands):</w:t>
      </w:r>
    </w:p>
    <w:tbl>
      <w:tblPr>
        <w:tblW w:w="10205" w:type="dxa"/>
        <w:jc w:val="left"/>
        <w:tblInd w:w="0" w:type="dxa"/>
        <w:tblLayout w:type="fixed"/>
        <w:tblCellMar>
          <w:top w:w="28" w:type="dxa"/>
          <w:left w:w="28" w:type="dxa"/>
          <w:bottom w:w="28" w:type="dxa"/>
          <w:right w:w="28" w:type="dxa"/>
        </w:tblCellMar>
      </w:tblPr>
      <w:tblGrid>
        <w:gridCol w:w="676"/>
        <w:gridCol w:w="591"/>
        <w:gridCol w:w="293"/>
        <w:gridCol w:w="109"/>
        <w:gridCol w:w="109"/>
        <w:gridCol w:w="109"/>
        <w:gridCol w:w="211"/>
        <w:gridCol w:w="991"/>
        <w:gridCol w:w="109"/>
        <w:gridCol w:w="109"/>
        <w:gridCol w:w="109"/>
        <w:gridCol w:w="109"/>
        <w:gridCol w:w="315"/>
        <w:gridCol w:w="316"/>
        <w:gridCol w:w="301"/>
        <w:gridCol w:w="109"/>
        <w:gridCol w:w="109"/>
        <w:gridCol w:w="109"/>
        <w:gridCol w:w="211"/>
        <w:gridCol w:w="976"/>
        <w:gridCol w:w="109"/>
        <w:gridCol w:w="109"/>
        <w:gridCol w:w="109"/>
        <w:gridCol w:w="109"/>
        <w:gridCol w:w="308"/>
        <w:gridCol w:w="308"/>
        <w:gridCol w:w="271"/>
        <w:gridCol w:w="109"/>
        <w:gridCol w:w="109"/>
        <w:gridCol w:w="109"/>
        <w:gridCol w:w="211"/>
        <w:gridCol w:w="847"/>
        <w:gridCol w:w="109"/>
        <w:gridCol w:w="109"/>
        <w:gridCol w:w="109"/>
        <w:gridCol w:w="109"/>
        <w:gridCol w:w="306"/>
        <w:gridCol w:w="310"/>
        <w:gridCol w:w="474"/>
      </w:tblGrid>
      <w:tr>
        <w:trPr/>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1,583,077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1,019,631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563,446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352,483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210,963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203,273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46,198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*Percentages in table may not sum properly due to rounding.</w:t>
      </w:r>
    </w:p>
    <w:p>
      <w:pPr>
        <w:pStyle w:val="TextBody"/>
        <w:bidi w:val="0"/>
        <w:spacing w:before="0" w:after="0"/>
        <w:jc w:val="both"/>
        <w:rPr/>
      </w:pPr>
      <w:r>
        <w:rPr/>
      </w:r>
    </w:p>
    <w:p>
      <w:pPr>
        <w:pStyle w:val="TextBody"/>
        <w:bidi w:val="0"/>
        <w:spacing w:lineRule="auto" w:line="288" w:before="180" w:after="283"/>
        <w:ind w:left="0" w:right="0" w:firstLine="360"/>
        <w:jc w:val="both"/>
        <w:rPr/>
      </w:pPr>
      <w:r>
        <w:rPr>
          <w:rFonts w:ascii="Times New Roman;sans-serif" w:hAnsi="Times New Roman;sans-serif"/>
          <w:b/>
          <w:i/>
          <w:color w:val="000000"/>
          <w:sz w:val="20"/>
        </w:rPr>
        <w:t>Net Sales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Net sales decreased $103.8 million, or 6.2%, in the 2023 second quarter over the prior year second quarter as a result of decreased comparable sales of 7.5%, which were partially offset by additional net sales generated by new locations. As of the end of the 2023 second quarter, we operated nine additional stores as compared to the end of the 2022 second quarter, and we had the full benefit of one store opened during the 2022 second quarter. Collectively, these stores accounted for a $24.2 million increase in net sales for the 2023 second quarter.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of 7.5% in comparable sales was driven by lower sales across all merchandise divisions as a result of a decrease in transactions of 8.3%, partially offset by an increase in average ticket of 0.8%. The outdoors merchandise division sales declines were primarily as a result of a decrease in the hunting category, driven by decreases in firearms and ammunition sales over the prior year second quarter. The apparel merchandise division sales decreased due to lower sales in athletic and outdoor apparel, partially offset by increased sales in licensed apparel. The footwear merchandise division sales decreased due to lower sales in athletic footwear and team sports footwear categories, which were partially offset by increased sales in the casual footwear category. The decline in the sports and recreation merchandise division sales was primarily driven by decreased sales in water sports, fitness equipment, and bikes, partially offset by sales increases in team sports, including golf and racquet sports and baseball.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E-commerce net sales represented 9.4% of merchandise sales for the 2023 second quarter compared to 10.0% for the prior year second quarter.</w:t>
      </w:r>
    </w:p>
    <w:p>
      <w:pPr>
        <w:pStyle w:val="TextBody"/>
        <w:bidi w:val="0"/>
        <w:spacing w:lineRule="auto" w:line="288" w:before="180" w:after="180"/>
        <w:ind w:left="0" w:right="0" w:firstLine="360"/>
        <w:jc w:val="both"/>
        <w:rPr/>
      </w:pPr>
      <w:r>
        <w:rPr>
          <w:rFonts w:ascii="Times New Roman;sans-serif" w:hAnsi="Times New Roman;sans-serif"/>
          <w:b/>
          <w:i/>
          <w:color w:val="000000"/>
          <w:sz w:val="20"/>
        </w:rPr>
        <w:t>Gross Margin.</w:t>
      </w:r>
      <w:r>
        <w:rPr>
          <w:color w:val="000000"/>
        </w:rPr>
        <w:t xml:space="preserve"> </w:t>
      </w:r>
      <w:r>
        <w:rPr>
          <w:rFonts w:ascii="Times New Roman;sans-serif" w:hAnsi="Times New Roman;sans-serif"/>
          <w:b w:val="false"/>
          <w:color w:val="000000"/>
          <w:sz w:val="20"/>
        </w:rPr>
        <w:t>Gross margin decreased $32.6 million, or 5.5%, to $563.4 million in the 2023 second quarter from $596.1 million in the 2022 second quarter. As a percentage of net sales, gross margin increased 0.3% from 35.3% in the 2022 second quarter to 35.6% in the 2023 second quarter. The increase of 30 basis points in gross margin is primarily attributable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88 basis points of favorability in import and domestic freight due to lower freight costs per unit; partially offset by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37 basis points of unfavorability as a result of increased shrink;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21 basis points of unfavorability in merchandise margin as a result of increased promotional activity compared to the 2022 second quarter.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SG&amp;A expenses increased $13.2 million, or 3.9%, to $352.5 million in the 2023 second quarter as compared to $339.3 million in the 2022 second quarter. As a percentage of net sales, SG&amp;A expenses increased 2.2% to 22.3% in the 2023 second quarter compared to 20.1% in the 2022 second quarter. The increase of 220 basis points in SG&amp;A is primarily attributable to deleverage from decreased sales. SG&amp;A costs also increased $13.2 million primarily as a result of:</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Employee compensation costs increased $8.2 million, primarily due to increased equity compensation and increased wages expense over the prior year, partially attributable to the addition of nine new stores since the end of the second quarter of prior year; and</w:t>
      </w:r>
    </w:p>
    <w:p>
      <w:pPr>
        <w:pStyle w:val="TextBody"/>
        <w:bidi w:val="0"/>
        <w:spacing w:lineRule="auto" w:line="288" w:before="60" w:after="180"/>
        <w:ind w:left="0" w:right="0" w:hanging="360"/>
        <w:jc w:val="both"/>
        <w:rPr/>
      </w:pPr>
      <w:r>
        <w:rPr>
          <w:color w:val="000000"/>
        </w:rPr>
        <w:t>•</w:t>
      </w:r>
      <w:r>
        <w:rPr>
          <w:rFonts w:ascii="Times New Roman;sans-serif" w:hAnsi="Times New Roman;sans-serif"/>
          <w:b w:val="false"/>
          <w:color w:val="000000"/>
          <w:sz w:val="20"/>
        </w:rPr>
        <w:t>Property and facility fees increase of $6.0 million primarily due to the addition of new stores.</w:t>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Interest Expense. </w:t>
      </w:r>
      <w:r>
        <w:rPr>
          <w:rFonts w:ascii="Times New Roman;sans-serif" w:hAnsi="Times New Roman;sans-serif"/>
          <w:b w:val="false"/>
          <w:color w:val="000000"/>
          <w:sz w:val="20"/>
        </w:rPr>
        <w:t>Interest expense increased $0.2 million, or 1.4%, in the 2023 second quarter when compared with the 2022 second quarter, resulting from increased interest rates on our Term Loan, which were partially offset by a lower outstanding balance on our long-term debt as a result of a voluntary prepayment of $100.0 million in December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Other (Income), net. </w:t>
      </w:r>
      <w:r>
        <w:rPr>
          <w:rFonts w:ascii="Times New Roman;sans-serif" w:hAnsi="Times New Roman;sans-serif"/>
          <w:b w:val="false"/>
          <w:color w:val="000000"/>
          <w:sz w:val="20"/>
        </w:rPr>
        <w:t>Other (income), net, increased $2.2 million in the 2023 second quarter when compared with the 2022 second quarter, primarily driven by higher interest rates on money market investments in the current year.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Income tax expense decreased $12.0 million to $46.2 million for the 2023 second quarter as compared to $58.2 million in the 2022 second quarter, resulting primarily from a decrease in pre-tax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Twenty-Six Weeks Ended July 29, 2023 Compared to Twenty-Six Weeks Ended July 30, 2022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amounts and information derived from our unaudited statements of income for the periods indicated as follows (dollar amounts in thousands):</w:t>
      </w:r>
    </w:p>
    <w:tbl>
      <w:tblPr>
        <w:tblW w:w="10205" w:type="dxa"/>
        <w:jc w:val="left"/>
        <w:tblInd w:w="0" w:type="dxa"/>
        <w:tblLayout w:type="fixed"/>
        <w:tblCellMar>
          <w:top w:w="28" w:type="dxa"/>
          <w:left w:w="28" w:type="dxa"/>
          <w:bottom w:w="28" w:type="dxa"/>
          <w:right w:w="28" w:type="dxa"/>
        </w:tblCellMar>
      </w:tblPr>
      <w:tblGrid>
        <w:gridCol w:w="676"/>
        <w:gridCol w:w="591"/>
        <w:gridCol w:w="293"/>
        <w:gridCol w:w="109"/>
        <w:gridCol w:w="109"/>
        <w:gridCol w:w="109"/>
        <w:gridCol w:w="211"/>
        <w:gridCol w:w="991"/>
        <w:gridCol w:w="109"/>
        <w:gridCol w:w="109"/>
        <w:gridCol w:w="109"/>
        <w:gridCol w:w="109"/>
        <w:gridCol w:w="315"/>
        <w:gridCol w:w="316"/>
        <w:gridCol w:w="301"/>
        <w:gridCol w:w="109"/>
        <w:gridCol w:w="109"/>
        <w:gridCol w:w="109"/>
        <w:gridCol w:w="211"/>
        <w:gridCol w:w="976"/>
        <w:gridCol w:w="109"/>
        <w:gridCol w:w="109"/>
        <w:gridCol w:w="109"/>
        <w:gridCol w:w="109"/>
        <w:gridCol w:w="308"/>
        <w:gridCol w:w="308"/>
        <w:gridCol w:w="271"/>
        <w:gridCol w:w="109"/>
        <w:gridCol w:w="109"/>
        <w:gridCol w:w="109"/>
        <w:gridCol w:w="211"/>
        <w:gridCol w:w="847"/>
        <w:gridCol w:w="109"/>
        <w:gridCol w:w="109"/>
        <w:gridCol w:w="109"/>
        <w:gridCol w:w="109"/>
        <w:gridCol w:w="306"/>
        <w:gridCol w:w="310"/>
        <w:gridCol w:w="474"/>
      </w:tblGrid>
      <w:tr>
        <w:trPr/>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2,966,686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1,936,125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1,030,561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693,402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337,159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321,952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251,045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*Percentages in table may not sum properly due to rounding.</w:t>
      </w:r>
    </w:p>
    <w:p>
      <w:pPr>
        <w:pStyle w:val="TextBody"/>
        <w:bidi w:val="0"/>
        <w:spacing w:before="0" w:after="0"/>
        <w:jc w:val="both"/>
        <w:rPr/>
      </w:pPr>
      <w:r>
        <w:rPr/>
      </w:r>
    </w:p>
    <w:p>
      <w:pPr>
        <w:pStyle w:val="TextBody"/>
        <w:bidi w:val="0"/>
        <w:spacing w:lineRule="auto" w:line="288" w:before="240" w:after="283"/>
        <w:ind w:left="0" w:right="0" w:firstLine="360"/>
        <w:jc w:val="both"/>
        <w:rPr/>
      </w:pPr>
      <w:r>
        <w:rPr>
          <w:rFonts w:ascii="Times New Roman;sans-serif" w:hAnsi="Times New Roman;sans-serif"/>
          <w:b/>
          <w:i/>
          <w:color w:val="000000"/>
          <w:sz w:val="20"/>
        </w:rPr>
        <w:t>Net Sales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Net sales decreased $188.0 million, or 6.0%, for the year-to-date 2023 compared to the year-to-date 2022 as a result of decreased comparable sales of 7.4%, which were partially offset by increased sales generated from new locations. As of the end of the 2023 second quarter, we operated nine additional stores as compared to the end of the 2022 second quarter, and we had the full benefit of two stores opened during the year-to-date 2022. Collectively, these stores accounted for a $47.1 million increase in net sales for the year-to-date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of 7.4% in comparable sales was driven by lower sales across all merchandise divisions as a result of a decrease in transactions of 7.6%, while the average ticket remained relatively flat. The outdoors merchandise division sales declines were primarily as a result of the hunting category driven by decreases in firearms and ammunition sales over the prior year-to-date. The sports and recreation merchandise division decrease was a result of decreased sales in water sports, fitness equipment, bikes and outdoor games, partially offset by sales increases in team sports, including baseball, golf and racquet sports. The footwear merchandise division sales decreased due to lower sales in athletic footwear, partially offset by increased sales in casual and seasonal footwear. The apparel merchandise division sales decreased due to lower sales in athletic and outdoor apparel, partially offset by increased sales in licensed apparel.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E-commerce net sales represented 8.8% of merchandise sales in the year-to-date 2023 compared to 9.8% in the year-to-date 2022. </w:t>
      </w:r>
    </w:p>
    <w:p>
      <w:pPr>
        <w:pStyle w:val="TextBody"/>
        <w:bidi w:val="0"/>
        <w:spacing w:lineRule="auto" w:line="288" w:before="180" w:after="180"/>
        <w:ind w:left="0" w:right="0" w:firstLine="360"/>
        <w:jc w:val="both"/>
        <w:rPr/>
      </w:pPr>
      <w:r>
        <w:rPr>
          <w:rFonts w:ascii="Times New Roman;sans-serif" w:hAnsi="Times New Roman;sans-serif"/>
          <w:b/>
          <w:i/>
          <w:color w:val="000000"/>
          <w:sz w:val="20"/>
        </w:rPr>
        <w:t>Gross Margin.</w:t>
      </w:r>
      <w:r>
        <w:rPr>
          <w:color w:val="000000"/>
        </w:rPr>
        <w:t xml:space="preserve"> </w:t>
      </w:r>
      <w:r>
        <w:rPr>
          <w:rFonts w:ascii="Times New Roman;sans-serif" w:hAnsi="Times New Roman;sans-serif"/>
          <w:b w:val="false"/>
          <w:color w:val="000000"/>
          <w:sz w:val="20"/>
        </w:rPr>
        <w:t>Gross margin decreased $86.9 million, or 7.8%, to $1,030.6 million for the year-to-date 2023 from $1,117.5 million for the year-to-date 2022. As a percentage of net sales, gross margin decreased 0.7% from 35.4% in the year-to-date 2022 to 34.7% in the year-to-date 2023. The decrease of 70 basis points in gross margin is primarily attributable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62 basis points of unfavorability in merchandise margin as a result of increased clearance and promotional activity compared to the 2022 year-to-date;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55 basis points of unfavorability as a result of increased inventory shrink;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43 basis points of unfavorability in inventory overhead expenditures as a result of higher absorption rates from lower inventory turnover rates; partially offset by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90 basis points of favorability in import and domestic freight due to lower freight costs per unit.</w:t>
      </w:r>
    </w:p>
    <w:p>
      <w:pPr>
        <w:pStyle w:val="TextBody"/>
        <w:bidi w:val="0"/>
        <w:spacing w:before="0" w:after="0"/>
        <w:jc w:val="both"/>
        <w:rPr/>
      </w:pPr>
      <w:r>
        <w:rPr/>
      </w:r>
    </w:p>
    <w:p>
      <w:pPr>
        <w:pStyle w:val="TextBody"/>
        <w:bidi w:val="0"/>
        <w:spacing w:lineRule="auto" w:line="288" w:before="0" w:after="180"/>
        <w:ind w:left="0" w:right="0" w:firstLine="360"/>
        <w:jc w:val="both"/>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SG&amp;A expenses increased $38.1 million, or 5.8%, to $693.4 million for the year-to-date 2023 from $655.3 million for the year-to-date 2022. As a percentage of net sales, SG&amp;A expenses increased 2.6% to 23.4% in the year-to-date 2023 compared to 20.8% in the year-to-date 2022. The increase of 260 basis points is primarily attributable to deleverage from decreased sales. SG&amp;A costs also increased $38.1 million primarily as a result of:</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Employee compensation costs increased $20.2 million primarily due to increased equity compensation and an increased wages expense over the prior year, partially attributable to the addition of nine new stores since the end of the prior year second quarter;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Property and facility fees increase of $10.3 million primarily due to the addition of new stores;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Advertising spend increase of $5.5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Interest Expense. </w:t>
      </w:r>
      <w:r>
        <w:rPr>
          <w:rFonts w:ascii="Times New Roman;sans-serif" w:hAnsi="Times New Roman;sans-serif"/>
          <w:b w:val="false"/>
          <w:color w:val="000000"/>
          <w:sz w:val="20"/>
        </w:rPr>
        <w:t>Interest expense increased $0.5 million, or 2.1%, for the year-to-date 2023 when compared to the year-to-date 2022, resulting from an increase in interest rates on our Term Loan, which were partially offset by a lower outstanding balance on our long-term debt as a result of a voluntary prepayment of $100.0 million in December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Other (Income), net. </w:t>
      </w:r>
      <w:r>
        <w:rPr>
          <w:rFonts w:ascii="Times New Roman;sans-serif" w:hAnsi="Times New Roman;sans-serif"/>
          <w:b w:val="false"/>
          <w:color w:val="000000"/>
          <w:sz w:val="20"/>
        </w:rPr>
        <w:t>Other income, net, increased $5.2 million in the year-to-date 2023 when compared to the year-to-date 2022 due to higher interest rates on money market investments in the current year.</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Income tax expense decreased $32.8 million to $70.9 million for the year-to-date 2023 as compared to $103.7 million for the year-to-date 2022, resulting primarily from a decrease in pre-tax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costs such as equity compensation expense, (gain) loss on early retirement of debt, net, payroll taxes associated with the 2021 Vesting Event and other adjustments. We define Adjusted EBIT as net income (loss) before interest expense, net, and income tax expense, further adjusted to exclude costs such as equity compensation expense, (gain) loss on early retirement of debt, net, payroll taxes associated with the 2021 Vesting Event and other adjustments. We describe these adjustments reconciling net income (loss) to Adjusted EBITDA and to Adjusted EBIT in the applicable table below. We define Adjusted Net Income as net income (loss), plus costs such as equity compensation expense, (gain) loss on early retirement of debt, net, payroll taxes associated with the 2021 Vesting Event and other adjustments,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costs or cash outlays for capital expenditures or contractual commitments;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changes in, or cash requirements for, our working capital needs;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and Adjusted EBIT do not reflect period to period changes in taxes, income tax expense or the cash necessary to pay income taxes;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Adjusted EBITDA, Adjusted EBIT, Adjusted Net Income, and Adjusted Earnings per Share do not reflect the impact of earnings or charges resulting from matters we consider not to be indicative of our ongoing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Adjusted EBITDA and Adjusted Free Cash Flow do not reflect cash requirements for such replacements;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other companies in our industry may calculate these measures differently than we do, limiting their usefulness as comparative measures.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EBITDA and Adjusted EBIT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reconciliations of net income to Adjusted EBITDA and to Adjusted EBIT for the periods presented (amounts in thousands):</w:t>
      </w:r>
    </w:p>
    <w:tbl>
      <w:tblPr>
        <w:tblW w:w="10205" w:type="dxa"/>
        <w:jc w:val="left"/>
        <w:tblInd w:w="0" w:type="dxa"/>
        <w:tblLayout w:type="fixed"/>
        <w:tblCellMar>
          <w:top w:w="28" w:type="dxa"/>
          <w:left w:w="28" w:type="dxa"/>
          <w:bottom w:w="28" w:type="dxa"/>
          <w:right w:w="28" w:type="dxa"/>
        </w:tblCellMar>
      </w:tblPr>
      <w:tblGrid>
        <w:gridCol w:w="427"/>
        <w:gridCol w:w="303"/>
        <w:gridCol w:w="226"/>
        <w:gridCol w:w="324"/>
        <w:gridCol w:w="324"/>
        <w:gridCol w:w="332"/>
        <w:gridCol w:w="148"/>
        <w:gridCol w:w="148"/>
        <w:gridCol w:w="148"/>
        <w:gridCol w:w="293"/>
        <w:gridCol w:w="1169"/>
        <w:gridCol w:w="151"/>
        <w:gridCol w:w="148"/>
        <w:gridCol w:w="148"/>
        <w:gridCol w:w="148"/>
        <w:gridCol w:w="294"/>
        <w:gridCol w:w="1154"/>
        <w:gridCol w:w="151"/>
        <w:gridCol w:w="148"/>
        <w:gridCol w:w="148"/>
        <w:gridCol w:w="148"/>
        <w:gridCol w:w="293"/>
        <w:gridCol w:w="1169"/>
        <w:gridCol w:w="151"/>
        <w:gridCol w:w="148"/>
        <w:gridCol w:w="148"/>
        <w:gridCol w:w="148"/>
        <w:gridCol w:w="294"/>
        <w:gridCol w:w="1152"/>
        <w:gridCol w:w="222"/>
      </w:tblGrid>
      <w:tr>
        <w:trPr/>
        <w:tc>
          <w:tcPr>
            <w:tcW w:w="42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9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19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157,075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251,045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11,313</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22,543</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46,198</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70,907</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103,681 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25,760</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52,021</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(a)</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8,501</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19,883</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(b)</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248,847</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290,607 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416,399</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525,874 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(25,760)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(52,021)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(51,852)</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 (b)</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223,087</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264,333 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364,378</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474,022 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249"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Represents non-cash charges related to equity-based compensation, which vary from period to period depending on certain factors such as timing and valuation of awards, achievement of performance targets and equity award forfeitures.</w:t>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249"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Effective January 28, 2023, we no longer exclude pre-opening expenses from our computations of Adjusted EBITDA and Adjusted EBIT. Adjusted EBITDA and Adjusted EBIT for the thirteen and twenty-six weeks ended July 30, 2022 have been revised to the current period computation methodology. See the section entitled </w:t>
            </w:r>
            <w:r>
              <w:rPr>
                <w:rFonts w:ascii="Times New Roman;sans-serif" w:hAnsi="Times New Roman;sans-serif"/>
                <w:b w:val="false"/>
                <w:i/>
                <w:color w:val="000000"/>
                <w:sz w:val="20"/>
              </w:rPr>
              <w:t>Management's Discussion and Analysis of Financial Condition and Results of Operations - Overview - Selling, General and Administrative Expenses</w:t>
            </w:r>
            <w:r>
              <w:rPr>
                <w:color w:val="000000"/>
              </w:rPr>
              <w:t xml:space="preserve"> </w:t>
            </w:r>
            <w:r>
              <w:rPr>
                <w:rFonts w:ascii="Times New Roman;sans-serif" w:hAnsi="Times New Roman;sans-serif"/>
                <w:b w:val="false"/>
                <w:color w:val="000000"/>
                <w:sz w:val="20"/>
              </w:rPr>
              <w:t xml:space="preserve">for details of our pre-opening expenses for the periods presented.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Net Income and Adjusted Earnings per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Adjusted Net Income and Adjusted Earnings per Share for the periods presented (amounts in thousands, except per share data):</w:t>
      </w:r>
    </w:p>
    <w:tbl>
      <w:tblPr>
        <w:tblW w:w="10205" w:type="dxa"/>
        <w:jc w:val="left"/>
        <w:tblInd w:w="0" w:type="dxa"/>
        <w:tblLayout w:type="fixed"/>
        <w:tblCellMar>
          <w:top w:w="28" w:type="dxa"/>
          <w:left w:w="28" w:type="dxa"/>
          <w:bottom w:w="28" w:type="dxa"/>
          <w:right w:w="28" w:type="dxa"/>
        </w:tblCellMar>
      </w:tblPr>
      <w:tblGrid>
        <w:gridCol w:w="273"/>
        <w:gridCol w:w="240"/>
        <w:gridCol w:w="240"/>
        <w:gridCol w:w="451"/>
        <w:gridCol w:w="451"/>
        <w:gridCol w:w="470"/>
        <w:gridCol w:w="144"/>
        <w:gridCol w:w="144"/>
        <w:gridCol w:w="144"/>
        <w:gridCol w:w="286"/>
        <w:gridCol w:w="1143"/>
        <w:gridCol w:w="147"/>
        <w:gridCol w:w="144"/>
        <w:gridCol w:w="144"/>
        <w:gridCol w:w="144"/>
        <w:gridCol w:w="287"/>
        <w:gridCol w:w="1127"/>
        <w:gridCol w:w="148"/>
        <w:gridCol w:w="144"/>
        <w:gridCol w:w="144"/>
        <w:gridCol w:w="144"/>
        <w:gridCol w:w="286"/>
        <w:gridCol w:w="1143"/>
        <w:gridCol w:w="147"/>
        <w:gridCol w:w="144"/>
        <w:gridCol w:w="144"/>
        <w:gridCol w:w="144"/>
        <w:gridCol w:w="287"/>
        <w:gridCol w:w="1126"/>
        <w:gridCol w:w="225"/>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2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157,075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188,801 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251,045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(a)</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8,501</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19,883</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effects of these adjustments (b)</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(4,378)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(c)</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163,568</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193,510 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266,550</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345,999 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3.39</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76,104</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76,483</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78,091</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78,735</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452"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Represents non-cash charges related to equity-based compensation, which vary from period to period depending on certain factors such as timing and valuation of awards, achievement of performance targets and equity award forfeitures.</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452"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thirteen and twenty-six weeks ended July 29, 2023 and July 30, 2022, this represents the estimated tax effect (by using the projected full year tax rates for the respective years) of the total adjustments made to arrive at Adjusted Net Income. </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452"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Effective January 28, 2023, we no longer exclude pre-opening expenses from our computation of Adjusted Net Income. Adjusted Net Income for the thirteen and twenty-six weeks ended July 30, 2022 has been revised to the current period computation methodology. See the section entitled </w:t>
            </w:r>
            <w:r>
              <w:rPr>
                <w:rFonts w:ascii="Times New Roman;sans-serif" w:hAnsi="Times New Roman;sans-serif"/>
                <w:b w:val="false"/>
                <w:i/>
                <w:color w:val="000000"/>
                <w:sz w:val="20"/>
              </w:rPr>
              <w:t>Management's Discussion and Analysis of Financial Condition and Results of Operations - Overview - Selling, General and Administrative Expenses</w:t>
            </w:r>
            <w:r>
              <w:rPr>
                <w:color w:val="000000"/>
              </w:rPr>
              <w:t xml:space="preserve"> </w:t>
            </w:r>
            <w:r>
              <w:rPr>
                <w:rFonts w:ascii="Times New Roman;sans-serif" w:hAnsi="Times New Roman;sans-serif"/>
                <w:b w:val="false"/>
                <w:color w:val="000000"/>
                <w:sz w:val="20"/>
              </w:rPr>
              <w:t xml:space="preserve">for details of our pre-opening expenses for the periods presented. </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Free Cash Flow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cash provided by operating activities to Adjusted Free Cash Flow for the periods presented (amounts in thousands):</w:t>
      </w:r>
    </w:p>
    <w:tbl>
      <w:tblPr>
        <w:tblW w:w="9795" w:type="dxa"/>
        <w:jc w:val="left"/>
        <w:tblInd w:w="0" w:type="dxa"/>
        <w:tblLayout w:type="fixed"/>
        <w:tblCellMar>
          <w:top w:w="28" w:type="dxa"/>
          <w:left w:w="28" w:type="dxa"/>
          <w:bottom w:w="28" w:type="dxa"/>
          <w:right w:w="28" w:type="dxa"/>
        </w:tblCellMar>
      </w:tblPr>
      <w:tblGrid>
        <w:gridCol w:w="1254"/>
        <w:gridCol w:w="1104"/>
        <w:gridCol w:w="1107"/>
        <w:gridCol w:w="109"/>
        <w:gridCol w:w="109"/>
        <w:gridCol w:w="109"/>
        <w:gridCol w:w="226"/>
        <w:gridCol w:w="902"/>
        <w:gridCol w:w="116"/>
        <w:gridCol w:w="109"/>
        <w:gridCol w:w="109"/>
        <w:gridCol w:w="109"/>
        <w:gridCol w:w="229"/>
        <w:gridCol w:w="898"/>
        <w:gridCol w:w="118"/>
        <w:gridCol w:w="109"/>
        <w:gridCol w:w="109"/>
        <w:gridCol w:w="109"/>
        <w:gridCol w:w="226"/>
        <w:gridCol w:w="902"/>
        <w:gridCol w:w="116"/>
        <w:gridCol w:w="109"/>
        <w:gridCol w:w="109"/>
        <w:gridCol w:w="109"/>
        <w:gridCol w:w="228"/>
        <w:gridCol w:w="895"/>
        <w:gridCol w:w="166"/>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191,431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243,566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(67,299)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(107,846)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124,132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135,720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Sources and Uses of Liquidity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liquidity requirements are for working capital, capital expenditures and cash used to pay our debt obligations and related interest expense. We also use cash to pay dividends and occasionally use cash to repurchase common stock. We fund these liquidity requirements through cash and cash equivalents, cash generated from operating activities, issuances of debt (such as the Notes) and borrowings under our ABL Facility. On July 29, 2023, our cash and cash equivalents totaled $311.3 million. We believe our cash and cash equivalents, as well as our availability under the ABL Facility, will be sufficient to fund our cash requirements for at least the next 12 months.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29, 2023, the Company's long-term debt and interest rates consist of (see Note 4 to the accompanying financial statements):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Notes - 6.00% fixed rate senior secured notes with $400 million in principal outstanding and full principal maturing November 15, 2027;</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Term Loan - 8.94% variable rate term-loan with $193.3 million in principal outstanding maturing November 6, 2027 and quarterly principal payments of $750 thousand;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ABL Facility - $1.0 billion commitment on a variable rate secured asset-based revolving credit facility with no principal outstanding maturing November 6, 2025.</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current debt obligations by fiscal year (amounts in thousands):</w:t>
      </w:r>
    </w:p>
    <w:tbl>
      <w:tblPr>
        <w:tblW w:w="10205" w:type="dxa"/>
        <w:jc w:val="left"/>
        <w:tblInd w:w="0" w:type="dxa"/>
        <w:tblLayout w:type="fixed"/>
        <w:tblCellMar>
          <w:top w:w="28" w:type="dxa"/>
          <w:left w:w="28" w:type="dxa"/>
          <w:bottom w:w="28" w:type="dxa"/>
          <w:right w:w="28" w:type="dxa"/>
        </w:tblCellMar>
      </w:tblPr>
      <w:tblGrid>
        <w:gridCol w:w="821"/>
        <w:gridCol w:w="704"/>
        <w:gridCol w:w="710"/>
        <w:gridCol w:w="258"/>
        <w:gridCol w:w="883"/>
        <w:gridCol w:w="133"/>
        <w:gridCol w:w="258"/>
        <w:gridCol w:w="883"/>
        <w:gridCol w:w="133"/>
        <w:gridCol w:w="258"/>
        <w:gridCol w:w="883"/>
        <w:gridCol w:w="133"/>
        <w:gridCol w:w="258"/>
        <w:gridCol w:w="883"/>
        <w:gridCol w:w="133"/>
        <w:gridCol w:w="258"/>
        <w:gridCol w:w="1012"/>
        <w:gridCol w:w="133"/>
        <w:gridCol w:w="258"/>
        <w:gridCol w:w="1012"/>
        <w:gridCol w:w="201"/>
      </w:tblGrid>
      <w:tr>
        <w:trPr/>
        <w:tc>
          <w:tcPr>
            <w:tcW w:w="82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14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Term Loan and related interest </w:t>
            </w:r>
            <w:r>
              <w:rPr>
                <w:rFonts w:ascii="Times New Roman;sans-serif" w:hAnsi="Times New Roman;sans-serif"/>
                <w:b w:val="false"/>
                <w:color w:val="000000"/>
                <w:sz w:val="13"/>
              </w:rPr>
              <w:t>(1)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256,653 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Notes and related interest </w:t>
            </w:r>
            <w:r>
              <w:rPr>
                <w:rFonts w:ascii="Times New Roman;sans-serif" w:hAnsi="Times New Roman;sans-serif"/>
                <w:b w:val="false"/>
                <w:color w:val="000000"/>
                <w:sz w:val="13"/>
              </w:rPr>
              <w:t>(2)</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ABL Facility and related interest </w:t>
            </w:r>
            <w:r>
              <w:rPr>
                <w:rFonts w:ascii="Times New Roman;sans-serif" w:hAnsi="Times New Roman;sans-serif"/>
                <w:b w:val="false"/>
                <w:color w:val="000000"/>
                <w:sz w:val="13"/>
              </w:rPr>
              <w:t>(3)</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Interest payments do not include amortization of discount and debt issuance costs and are approximated based on projected interest rates and assume no unscheduled principal payments.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Interest payments do not include amortization of debt issuance costs and assumes Notes are paid in full at maturity date.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Assumes a minimum revolving credit commitment of $1.0 billion and assumes no balances drawn on our ABL Facility.</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information related to the ABL Facility is as follows for the periods shown (dollar amounts in thousands):</w:t>
      </w:r>
    </w:p>
    <w:tbl>
      <w:tblPr>
        <w:tblW w:w="6682" w:type="dxa"/>
        <w:jc w:val="left"/>
        <w:tblInd w:w="0" w:type="dxa"/>
        <w:tblLayout w:type="fixed"/>
        <w:tblCellMar>
          <w:top w:w="28" w:type="dxa"/>
          <w:left w:w="28" w:type="dxa"/>
          <w:bottom w:w="28" w:type="dxa"/>
          <w:right w:w="28" w:type="dxa"/>
        </w:tblCellMar>
      </w:tblPr>
      <w:tblGrid>
        <w:gridCol w:w="1265"/>
        <w:gridCol w:w="1110"/>
        <w:gridCol w:w="1120"/>
        <w:gridCol w:w="109"/>
        <w:gridCol w:w="109"/>
        <w:gridCol w:w="109"/>
        <w:gridCol w:w="226"/>
        <w:gridCol w:w="902"/>
        <w:gridCol w:w="116"/>
        <w:gridCol w:w="109"/>
        <w:gridCol w:w="109"/>
        <w:gridCol w:w="109"/>
        <w:gridCol w:w="228"/>
        <w:gridCol w:w="895"/>
        <w:gridCol w:w="166"/>
      </w:tblGrid>
      <w:tr>
        <w:trPr/>
        <w:tc>
          <w:tcPr>
            <w:tcW w:w="12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funds drawn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days with outstanding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daily amount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available borrowing capacity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985,447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information related to the ABL Facility (amounts in thousands) as of:</w:t>
      </w:r>
    </w:p>
    <w:p>
      <w:pPr>
        <w:pStyle w:val="TextBody"/>
        <w:bidi w:val="0"/>
        <w:spacing w:before="0" w:after="0"/>
        <w:ind w:left="0" w:right="0" w:firstLine="360"/>
        <w:jc w:val="both"/>
        <w:rPr/>
      </w:pPr>
      <w:r>
        <w:rPr/>
      </w:r>
    </w:p>
    <w:tbl>
      <w:tblPr>
        <w:tblW w:w="7638" w:type="dxa"/>
        <w:jc w:val="left"/>
        <w:tblInd w:w="0" w:type="dxa"/>
        <w:tblLayout w:type="fixed"/>
        <w:tblCellMar>
          <w:top w:w="28" w:type="dxa"/>
          <w:left w:w="28" w:type="dxa"/>
          <w:bottom w:w="28" w:type="dxa"/>
          <w:right w:w="28" w:type="dxa"/>
        </w:tblCellMar>
      </w:tblPr>
      <w:tblGrid>
        <w:gridCol w:w="918"/>
        <w:gridCol w:w="806"/>
        <w:gridCol w:w="810"/>
        <w:gridCol w:w="109"/>
        <w:gridCol w:w="109"/>
        <w:gridCol w:w="109"/>
        <w:gridCol w:w="362"/>
        <w:gridCol w:w="696"/>
        <w:gridCol w:w="187"/>
        <w:gridCol w:w="109"/>
        <w:gridCol w:w="109"/>
        <w:gridCol w:w="109"/>
        <w:gridCol w:w="462"/>
        <w:gridCol w:w="887"/>
        <w:gridCol w:w="240"/>
        <w:gridCol w:w="109"/>
        <w:gridCol w:w="109"/>
        <w:gridCol w:w="109"/>
        <w:gridCol w:w="353"/>
        <w:gridCol w:w="679"/>
        <w:gridCol w:w="257"/>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11,553</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 capacity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988,447</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947,764 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980,272 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lease store locations, distribution centers, office space and certain equipment under operating leases expiring between fiscal years 2023 and 2043. Operating lease obligations include future minimum lease payments under all of our non-cancelable operating leases at July 29, 2023. The following table summarizes our remaining operating lease obligations by fiscal year:</w:t>
      </w:r>
    </w:p>
    <w:tbl>
      <w:tblPr>
        <w:tblW w:w="10205" w:type="dxa"/>
        <w:jc w:val="left"/>
        <w:tblInd w:w="0" w:type="dxa"/>
        <w:tblLayout w:type="fixed"/>
        <w:tblCellMar>
          <w:top w:w="28" w:type="dxa"/>
          <w:left w:w="28" w:type="dxa"/>
          <w:bottom w:w="28" w:type="dxa"/>
          <w:right w:w="28" w:type="dxa"/>
        </w:tblCellMar>
      </w:tblPr>
      <w:tblGrid>
        <w:gridCol w:w="660"/>
        <w:gridCol w:w="579"/>
        <w:gridCol w:w="583"/>
        <w:gridCol w:w="214"/>
        <w:gridCol w:w="842"/>
        <w:gridCol w:w="110"/>
        <w:gridCol w:w="214"/>
        <w:gridCol w:w="842"/>
        <w:gridCol w:w="110"/>
        <w:gridCol w:w="214"/>
        <w:gridCol w:w="842"/>
        <w:gridCol w:w="110"/>
        <w:gridCol w:w="214"/>
        <w:gridCol w:w="842"/>
        <w:gridCol w:w="110"/>
        <w:gridCol w:w="214"/>
        <w:gridCol w:w="842"/>
        <w:gridCol w:w="110"/>
        <w:gridCol w:w="214"/>
        <w:gridCol w:w="842"/>
        <w:gridCol w:w="110"/>
        <w:gridCol w:w="214"/>
        <w:gridCol w:w="995"/>
        <w:gridCol w:w="178"/>
      </w:tblGrid>
      <w:tr>
        <w:trPr/>
        <w:tc>
          <w:tcPr>
            <w:tcW w:w="6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2027</w:t>
            </w:r>
          </w:p>
        </w:tc>
        <w:tc>
          <w:tcPr>
            <w:tcW w:w="138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payments </w:t>
            </w:r>
            <w:r>
              <w:rPr>
                <w:rFonts w:ascii="Times New Roman;sans-serif" w:hAnsi="Times New Roman;sans-serif"/>
                <w:b w:val="false"/>
                <w:color w:val="000000"/>
                <w:sz w:val="13"/>
              </w:rPr>
              <w:t>(1) (2)</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1,871,736 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Minimum lease payments have not been reduced by sublease rentals of $0.3 million due in the future under non-cancelable sub-leases.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These balances include stores where we have an executed contract but have not taken possession of the location as of July 29, 2023.</w:t>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twenty-six weeks ended July 29, 2023, we opened two new locations and we intend to open 13 to 14 total new locations in 2023.</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2022, the Board of Directors of the Company authorized a share repurchase program (the "2022 Share Repurchase Program") under which the Company may purchase up to $600 million of its outstanding shares during the three-year period ending June 2, 2025. The 2022 Share Repurchase Program does not obligate the Company to acquire any particular number of common shares, and the program may be suspended, extended, modified or discontinued at any time. As of July 29, 2023, we had approximately $143.0 million available for share repurchases pursuant to the 2022 Share Repurchase Program (see Note 2 to the accompanying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share repurchases for the 2023 second quarter (dollar amounts in thousands, except per share amounts):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154"/>
        <w:gridCol w:w="873"/>
        <w:gridCol w:w="876"/>
        <w:gridCol w:w="109"/>
        <w:gridCol w:w="109"/>
        <w:gridCol w:w="109"/>
        <w:gridCol w:w="853"/>
        <w:gridCol w:w="713"/>
        <w:gridCol w:w="715"/>
        <w:gridCol w:w="109"/>
        <w:gridCol w:w="109"/>
        <w:gridCol w:w="109"/>
        <w:gridCol w:w="448"/>
        <w:gridCol w:w="1310"/>
        <w:gridCol w:w="231"/>
        <w:gridCol w:w="109"/>
        <w:gridCol w:w="109"/>
        <w:gridCol w:w="109"/>
        <w:gridCol w:w="361"/>
        <w:gridCol w:w="1418"/>
        <w:gridCol w:w="272"/>
      </w:tblGrid>
      <w:tr>
        <w:trPr/>
        <w:tc>
          <w:tcPr>
            <w:tcW w:w="115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Average Price Paid per Share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Amount Repurchased </w:t>
            </w:r>
            <w:r>
              <w:rPr>
                <w:rFonts w:ascii="Times New Roman;sans-serif" w:hAnsi="Times New Roman;sans-serif"/>
                <w:b/>
                <w:color w:val="000000"/>
                <w:sz w:val="13"/>
              </w:rPr>
              <w:t>(1)</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(January 29, 2023 to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Second Quarter (April 30, 2023 to July 29, 2023)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1,994,064 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r>
      <w:tr>
        <w:trPr/>
        <w:tc>
          <w:tcPr>
            <w:tcW w:w="2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1" w:type="dxa"/>
            <w:gridSpan w:val="3"/>
            <w:tcBorders/>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2,744,074 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156,447 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Excludes the impact of excise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See Part II, Item 2 - Unregistered Sales of Equity Securities and Use of Proceeds</w:t>
            </w:r>
            <w:r>
              <w:rPr>
                <w:color w:val="000000"/>
              </w:rPr>
              <w:t xml:space="preserve"> </w:t>
            </w:r>
            <w:r>
              <w:rPr>
                <w:rFonts w:ascii="Times New Roman;sans-serif" w:hAnsi="Times New Roman;sans-serif"/>
                <w:b w:val="false"/>
                <w:color w:val="000000"/>
                <w:sz w:val="20"/>
              </w:rPr>
              <w:t>for further detail on the 2023 second quarter share repurchases.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quarterly dividend payments for the year-to-date 2023 (amounts in thousands, except per share amounts):</w:t>
      </w:r>
    </w:p>
    <w:tbl>
      <w:tblPr>
        <w:tblW w:w="10205" w:type="dxa"/>
        <w:jc w:val="left"/>
        <w:tblInd w:w="0" w:type="dxa"/>
        <w:tblLayout w:type="fixed"/>
        <w:tblCellMar>
          <w:top w:w="28" w:type="dxa"/>
          <w:left w:w="28" w:type="dxa"/>
          <w:bottom w:w="28" w:type="dxa"/>
          <w:right w:w="28" w:type="dxa"/>
        </w:tblCellMar>
      </w:tblPr>
      <w:tblGrid>
        <w:gridCol w:w="1324"/>
        <w:gridCol w:w="1140"/>
        <w:gridCol w:w="1145"/>
        <w:gridCol w:w="109"/>
        <w:gridCol w:w="109"/>
        <w:gridCol w:w="109"/>
        <w:gridCol w:w="405"/>
        <w:gridCol w:w="982"/>
        <w:gridCol w:w="210"/>
        <w:gridCol w:w="109"/>
        <w:gridCol w:w="109"/>
        <w:gridCol w:w="109"/>
        <w:gridCol w:w="355"/>
        <w:gridCol w:w="1213"/>
        <w:gridCol w:w="183"/>
        <w:gridCol w:w="109"/>
        <w:gridCol w:w="109"/>
        <w:gridCol w:w="109"/>
        <w:gridCol w:w="662"/>
        <w:gridCol w:w="662"/>
        <w:gridCol w:w="943"/>
      </w:tblGrid>
      <w:tr>
        <w:trPr/>
        <w:tc>
          <w:tcPr>
            <w:tcW w:w="1324"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3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Stockholder Date of Record</w:t>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(January 29, 2023 to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(April 30, 2023 to July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2023</w:t>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2023, the Company's Board of Directors declared a quarterly cash dividend with respect to the fiscal quarter ended July 29, 2023, of $0.09 per share of the Company's common stock, payable on October 11, 2023, to stockholders of record as of the close of business on September 13,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capital expenditures for the twenty-six weeks ended July 29, 2023 and July 30, 2022 (amounts in thousands):</w:t>
      </w:r>
    </w:p>
    <w:tbl>
      <w:tblPr>
        <w:tblW w:w="8303" w:type="dxa"/>
        <w:jc w:val="left"/>
        <w:tblInd w:w="0" w:type="dxa"/>
        <w:tblLayout w:type="fixed"/>
        <w:tblCellMar>
          <w:top w:w="28" w:type="dxa"/>
          <w:left w:w="28" w:type="dxa"/>
          <w:bottom w:w="28" w:type="dxa"/>
          <w:right w:w="28" w:type="dxa"/>
        </w:tblCellMar>
      </w:tblPr>
      <w:tblGrid>
        <w:gridCol w:w="1850"/>
        <w:gridCol w:w="1623"/>
        <w:gridCol w:w="1642"/>
        <w:gridCol w:w="109"/>
        <w:gridCol w:w="109"/>
        <w:gridCol w:w="109"/>
        <w:gridCol w:w="226"/>
        <w:gridCol w:w="902"/>
        <w:gridCol w:w="116"/>
        <w:gridCol w:w="109"/>
        <w:gridCol w:w="109"/>
        <w:gridCol w:w="109"/>
        <w:gridCol w:w="250"/>
        <w:gridCol w:w="857"/>
        <w:gridCol w:w="183"/>
      </w:tblGrid>
      <w:tr>
        <w:trPr/>
        <w:tc>
          <w:tcPr>
            <w:tcW w:w="18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53,793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e-commerce and information technology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34,435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for existing stores and distribution centers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21,531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109,759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capital expenditures for fiscal year 2023 to be between $200 million and $250 million. The following table summarizes our forecasted allocation of capital expenditures for fiscal year 2023:</w:t>
      </w:r>
    </w:p>
    <w:tbl>
      <w:tblPr>
        <w:tblW w:w="6142" w:type="dxa"/>
        <w:jc w:val="left"/>
        <w:tblInd w:w="0" w:type="dxa"/>
        <w:tblLayout w:type="fixed"/>
        <w:tblCellMar>
          <w:top w:w="28" w:type="dxa"/>
          <w:left w:w="28" w:type="dxa"/>
          <w:bottom w:w="28" w:type="dxa"/>
          <w:right w:w="28" w:type="dxa"/>
        </w:tblCellMar>
      </w:tblPr>
      <w:tblGrid>
        <w:gridCol w:w="1850"/>
        <w:gridCol w:w="1623"/>
        <w:gridCol w:w="1642"/>
        <w:gridCol w:w="109"/>
        <w:gridCol w:w="109"/>
        <w:gridCol w:w="109"/>
        <w:gridCol w:w="180"/>
        <w:gridCol w:w="181"/>
        <w:gridCol w:w="339"/>
      </w:tblGrid>
      <w:tr>
        <w:trPr/>
        <w:tc>
          <w:tcPr>
            <w:tcW w:w="18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stores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e-commerce and information technology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for existing stores and distribution centers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forecasted capital expenditures throughout the year and will adjust or our capital expenditures based on business conditions at that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for the Twenty-Six Weeks Ended July 29, 2023 and July 30, 2022 </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statements of cash flows are summarized as follows (in thousands): </w:t>
      </w:r>
    </w:p>
    <w:tbl>
      <w:tblPr>
        <w:tblW w:w="6681" w:type="dxa"/>
        <w:jc w:val="left"/>
        <w:tblInd w:w="0" w:type="dxa"/>
        <w:tblLayout w:type="fixed"/>
        <w:tblCellMar>
          <w:top w:w="28" w:type="dxa"/>
          <w:left w:w="28" w:type="dxa"/>
          <w:bottom w:w="28" w:type="dxa"/>
          <w:right w:w="28" w:type="dxa"/>
        </w:tblCellMar>
      </w:tblPr>
      <w:tblGrid>
        <w:gridCol w:w="1265"/>
        <w:gridCol w:w="1113"/>
        <w:gridCol w:w="1116"/>
        <w:gridCol w:w="109"/>
        <w:gridCol w:w="109"/>
        <w:gridCol w:w="109"/>
        <w:gridCol w:w="226"/>
        <w:gridCol w:w="902"/>
        <w:gridCol w:w="116"/>
        <w:gridCol w:w="109"/>
        <w:gridCol w:w="109"/>
        <w:gridCol w:w="109"/>
        <w:gridCol w:w="228"/>
        <w:gridCol w:w="895"/>
        <w:gridCol w:w="166"/>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Twenty-Six Weeks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30, 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243,566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(107,846)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(161,529)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(25,809)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(86,141)</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Operating Activities.</w:t>
      </w:r>
      <w:r>
        <w:rPr>
          <w:color w:val="000000"/>
        </w:rPr>
        <w:t xml:space="preserve"> </w:t>
      </w:r>
      <w:r>
        <w:rPr>
          <w:rFonts w:ascii="Times New Roman;sans-serif" w:hAnsi="Times New Roman;sans-serif"/>
          <w:b w:val="false"/>
          <w:color w:val="000000"/>
          <w:sz w:val="20"/>
        </w:rPr>
        <w:t xml:space="preserve">Cash flows from operating activities are seasonal in our business. Typically, cash flows from operations are used to build inventory in advance of peak selling seasons, with the fourth quarter pre-holiday season inventory increase being the most significant. </w:t>
      </w:r>
    </w:p>
    <w:p>
      <w:pPr>
        <w:pStyle w:val="TextBody"/>
        <w:bidi w:val="0"/>
        <w:spacing w:before="0" w:after="0"/>
        <w:ind w:left="0" w:right="0" w:firstLine="108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in the year-to-date 2023 decreased $14.8 million, compared to year-to-date 2022. This decrease in cash was attributable to:</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$87.6 million decrease in net income;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$5.2 million net decrease in non-cash charges; partially offset by a</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$78.0 million net increase in cash flows provided by operating assets and liabilities.</w:t>
      </w:r>
    </w:p>
    <w:p>
      <w:pPr>
        <w:pStyle w:val="TextBody"/>
        <w:bidi w:val="0"/>
        <w:spacing w:before="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cash flows from operating assets and liabilities was primarily attributable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$107.2 million increase in cash flows from merchandise inventories, net related to a reduction in inventory replenishment in the year-to-date 2023 when compared to the prior year period; partially offset by 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$44.0 million decrease in cash flows from accounts payable due to decreased inventory receipts relative to the prior year second quarter.</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Investing Activities</w:t>
      </w:r>
      <w:r>
        <w:rPr>
          <w:rFonts w:ascii="Times New Roman;sans-serif" w:hAnsi="Times New Roman;sans-serif"/>
          <w:b/>
          <w:color w:val="000000"/>
          <w:sz w:val="20"/>
        </w:rPr>
        <w:t xml:space="preserve">. </w:t>
      </w:r>
      <w:r>
        <w:rPr>
          <w:rFonts w:ascii="Times New Roman;sans-serif" w:hAnsi="Times New Roman;sans-serif"/>
          <w:b w:val="false"/>
          <w:color w:val="000000"/>
          <w:sz w:val="20"/>
        </w:rPr>
        <w:t>Cash used in investing activities increased $59.7 million in the year-to-date 2023 compared to the year-to-date 2022. The increase in cash used in investing activities is primarily due to:</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$61.7 million higher capital expenditures, primarily driven by increased investments in new stores in the year-to-date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Financing Activities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Cash used in financing activities decreased $134.9 million in the year-to-date 2023, compared to the year-to-date 2022. The primary drivers of the decrease were: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$132.2 million decrease in cash outflows caused by a reduction in repurchases and simultaneous retirement of common stock in the current year.</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these estimates remain challenging, and actual results could differ materially from our estimates.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 other than the following: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29, 2023, the Company changed the method of accounting for its inventories from the last-in-first-out (“LIFO”) method to the weighted average cost method. The Company believes that this inventory method change is preferable because we believe it improves comparability with industry peers and is a more accurate representation of merchandise inventories, net and cost of goods sold. Due to historical price deflation on the Company’s merchandise purchases, the Company was in a position where the LIFO merchandise inventories value exceeded the cost of its inventory for all periods presented in the consolidated financial statements. In considering the lower of cost or market principle, merchandise inventories valued at LIFO, including necessary valuation adjustments, approximated the cost of such inventories using the weighted average inventory method (see Note 2 to the accompanying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Note 2 to our unaudited consolidated financial statements under Part I, Item 1 of this Quarterly Report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extensively on information systems to manage our business and report operating results. During the 2023 second quarter, we completed the implementation of our new Enterprise Resource Planning ("ERP") system, which resulted in considerable changes to our processes and control environment, including modifications to existing applications and reports. The new ERP replaced our legacy system, in which our business transactions are processed and recorded. The new ERP is intended to facilitate transactional processing and enhance management tools and is expected to improve internal controls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implementation of the new ERP system, 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 On May 9, 2023, the U.S. Customs and Border Protection (the "CBP") notified us we owed additional duties relating to certain products that we imported from China that CBP believes are subject to certain anti-dumping and/or countervailing duties. We do not believe that these products are subject to such duties and are contesting CBP’s determination vigorously. While we contest CBP’s determination, we were required to deposit with CBP an amount of duties relating to these products, which are included in prepaid expenses and other current assets on the Company’s consolidated balance sheet while this matter is pending. We do not believe this matter will have a material adverse effect on our financial position, results of operations or cash flows. However, the ultimate outcome of this matter cannot be determined at this time, and we cannot assure you that we will be successful in contesting CBP's determination or that we will not need to accrue or pay additional amounts in the future.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during the fiscal quarter ended July 29, 2023,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76"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repurchases and cancellations of shares of our common stock during the 2023 second quarter:</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375"/>
        <w:gridCol w:w="330"/>
        <w:gridCol w:w="332"/>
        <w:gridCol w:w="109"/>
        <w:gridCol w:w="109"/>
        <w:gridCol w:w="109"/>
        <w:gridCol w:w="726"/>
        <w:gridCol w:w="464"/>
        <w:gridCol w:w="466"/>
        <w:gridCol w:w="109"/>
        <w:gridCol w:w="109"/>
        <w:gridCol w:w="109"/>
        <w:gridCol w:w="287"/>
        <w:gridCol w:w="839"/>
        <w:gridCol w:w="148"/>
        <w:gridCol w:w="109"/>
        <w:gridCol w:w="109"/>
        <w:gridCol w:w="109"/>
        <w:gridCol w:w="953"/>
        <w:gridCol w:w="725"/>
        <w:gridCol w:w="727"/>
        <w:gridCol w:w="109"/>
        <w:gridCol w:w="109"/>
        <w:gridCol w:w="109"/>
        <w:gridCol w:w="342"/>
        <w:gridCol w:w="1927"/>
        <w:gridCol w:w="25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 Value of Shares that May Yet be Purchased Under the Plans or Programs (c)</w:t>
            </w:r>
          </w:p>
        </w:tc>
      </w:tr>
      <w:tr>
        <w:trPr/>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2023 to May 27,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249,411,584 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28, 2023 to July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792,853 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792,853 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209,337,708 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 2023 to July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1,201,211 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1,201,211 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143,020,911 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1,994,064 </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1,994,064 </w:t>
            </w:r>
          </w:p>
        </w:tc>
        <w:tc>
          <w:tcPr>
            <w:tcW w:w="7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143,020,911 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total number of shares repurchased excludes shares which were net-settled, and therefore not issued, to cover employee tax withholding related to the vesting of certain restricted stock awards and exercise of certain stock option awards. </w:t>
      </w:r>
    </w:p>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 Excludes the impact of excise taxes.</w:t>
      </w:r>
    </w:p>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 On June 2, 2022, the Board of Directors of the Company authorized a share repurchase program (the "2022 Share Repurchase Program") under which the Company may purchase up to $600 million of its outstanding shares during the three-year period ending June 2, 2025. As of July 29, 2023, approximately $143.0 million remained available for share repurchases pursuant to our 2022 Share Repurchase Program (see Note 2 to the accompanying financial statements). The 2022 Share Repurchase Program does not obligate the Company to acquire any particular number of common shares, and the programs may be suspended, extended, modified or discontinued at any time.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 Trading Plans</w:t>
      </w:r>
    </w:p>
    <w:p>
      <w:pPr>
        <w:pStyle w:val="TextBody"/>
        <w:bidi w:val="0"/>
        <w:spacing w:lineRule="auto" w:line="288"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2023, the following trading plans intended to satisfy the affirmative defense conditions of Rule 10b5-1(c) that are required to be disclosed under Item 408 of Regulation S-K were adopted or terminated:</w:t>
      </w:r>
    </w:p>
    <w:tbl>
      <w:tblPr>
        <w:tblW w:w="10205" w:type="dxa"/>
        <w:jc w:val="left"/>
        <w:tblInd w:w="0" w:type="dxa"/>
        <w:tblLayout w:type="fixed"/>
        <w:tblCellMar>
          <w:top w:w="28" w:type="dxa"/>
          <w:left w:w="28" w:type="dxa"/>
          <w:bottom w:w="28" w:type="dxa"/>
          <w:right w:w="28" w:type="dxa"/>
        </w:tblCellMar>
      </w:tblPr>
      <w:tblGrid>
        <w:gridCol w:w="329"/>
        <w:gridCol w:w="288"/>
        <w:gridCol w:w="292"/>
        <w:gridCol w:w="109"/>
        <w:gridCol w:w="109"/>
        <w:gridCol w:w="109"/>
        <w:gridCol w:w="254"/>
        <w:gridCol w:w="254"/>
        <w:gridCol w:w="258"/>
        <w:gridCol w:w="109"/>
        <w:gridCol w:w="109"/>
        <w:gridCol w:w="109"/>
        <w:gridCol w:w="511"/>
        <w:gridCol w:w="511"/>
        <w:gridCol w:w="513"/>
        <w:gridCol w:w="109"/>
        <w:gridCol w:w="109"/>
        <w:gridCol w:w="109"/>
        <w:gridCol w:w="593"/>
        <w:gridCol w:w="526"/>
        <w:gridCol w:w="528"/>
        <w:gridCol w:w="109"/>
        <w:gridCol w:w="109"/>
        <w:gridCol w:w="109"/>
        <w:gridCol w:w="884"/>
        <w:gridCol w:w="884"/>
        <w:gridCol w:w="887"/>
        <w:gridCol w:w="109"/>
        <w:gridCol w:w="109"/>
        <w:gridCol w:w="109"/>
        <w:gridCol w:w="307"/>
        <w:gridCol w:w="307"/>
        <w:gridCol w:w="444"/>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Plan Adopted/Terminated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Shares to be Purchased or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Comments</w:t>
            </w:r>
          </w:p>
        </w:tc>
      </w:tr>
      <w:tr>
        <w:trPr/>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 C. Tweedy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Adopted June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27, 2023 through June 26,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 up to 2,130 common shares, subject to certain conditions set forth in the trading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8"/>
        <w:gridCol w:w="288"/>
        <w:gridCol w:w="289"/>
        <w:gridCol w:w="3071"/>
        <w:gridCol w:w="2570"/>
        <w:gridCol w:w="3659"/>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93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9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the Registrant (incorporated by reference to Exhibit 3.1 to the Registrant’s Current Report on Form 8-K filed on October 6, 2020).</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Certificate of Change of Registered Agent and/or Registered Office of the Registrant (incorporated by reference to Exhibit 3.1 to the Registrant’s Current Report on Form 8-K filed on June 1, 2023).</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3.3</w:t>
              </w:r>
            </w:hyperlink>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the Registrant (incorporated by reference to Exhibit 3.2 to the Registrant's Quarterly Report on Form 10-Q filed on December 7, 2022).</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conformingchange.htm">
              <w:r>
                <w:rPr>
                  <w:rStyle w:val="InternetLink"/>
                  <w:rFonts w:ascii="Times New Roman;sans-serif" w:hAnsi="Times New Roman;sans-serif"/>
                  <w:b w:val="false"/>
                  <w:color w:val="0000FF"/>
                  <w:sz w:val="20"/>
                  <w:u w:val="single"/>
                </w:rPr>
                <w:t>10.1*</w:t>
              </w:r>
            </w:hyperlink>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Conforming Changes Amendment to the Credit Agreement, dated May 17, 2023, which amends that certain Second Amended and Restated Credit Agreement, dated November 6, 2020 (as amended, restated, amended and restated, supplemented or otherwise modified from time to time), by and among Academy, Ltd., as Borrower, New Academy Holding Company, LLC, as Holdings, Associated Investors, L.L.C. and Academy Managing Co., L.L.C., as Texas Intermediate Holdcos, the lending institutions from time to time party thereto and Credit Suisse AG, Cayman Island Branch, as the Administrative Agent and the Collateral Agent and the several other parties named therein.</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ecmay2023formof.htm">
              <w:r>
                <w:rPr>
                  <w:rStyle w:val="InternetLink"/>
                  <w:rFonts w:ascii="Times New Roman;sans-serif" w:hAnsi="Times New Roman;sans-serif"/>
                  <w:b w:val="false"/>
                  <w:color w:val="0000FF"/>
                  <w:sz w:val="20"/>
                  <w:u w:val="single"/>
                </w:rPr>
                <w:t>10.2†*</w:t>
              </w:r>
            </w:hyperlink>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Q2 2023 Executive Performance-Based Restricted Stock Unit Agreement.</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3-ecmay2023formof.htm">
              <w:r>
                <w:rPr>
                  <w:rStyle w:val="InternetLink"/>
                  <w:rFonts w:ascii="Times New Roman;sans-serif" w:hAnsi="Times New Roman;sans-serif"/>
                  <w:b w:val="false"/>
                  <w:color w:val="0000FF"/>
                  <w:sz w:val="20"/>
                  <w:u w:val="single"/>
                </w:rPr>
                <w:t>10.3†*</w:t>
              </w:r>
            </w:hyperlink>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of Q2 2023 Executive Time-Based Restricted Stock Unit Agreement. </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4-ecmay2023formof.htm">
              <w:r>
                <w:rPr>
                  <w:rStyle w:val="InternetLink"/>
                  <w:rFonts w:ascii="Times New Roman;sans-serif" w:hAnsi="Times New Roman;sans-serif"/>
                  <w:b w:val="false"/>
                  <w:color w:val="0000FF"/>
                  <w:sz w:val="20"/>
                  <w:u w:val="single"/>
                </w:rPr>
                <w:t>10.4†*</w:t>
              </w:r>
            </w:hyperlink>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Q2 2023 Executive Time-Based Option Agreement.</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5-ceo2023formofpr.htm">
              <w:r>
                <w:rPr>
                  <w:rStyle w:val="InternetLink"/>
                  <w:rFonts w:ascii="Times New Roman;sans-serif" w:hAnsi="Times New Roman;sans-serif"/>
                  <w:b w:val="false"/>
                  <w:color w:val="0000FF"/>
                  <w:sz w:val="20"/>
                  <w:u w:val="single"/>
                </w:rPr>
                <w:t>10.5†</w:t>
              </w:r>
            </w:hyperlink>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Q1 2023 CEO Performance-Based Restricted Stock Unit Agreement.</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6-ceo2023formofti.htm">
              <w:r>
                <w:rPr>
                  <w:rStyle w:val="InternetLink"/>
                  <w:rFonts w:ascii="Times New Roman;sans-serif" w:hAnsi="Times New Roman;sans-serif"/>
                  <w:b w:val="false"/>
                  <w:color w:val="0000FF"/>
                  <w:sz w:val="20"/>
                  <w:u w:val="single"/>
                </w:rPr>
                <w:t>10.6†</w:t>
              </w:r>
            </w:hyperlink>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Q1 2023 CEO Time-Based Restricted Stock Unit Agreement.</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7-ceo2023formofti.htm">
              <w:r>
                <w:rPr>
                  <w:rStyle w:val="InternetLink"/>
                  <w:rFonts w:ascii="Times New Roman;sans-serif" w:hAnsi="Times New Roman;sans-serif"/>
                  <w:b w:val="false"/>
                  <w:color w:val="0000FF"/>
                  <w:sz w:val="20"/>
                  <w:u w:val="single"/>
                </w:rPr>
                <w:t>10.7†</w:t>
              </w:r>
            </w:hyperlink>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Q1 2023 CEO Time-Based Option Agreement.</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10.8†</w:t>
              </w:r>
            </w:hyperlink>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Earl Carlton (Carl) Ford, IV Employment Agreement, dated July 6, 2023 (incorporated by reference to Exhibit 10.1 to the Registrant’s Current Report on Form 8-K filed on July 11, 2023).</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9-academysportsan.htm">
              <w:r>
                <w:rPr>
                  <w:rStyle w:val="InternetLink"/>
                  <w:rFonts w:ascii="Times New Roman;sans-serif" w:hAnsi="Times New Roman;sans-serif"/>
                  <w:b w:val="false"/>
                  <w:color w:val="0000FF"/>
                  <w:sz w:val="20"/>
                  <w:u w:val="single"/>
                </w:rPr>
                <w:t>10.9†*</w:t>
              </w:r>
            </w:hyperlink>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 Compensation Policy.</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10.10†</w:t>
              </w:r>
            </w:hyperlink>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2020 Omnibus Incentive Plan, as amended by the First Amendment (incorporated by reference to Exhibit 10.1 to the Registrant’s Current Report on Form 8-K filed on June 1, 2023).</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q22023.htm">
              <w:r>
                <w:rPr>
                  <w:rStyle w:val="InternetLink"/>
                  <w:rFonts w:ascii="Times New Roman;sans-serif" w:hAnsi="Times New Roman;sans-serif"/>
                  <w:b w:val="false"/>
                  <w:color w:val="0000FF"/>
                  <w:sz w:val="20"/>
                  <w:u w:val="single"/>
                </w:rPr>
                <w:t>31.1*</w:t>
              </w:r>
            </w:hyperlink>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Executive Officer under Section 302 of the Sarbanes-Oxley Act of 2002.</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22023.htm">
              <w:r>
                <w:rPr>
                  <w:rStyle w:val="InternetLink"/>
                  <w:rFonts w:ascii="Times New Roman;sans-serif" w:hAnsi="Times New Roman;sans-serif"/>
                  <w:b w:val="false"/>
                  <w:color w:val="0000FF"/>
                  <w:sz w:val="20"/>
                  <w:u w:val="single"/>
                </w:rPr>
                <w:t>31.2*</w:t>
              </w:r>
            </w:hyperlink>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Periodic Report by Chief Financial Officer under Section 302 of the Sarbanes-Oxley Act of 2002.</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q22023.htm">
              <w:r>
                <w:rPr>
                  <w:rStyle w:val="InternetLink"/>
                  <w:rFonts w:ascii="Times New Roman;sans-serif" w:hAnsi="Times New Roman;sans-serif"/>
                  <w:b w:val="false"/>
                  <w:color w:val="0000FF"/>
                  <w:sz w:val="20"/>
                  <w:u w:val="single"/>
                </w:rPr>
                <w:t>32.1**</w:t>
              </w:r>
            </w:hyperlink>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q22023.htm">
              <w:r>
                <w:rPr>
                  <w:rStyle w:val="InternetLink"/>
                  <w:rFonts w:ascii="Times New Roman;sans-serif" w:hAnsi="Times New Roman;sans-serif"/>
                  <w:b w:val="false"/>
                  <w:color w:val="0000FF"/>
                  <w:sz w:val="20"/>
                  <w:u w:val="single"/>
                </w:rPr>
                <w:t>32.2**</w:t>
              </w:r>
            </w:hyperlink>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18 U.S.C. Section 1350 as Adopted Pursuant to Section 906 of the Sarbanes-Oxley Act of 2002.</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plans or arrangements.</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Quarterly Report on Form 10-Q to be signed on August 31, 2023 on its behalf by the undersigned, thereto duly authorized.</w:t>
      </w:r>
    </w:p>
    <w:p>
      <w:pPr>
        <w:pStyle w:val="TextBody"/>
        <w:bidi w:val="0"/>
        <w:spacing w:before="0" w:after="0"/>
        <w:jc w:val="left"/>
        <w:rPr/>
      </w:pPr>
      <w:r>
        <w:rPr/>
      </w:r>
    </w:p>
    <w:tbl>
      <w:tblPr>
        <w:tblW w:w="4004" w:type="dxa"/>
        <w:jc w:val="right"/>
        <w:tblInd w:w="0" w:type="dxa"/>
        <w:tblLayout w:type="fixed"/>
        <w:tblCellMar>
          <w:top w:w="28" w:type="dxa"/>
          <w:left w:w="28" w:type="dxa"/>
          <w:bottom w:w="28" w:type="dxa"/>
          <w:right w:w="28" w:type="dxa"/>
        </w:tblCellMar>
      </w:tblPr>
      <w:tblGrid>
        <w:gridCol w:w="1283"/>
        <w:gridCol w:w="1127"/>
        <w:gridCol w:w="159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ACADEMY SPORTS AND OUTDOORS, INC.</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r>
    </w:tbl>
    <w:tbl>
      <w:tblPr>
        <w:tblW w:w="5023" w:type="dxa"/>
        <w:jc w:val="right"/>
        <w:tblInd w:w="0" w:type="dxa"/>
        <w:tblLayout w:type="fixed"/>
        <w:tblCellMar>
          <w:top w:w="28" w:type="dxa"/>
          <w:left w:w="28" w:type="dxa"/>
          <w:bottom w:w="28" w:type="dxa"/>
          <w:right w:w="28" w:type="dxa"/>
        </w:tblCellMar>
      </w:tblPr>
      <w:tblGrid>
        <w:gridCol w:w="151"/>
        <w:gridCol w:w="134"/>
        <w:gridCol w:w="135"/>
        <w:gridCol w:w="226"/>
        <w:gridCol w:w="226"/>
        <w:gridCol w:w="226"/>
        <w:gridCol w:w="1146"/>
        <w:gridCol w:w="1146"/>
        <w:gridCol w:w="163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HEATHER A. DAVIS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Heather A. Davis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Accounting, Treasury and Tax</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authorized signatory)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
        <w:jc w:val="center"/>
        <w:rPr/>
      </w:pPr>
      <w:r>
        <w:rPr/>
      </w:r>
    </w:p>
    <w:p>
      <w:pPr>
        <w:pStyle w:val="TextBody"/>
        <w:bidi w:val="0"/>
        <w:spacing w:lineRule="auto" w:line="240" w:before="0" w:after="2"/>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CONFORMING CHANGES AMENDMENT TO CREDIT AGREEMENT</w:t>
      </w:r>
    </w:p>
    <w:p>
      <w:pPr>
        <w:pStyle w:val="TextBody"/>
        <w:bidi w:val="0"/>
        <w:spacing w:before="0" w:after="240"/>
        <w:ind w:left="0" w:right="0" w:firstLine="1440"/>
        <w:jc w:val="both"/>
        <w:rPr/>
      </w:pPr>
      <w:r>
        <w:rPr/>
      </w:r>
    </w:p>
    <w:p>
      <w:pPr>
        <w:pStyle w:val="TextBody"/>
        <w:bidi w:val="0"/>
        <w:spacing w:lineRule="auto" w:line="240" w:before="0" w:after="2"/>
        <w:ind w:left="0" w:right="0" w:firstLine="720"/>
        <w:jc w:val="both"/>
        <w:rPr/>
      </w:pPr>
      <w:r>
        <w:rPr>
          <w:rFonts w:ascii="Times New Roman;sans-serif" w:hAnsi="Times New Roman;sans-serif"/>
          <w:b w:val="false"/>
          <w:color w:val="000000"/>
          <w:sz w:val="22"/>
        </w:rPr>
        <w:t>CONFORMING CHANGES AMENDMENT TO CREDIT AGREEMENT, dated as of May 17, 2023 (this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which amends that certain Second Amended and Restated Credit Agreement, dated as of November 6, 2020 (as amended, restated, amended and restated, supplemented or otherwise modified from time to time prior to the date hereof, the “</w:t>
      </w:r>
      <w:r>
        <w:rPr>
          <w:rFonts w:ascii="Times New Roman;sans-serif" w:hAnsi="Times New Roman;sans-serif"/>
          <w:b/>
          <w:color w:val="000000"/>
          <w:sz w:val="22"/>
        </w:rPr>
        <w:t>Credit Agreement</w:t>
      </w:r>
      <w:r>
        <w:rPr>
          <w:color w:val="000000"/>
        </w:rPr>
        <w:t>”</w:t>
      </w:r>
      <w:r>
        <w:rPr>
          <w:rFonts w:ascii="Times New Roman;sans-serif" w:hAnsi="Times New Roman;sans-serif"/>
          <w:b w:val="false"/>
          <w:color w:val="000000"/>
          <w:sz w:val="22"/>
        </w:rPr>
        <w:t xml:space="preserve">), by and among </w:t>
      </w:r>
      <w:r>
        <w:rPr>
          <w:rFonts w:ascii="Times New Roman;sans-serif" w:hAnsi="Times New Roman;sans-serif"/>
          <w:b/>
          <w:color w:val="000000"/>
          <w:sz w:val="22"/>
        </w:rPr>
        <w:t>ACADEMY, LTD.</w:t>
      </w:r>
      <w:r>
        <w:rPr>
          <w:rFonts w:ascii="Times New Roman;sans-serif" w:hAnsi="Times New Roman;sans-serif"/>
          <w:b w:val="false"/>
          <w:color w:val="000000"/>
          <w:sz w:val="22"/>
        </w:rPr>
        <w:t xml:space="preserve">, a Texas limited partnership, </w:t>
      </w:r>
      <w:r>
        <w:rPr>
          <w:rFonts w:ascii="Times New Roman;sans-serif" w:hAnsi="Times New Roman;sans-serif"/>
          <w:b/>
          <w:color w:val="000000"/>
          <w:sz w:val="22"/>
        </w:rPr>
        <w:t>NEW ACADEMY HOLDING COMPANY, LLC</w:t>
      </w:r>
      <w:r>
        <w:rPr>
          <w:rFonts w:ascii="Times New Roman;sans-serif" w:hAnsi="Times New Roman;sans-serif"/>
          <w:b w:val="false"/>
          <w:color w:val="000000"/>
          <w:sz w:val="22"/>
        </w:rPr>
        <w:t xml:space="preserve">, a Delaware limited liability company, </w:t>
      </w:r>
      <w:r>
        <w:rPr>
          <w:rFonts w:ascii="Times New Roman;sans-serif" w:hAnsi="Times New Roman;sans-serif"/>
          <w:b/>
          <w:color w:val="000000"/>
          <w:sz w:val="22"/>
        </w:rPr>
        <w:t>ASSOCIATED INVESTORS L.L.C.</w:t>
      </w:r>
      <w:r>
        <w:rPr>
          <w:rFonts w:ascii="Times New Roman;sans-serif" w:hAnsi="Times New Roman;sans-serif"/>
          <w:b w:val="false"/>
          <w:color w:val="000000"/>
          <w:sz w:val="22"/>
        </w:rPr>
        <w:t xml:space="preserve">, a Texas limited liability company, </w:t>
      </w:r>
      <w:r>
        <w:rPr>
          <w:rFonts w:ascii="Times New Roman;sans-serif" w:hAnsi="Times New Roman;sans-serif"/>
          <w:b/>
          <w:color w:val="000000"/>
          <w:sz w:val="22"/>
        </w:rPr>
        <w:t>ACADEMY MANAGING CO., L.L.C.</w:t>
      </w:r>
      <w:r>
        <w:rPr>
          <w:rFonts w:ascii="Times New Roman;sans-serif" w:hAnsi="Times New Roman;sans-serif"/>
          <w:b w:val="false"/>
          <w:color w:val="000000"/>
          <w:sz w:val="22"/>
        </w:rPr>
        <w:t xml:space="preserve">, a Texas limited liability company, the other Credit Parties party thereto from time to time and, the Lenders party thereto from time to time, and </w:t>
      </w:r>
      <w:r>
        <w:rPr>
          <w:rFonts w:ascii="Times New Roman;sans-serif" w:hAnsi="Times New Roman;sans-serif"/>
          <w:b/>
          <w:color w:val="000000"/>
          <w:sz w:val="22"/>
        </w:rPr>
        <w:t>CREDIT SUISSE AG, CAYMAN ISLANDS BRANCH</w:t>
      </w:r>
      <w:r>
        <w:rPr>
          <w:rFonts w:ascii="Times New Roman;sans-serif" w:hAnsi="Times New Roman;sans-serif"/>
          <w:b w:val="false"/>
          <w:color w:val="000000"/>
          <w:sz w:val="22"/>
        </w:rPr>
        <w:t>, as administrative agent and collateral agent (in such capacities, together with its successors, the “</w:t>
      </w:r>
      <w:r>
        <w:rPr>
          <w:rFonts w:ascii="Times New Roman;sans-serif" w:hAnsi="Times New Roman;sans-serif"/>
          <w:b/>
          <w:color w:val="000000"/>
          <w:sz w:val="22"/>
        </w:rPr>
        <w:t>Administrative Agent</w:t>
      </w:r>
      <w:r>
        <w:rPr>
          <w:color w:val="000000"/>
        </w:rPr>
        <w:t>”</w:t>
      </w:r>
      <w:r>
        <w:rPr>
          <w:rFonts w:ascii="Times New Roman;sans-serif" w:hAnsi="Times New Roman;sans-serif"/>
          <w:b w:val="false"/>
          <w:color w:val="000000"/>
          <w:sz w:val="22"/>
        </w:rPr>
        <w:t>). Capitalized terms not otherwise defined in this Amendment have the same meanings as specified in the Credit Agreement.</w:t>
      </w:r>
    </w:p>
    <w:p>
      <w:pPr>
        <w:pStyle w:val="TextBody"/>
        <w:bidi w:val="0"/>
        <w:spacing w:before="0" w:after="240"/>
        <w:jc w:val="center"/>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 I T N E S S E T H:</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certain loans, commitments and/or other extensions of credit under the Credit Agreement incur or are permitted to incur interest, fees or other amounts based on the London Interbank Offered Rate as administered by the ICE Benchmark Administration (“</w:t>
      </w:r>
      <w:r>
        <w:rPr>
          <w:rFonts w:ascii="Times New Roman;sans-serif" w:hAnsi="Times New Roman;sans-serif"/>
          <w:b/>
          <w:color w:val="000000"/>
          <w:sz w:val="22"/>
        </w:rPr>
        <w:t>LIBOR Rate</w:t>
      </w:r>
      <w:r>
        <w:rPr>
          <w:color w:val="000000"/>
        </w:rPr>
        <w:t>”</w:t>
      </w:r>
      <w:r>
        <w:rPr>
          <w:rFonts w:ascii="Times New Roman;sans-serif" w:hAnsi="Times New Roman;sans-serif"/>
          <w:b w:val="false"/>
          <w:color w:val="000000"/>
          <w:sz w:val="22"/>
        </w:rPr>
        <w:t>) in accordance with the terms of the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WHEREAS, a Benchmark Transition Event has occurred and, pursuant to </w:t>
      </w:r>
      <w:r>
        <w:rPr>
          <w:rFonts w:ascii="Times New Roman;sans-serif" w:hAnsi="Times New Roman;sans-serif"/>
          <w:b w:val="false"/>
          <w:color w:val="000000"/>
          <w:sz w:val="22"/>
          <w:u w:val="single"/>
        </w:rPr>
        <w:t>Section 3.1</w:t>
      </w:r>
      <w:r>
        <w:rPr>
          <w:color w:val="000000"/>
        </w:rPr>
        <w:t xml:space="preserve"> </w:t>
      </w:r>
      <w:r>
        <w:rPr>
          <w:rFonts w:ascii="Times New Roman;sans-serif" w:hAnsi="Times New Roman;sans-serif"/>
          <w:b w:val="false"/>
          <w:color w:val="000000"/>
          <w:sz w:val="22"/>
        </w:rPr>
        <w:t>of the Credit Agreement, on the Benchmark Replacement Date occurring as of the Amendment Effective Date (as defined below), a Benchmark Replacement is replacing LIBOR Rate as more fully set forth herein;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WHEREAS, pursuant to </w:t>
      </w:r>
      <w:r>
        <w:rPr>
          <w:rFonts w:ascii="Times New Roman;sans-serif" w:hAnsi="Times New Roman;sans-serif"/>
          <w:b w:val="false"/>
          <w:color w:val="000000"/>
          <w:sz w:val="22"/>
          <w:u w:val="single"/>
        </w:rPr>
        <w:t>Section 3.2</w:t>
      </w:r>
      <w:r>
        <w:rPr>
          <w:color w:val="000000"/>
        </w:rPr>
        <w:t xml:space="preserve"> </w:t>
      </w:r>
      <w:r>
        <w:rPr>
          <w:rFonts w:ascii="Times New Roman;sans-serif" w:hAnsi="Times New Roman;sans-serif"/>
          <w:b w:val="false"/>
          <w:color w:val="000000"/>
          <w:sz w:val="22"/>
        </w:rPr>
        <w:t>of the Credit Agreement, in connection with the foregoing, the Administrative Agent has determined that certain Benchmark Replacement Conforming Changes are appropriate.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1.    </w:t>
      </w:r>
      <w:r>
        <w:rPr>
          <w:rFonts w:ascii="Times New Roman;sans-serif" w:hAnsi="Times New Roman;sans-serif"/>
          <w:b w:val="false"/>
          <w:color w:val="000000"/>
          <w:sz w:val="22"/>
          <w:u w:val="single"/>
        </w:rPr>
        <w:t>Amendment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(a)    The Credit Agreement is hereby amended to delete the stricken text (indicated textually in the same manner as the following sample: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underlined text (indicated textually in the same manner as the following example: </w:t>
      </w:r>
      <w:r>
        <w:rPr>
          <w:rFonts w:ascii="Times New Roman;sans-serif" w:hAnsi="Times New Roman;sans-serif"/>
          <w:b w:val="false"/>
          <w:color w:val="0000FF"/>
          <w:sz w:val="22"/>
          <w:u w:val="single"/>
        </w:rPr>
        <w:t>double underlined text</w:t>
      </w:r>
      <w:r>
        <w:rPr>
          <w:rFonts w:ascii="Times New Roman;sans-serif" w:hAnsi="Times New Roman;sans-serif"/>
          <w:b w:val="false"/>
          <w:color w:val="000000"/>
          <w:sz w:val="22"/>
        </w:rPr>
        <w:t xml:space="preserve">), in each case, as set forth in the Amended Credit Agreement attached as </w:t>
      </w:r>
      <w:r>
        <w:rPr>
          <w:rFonts w:ascii="Times New Roman;sans-serif" w:hAnsi="Times New Roman;sans-serif"/>
          <w:b w:val="false"/>
          <w:color w:val="000000"/>
          <w:sz w:val="22"/>
          <w:u w:val="single"/>
        </w:rPr>
        <w:t>Annex A</w:t>
      </w:r>
      <w:r>
        <w:rPr>
          <w:color w:val="000000"/>
        </w:rPr>
        <w:t xml:space="preserve"> </w:t>
      </w:r>
      <w:r>
        <w:rPr>
          <w:rFonts w:ascii="Times New Roman;sans-serif" w:hAnsi="Times New Roman;sans-serif"/>
          <w:b w:val="false"/>
          <w:color w:val="000000"/>
          <w:sz w:val="22"/>
        </w:rPr>
        <w:t>hereto (the Credit Agreement, as so amended, being referred to as the “</w:t>
      </w:r>
      <w:r>
        <w:rPr>
          <w:rFonts w:ascii="Times New Roman;sans-serif" w:hAnsi="Times New Roman;sans-serif"/>
          <w:b/>
          <w:color w:val="000000"/>
          <w:sz w:val="22"/>
        </w:rPr>
        <w:t>Amended Credit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Exhibits A and K to the Credit Agreement are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00FF"/>
          <w:sz w:val="22"/>
          <w:u w:val="single"/>
        </w:rPr>
        <w:t>double-underlined text</w:t>
      </w:r>
      <w:r>
        <w:rPr>
          <w:rFonts w:ascii="Times New Roman;sans-serif" w:hAnsi="Times New Roman;sans-serif"/>
          <w:b w:val="false"/>
          <w:color w:val="000000"/>
          <w:sz w:val="22"/>
        </w:rPr>
        <w:t xml:space="preserve">) as set forth in the pages attached as </w:t>
      </w:r>
      <w:r>
        <w:rPr>
          <w:rFonts w:ascii="Times New Roman;sans-serif" w:hAnsi="Times New Roman;sans-serif"/>
          <w:b w:val="false"/>
          <w:color w:val="000000"/>
          <w:sz w:val="22"/>
          <w:u w:val="single"/>
        </w:rPr>
        <w:t>Annex B</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    </w:t>
      </w:r>
      <w:r>
        <w:rPr>
          <w:rFonts w:ascii="Times New Roman;sans-serif" w:hAnsi="Times New Roman;sans-serif"/>
          <w:b w:val="false"/>
          <w:color w:val="000000"/>
          <w:sz w:val="22"/>
          <w:u w:val="single"/>
        </w:rPr>
        <w:t>Transition</w:t>
      </w:r>
      <w:r>
        <w:rPr>
          <w:rFonts w:ascii="Times New Roman;sans-serif" w:hAnsi="Times New Roman;sans-serif"/>
          <w:b w:val="false"/>
          <w:color w:val="000000"/>
          <w:sz w:val="22"/>
        </w:rPr>
        <w:t xml:space="preserve">. Notwithstanding any other provision herein or in the Credit Agreement, the interest on any LIBOR Loans outstanding as of the Amendment Effective Date (as defined below) will continue to be determined and be payable by reference to the LIBOR Rate provisions that apply prior to the Amendment Effective Date (as defined below), until the end of the then current Interest Period on such LIBOR Loans (or, if earlier, the date that the applicable LIBOR Loans are converted to SOFR Loans and/or ABR Loans, as applicable, pursuant to </w:t>
      </w:r>
      <w:r>
        <w:rPr>
          <w:rFonts w:ascii="Times New Roman;sans-serif" w:hAnsi="Times New Roman;sans-serif"/>
          <w:b w:val="false"/>
          <w:color w:val="000000"/>
          <w:sz w:val="22"/>
          <w:u w:val="single"/>
        </w:rPr>
        <w:t>Section 2.6</w:t>
      </w:r>
      <w:r>
        <w:rPr>
          <w:color w:val="000000"/>
        </w:rPr>
        <w:t xml:space="preserve"> </w:t>
      </w:r>
      <w:r>
        <w:rPr>
          <w:rFonts w:ascii="Times New Roman;sans-serif" w:hAnsi="Times New Roman;sans-serif"/>
          <w:b w:val="false"/>
          <w:color w:val="000000"/>
          <w:sz w:val="22"/>
        </w:rPr>
        <w:t>of the Credit Agreement), at which time interest shall be determined after giving effect to amendments provided for herein.</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67360"/>
                <wp:effectExtent l="0" t="0" r="0" b="0"/>
                <wp:wrapNone/>
                <wp:docPr id="42" name="Frame41"/>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3.    </w:t>
      </w:r>
      <w:r>
        <w:rPr>
          <w:rFonts w:ascii="Times New Roman;sans-serif" w:hAnsi="Times New Roman;sans-serif"/>
          <w:b w:val="false"/>
          <w:color w:val="000000"/>
          <w:sz w:val="22"/>
          <w:u w:val="single"/>
        </w:rPr>
        <w:t>Effectiveness; Notice</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    This Amendment shall become effective on July 1, 2023, without any further action or consent of any party to the Credit Agreement or any other Credit Document (the “</w:t>
      </w:r>
      <w:r>
        <w:rPr>
          <w:rFonts w:ascii="Times New Roman;sans-serif" w:hAnsi="Times New Roman;sans-serif"/>
          <w:b/>
          <w:color w:val="000000"/>
          <w:sz w:val="22"/>
        </w:rPr>
        <w:t>Amendment Effective Date</w:t>
      </w:r>
      <w:r>
        <w:rPr>
          <w:color w:val="000000"/>
        </w:rPr>
        <w:t>”</w:t>
      </w:r>
      <w:r>
        <w:rPr>
          <w:rFonts w:ascii="Times New Roman;sans-serif" w:hAnsi="Times New Roman;sans-serif"/>
          <w:b w:val="false"/>
          <w:color w:val="000000"/>
          <w:sz w:val="22"/>
        </w:rPr>
        <w:t>), provided that the Administrative Agent shall have executed this Amendment prior to such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The posting of this Amendment made on the date hereof to the Borrower and the Lenders constitutes the notice referred to in </w:t>
      </w:r>
      <w:r>
        <w:rPr>
          <w:rFonts w:ascii="Times New Roman;sans-serif" w:hAnsi="Times New Roman;sans-serif"/>
          <w:b w:val="false"/>
          <w:color w:val="000000"/>
          <w:sz w:val="22"/>
          <w:u w:val="single"/>
        </w:rPr>
        <w:t>Section 3.3</w:t>
      </w:r>
      <w:r>
        <w:rPr>
          <w:color w:val="000000"/>
        </w:rPr>
        <w:t xml:space="preserve"> </w:t>
      </w:r>
      <w:r>
        <w:rPr>
          <w:rFonts w:ascii="Times New Roman;sans-serif" w:hAnsi="Times New Roman;sans-serif"/>
          <w:b w:val="false"/>
          <w:color w:val="000000"/>
          <w:sz w:val="22"/>
        </w:rPr>
        <w:t>of the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4.    </w:t>
      </w:r>
      <w:r>
        <w:rPr>
          <w:rFonts w:ascii="Times New Roman;sans-serif" w:hAnsi="Times New Roman;sans-serif"/>
          <w:b w:val="false"/>
          <w:color w:val="000000"/>
          <w:sz w:val="22"/>
          <w:u w:val="single"/>
        </w:rPr>
        <w:t>Reference to and Effect on the Credit Agreement and the Credit Documents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On and after the Amendment Effective Date, each reference in the Credit Agreement to “this Agreement”, “hereunder”, “hereof” or words of like import referring to the Credit Agreement shall mean and be a reference to the Amended Credit Agreement. This Amendment shall be a Credit Document.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Credit Agreement and each of the other Credit Documents, as specifically amended by this Amendment are and shall continue to be in full force and effect and are hereby in all respects ratified and confirmed.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execution, delivery and effectiveness of this Amendment shall not operate as a waiver of any right, power or remedy of any Lender or the Administrative Agent under any of the Credit Documents, nor constitute a waiver of any provision of any of the Credit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5.    </w:t>
      </w:r>
      <w:r>
        <w:rPr>
          <w:rFonts w:ascii="Times New Roman;sans-serif" w:hAnsi="Times New Roman;sans-serif"/>
          <w:b w:val="false"/>
          <w:color w:val="000000"/>
          <w:sz w:val="22"/>
          <w:u w:val="single"/>
        </w:rPr>
        <w:t>Execution in Counterparts</w:t>
      </w:r>
      <w:r>
        <w:rPr>
          <w:rFonts w:ascii="Times New Roman;sans-serif" w:hAnsi="Times New Roman;sans-serif"/>
          <w:b w:val="false"/>
          <w:color w:val="000000"/>
          <w:sz w:val="22"/>
        </w:rPr>
        <w:t>. This Amendment may be executed in counterparts, each of which when so executed shall be deemed an original and all of which counterparts when taken together shall constitute one and the same document.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6.    </w:t>
      </w:r>
      <w:r>
        <w:rPr>
          <w:rFonts w:ascii="Times New Roman;sans-serif" w:hAnsi="Times New Roman;sans-serif"/>
          <w:b w:val="false"/>
          <w:color w:val="000000"/>
          <w:sz w:val="22"/>
          <w:u w:val="single"/>
        </w:rPr>
        <w:t>Governing Law; Waivers</w:t>
      </w:r>
      <w:r>
        <w:rPr>
          <w:rFonts w:ascii="Times New Roman;sans-serif" w:hAnsi="Times New Roman;sans-serif"/>
          <w:b w:val="false"/>
          <w:color w:val="000000"/>
          <w:sz w:val="22"/>
        </w:rPr>
        <w:t xml:space="preserve">. </w:t>
      </w:r>
      <w:r>
        <w:rPr>
          <w:rFonts w:ascii="Times New Roman;sans-serif" w:hAnsi="Times New Roman;sans-serif"/>
          <w:b/>
          <w:color w:val="000000"/>
          <w:sz w:val="22"/>
        </w:rPr>
        <w:t>THIS AMENDMENT SHALL BE GOVERNED BY, AND CONSTRUED AND INTERPRETED IN ACCORDANCE WITH, THE LAW OF THE STATE OF NEW YORK</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Sections 13.12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13.13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13.15</w:t>
      </w:r>
      <w:r>
        <w:rPr>
          <w:color w:val="000000"/>
        </w:rPr>
        <w:t xml:space="preserve"> </w:t>
      </w:r>
      <w:r>
        <w:rPr>
          <w:rFonts w:ascii="Times New Roman;sans-serif" w:hAnsi="Times New Roman;sans-serif"/>
          <w:b w:val="false"/>
          <w:color w:val="000000"/>
          <w:sz w:val="22"/>
        </w:rPr>
        <w:t xml:space="preserve">are included herein by reference,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bidi w:val="0"/>
        <w:spacing w:lineRule="auto" w:line="240" w:before="0" w:after="0"/>
        <w:ind w:left="0" w:right="0" w:firstLine="43"/>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The remainder of this page is intentionally left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Administrative Agent has caused this Amendment to be executed by its respective officers thereunto duly authorized, as of the date first above written.</w:t>
      </w:r>
    </w:p>
    <w:p>
      <w:pPr>
        <w:pStyle w:val="TextBody"/>
        <w:bidi w:val="0"/>
        <w:spacing w:lineRule="auto" w:line="240" w:before="0" w:after="240"/>
        <w:jc w:val="left"/>
        <w:rPr/>
      </w:pPr>
      <w:r>
        <w:rPr>
          <w:rFonts w:ascii="Times New Roman;sans-serif" w:hAnsi="Times New Roman;sans-serif"/>
          <w:b/>
          <w:color w:val="000000"/>
          <w:sz w:val="22"/>
        </w:rPr>
        <w:t>CREDIT SUISSE AG, CAYMAN ISLANDS BRANCH</w:t>
      </w:r>
      <w:r>
        <w:rPr>
          <w:rFonts w:ascii="Times New Roman;sans-serif" w:hAnsi="Times New Roman;sans-serif"/>
          <w:b w:val="false"/>
          <w:color w:val="000000"/>
          <w:sz w:val="22"/>
        </w:rPr>
        <w:t xml:space="preserve">, </w:t>
        <w:br/>
        <w:t>as Administrative Agent</w:t>
      </w:r>
    </w:p>
    <w:p>
      <w:pPr>
        <w:pStyle w:val="TextBody"/>
        <w:bidi w:val="0"/>
        <w:spacing w:lineRule="auto" w:line="240" w:before="480" w:after="283"/>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D. Andrew Maletta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Name: D. Andrew Maletta</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jc w:val="left"/>
        <w:rPr/>
      </w:pPr>
      <w:r>
        <w:rPr/>
      </w:r>
    </w:p>
    <w:p>
      <w:pPr>
        <w:pStyle w:val="TextBody"/>
        <w:bidi w:val="0"/>
        <w:spacing w:lineRule="auto" w:line="240" w:before="480" w:after="283"/>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Nawshaer Safi    </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Name: Nawshaer Safi</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Title: Authorized Signatory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Conforming Changes Amendment (SOFR Transition)]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Conforming Changes Amendment (SOFR Transition)]</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Annex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Amended Credit Agreement</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[attached]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Annex A</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2100"/>
                <wp:effectExtent l="0" t="0" r="0" b="0"/>
                <wp:wrapNone/>
                <wp:docPr id="45" name="Frame4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xbxContent>
                </v:textbox>
                <w10:wrap type="none"/>
              </v:rect>
            </w:pict>
          </mc:Fallback>
        </mc:AlternateContent>
      </w:r>
    </w:p>
    <w:p>
      <w:pPr>
        <w:pStyle w:val="TextBody"/>
        <w:bidi w:val="0"/>
        <w:spacing w:lineRule="auto" w:line="240" w:before="0" w:after="0"/>
        <w:jc w:val="right"/>
        <w:rPr>
          <w:rFonts w:ascii="Times New Roman;sans-serif" w:hAnsi="Times New Roman;sans-serif"/>
          <w:b/>
          <w:i/>
          <w:color w:val="0000FF"/>
          <w:sz w:val="22"/>
          <w:u w:val="single"/>
        </w:rPr>
      </w:pPr>
      <w:r>
        <w:rPr>
          <w:rFonts w:ascii="Times New Roman;sans-serif" w:hAnsi="Times New Roman;sans-serif"/>
          <w:b/>
          <w:i/>
          <w:color w:val="0000FF"/>
          <w:sz w:val="22"/>
          <w:u w:val="single"/>
        </w:rPr>
        <w:t>Execution Version</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SECOND AMENDED AND RESTATED CREDIT AGREEMENT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November 6, 2020</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ACADEMY, LTD.,</w:t>
        <w:br/>
        <w:t>as the Borrower,</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NEW ACADEMY HOLDING COMPANY, LLC,</w:t>
        <w:br/>
        <w:t>as Holdings,</w:t>
      </w:r>
    </w:p>
    <w:p>
      <w:pPr>
        <w:pStyle w:val="TextBody"/>
        <w:bidi w:val="0"/>
        <w:spacing w:lineRule="auto" w:line="240" w:before="0" w:after="240"/>
        <w:jc w:val="center"/>
        <w:rPr/>
      </w:pPr>
      <w:r>
        <w:rPr>
          <w:rFonts w:ascii="Times New Roman;sans-serif" w:hAnsi="Times New Roman;sans-serif"/>
          <w:b w:val="false"/>
          <w:color w:val="000000"/>
          <w:sz w:val="22"/>
        </w:rPr>
        <w:t>ASSOCIATED INVESTORS L.L.C.,</w:t>
        <w:br/>
        <w:t>and</w:t>
        <w:br/>
        <w:t>ACADEMY MANAGING CO., L.L.C.,</w:t>
        <w:br/>
        <w:t>as Texas Intermediate Holdcos</w:t>
      </w:r>
      <w:r>
        <w:rPr>
          <w:rFonts w:ascii="Times New Roman;sans-serif" w:hAnsi="Times New Roman;sans-serif"/>
          <w:b/>
          <w:color w:val="0000FF"/>
          <w:sz w:val="22"/>
          <w:u w:val="single"/>
        </w:rPr>
        <w: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The Several Lenders</w:t>
        <w:br/>
        <w:t>from Time to Time Parties Hereto,</w:t>
      </w:r>
    </w:p>
    <w:p>
      <w:pPr>
        <w:pStyle w:val="TextBody"/>
        <w:bidi w:val="0"/>
        <w:spacing w:lineRule="auto" w:line="240" w:before="0" w:after="240"/>
        <w:jc w:val="center"/>
        <w:rPr/>
      </w:pPr>
      <w:r>
        <w:rPr>
          <w:rFonts w:ascii="Times New Roman;sans-serif" w:hAnsi="Times New Roman;sans-serif"/>
          <w:b w:val="false"/>
          <w:color w:val="000000"/>
          <w:sz w:val="22"/>
        </w:rPr>
        <w:t>CREDIT SUISSE AG, CAYMAN ISLANDS BRANCH</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br/>
        <w:t>as the Administrative Agent and Collateral Agent,</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br/>
        <w:br/>
        <w:t xml:space="preserve">CREDIT SUISSE LOAN FUNDING LLC </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KKR CAPITAL MARKETS LLC</w:t>
        <w:br/>
        <w:t>J.P. MORGAN SECURITIES LLC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WELLS FARGO SECURITIES, LLC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BOFA SECURITIES, INC.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CAPITAL ONE N.A.</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REGIONS CAPITAL MARKETS</w:t>
      </w:r>
    </w:p>
    <w:p>
      <w:pPr>
        <w:pStyle w:val="TextBody"/>
        <w:bidi w:val="0"/>
        <w:spacing w:lineRule="auto" w:line="240" w:before="0" w:after="0"/>
        <w:jc w:val="center"/>
        <w:rPr/>
      </w:pPr>
      <w:r>
        <w:rPr>
          <w:rFonts w:ascii="Times New Roman;sans-serif" w:hAnsi="Times New Roman;sans-serif"/>
          <w:b w:val="false"/>
          <w:color w:val="000000"/>
          <w:sz w:val="22"/>
        </w:rPr>
        <w:t>BBVA SECURITIES INC.</w:t>
      </w:r>
      <w:r>
        <w:rPr>
          <w:rFonts w:ascii="Times New Roman;sans-serif" w:hAnsi="Times New Roman;sans-serif"/>
          <w:b/>
          <w:color w:val="0000FF"/>
          <w:sz w:val="22"/>
          <w:u w:val="single"/>
        </w:rPr>
        <w:t>,</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br/>
        <w:t>as Joint Lead Arrangers and Bookrunners</w:t>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val="false"/>
          <w:color w:val="000000"/>
          <w:sz w:val="22"/>
        </w:rPr>
        <w:t xml:space="preserve">As amended through </w:t>
      </w:r>
      <w:r>
        <w:rPr>
          <w:rFonts w:ascii="Times New Roman;sans-serif" w:hAnsi="Times New Roman;sans-serif"/>
          <w:b/>
          <w:color w:val="0000FF"/>
          <w:sz w:val="22"/>
          <w:u w:val="single"/>
        </w:rPr>
        <w:t xml:space="preserve">that certain Conforming Changes </w:t>
      </w:r>
      <w:r>
        <w:rPr>
          <w:rFonts w:ascii="Times New Roman;sans-serif" w:hAnsi="Times New Roman;sans-serif"/>
          <w:b w:val="false"/>
          <w:color w:val="000000"/>
          <w:sz w:val="22"/>
        </w:rPr>
        <w:t>Amendment</w:t>
      </w:r>
      <w:r>
        <w:rPr>
          <w:strike/>
          <w:color w:val="FF0000"/>
        </w:rPr>
        <w:t xml:space="preserve"> </w:t>
      </w:r>
      <w:r>
        <w:rPr>
          <w:rFonts w:ascii="Times New Roman;sans-serif" w:hAnsi="Times New Roman;sans-serif"/>
          <w:b/>
          <w:strike/>
          <w:color w:val="FF0000"/>
          <w:sz w:val="22"/>
        </w:rPr>
        <w:t>No. 4</w:t>
      </w:r>
      <w:r>
        <w:rPr>
          <w:rFonts w:ascii="Times New Roman;sans-serif" w:hAnsi="Times New Roman;sans-serif"/>
          <w:b/>
          <w:color w:val="0000FF"/>
          <w:sz w:val="22"/>
          <w:u w:val="single"/>
        </w:rPr>
        <w:t>, effective</w:t>
      </w:r>
      <w:r>
        <w:rPr>
          <w:color w:val="000000"/>
        </w:rPr>
        <w:t xml:space="preserve"> </w:t>
      </w:r>
      <w:r>
        <w:rPr>
          <w:rFonts w:ascii="Times New Roman;sans-serif" w:hAnsi="Times New Roman;sans-serif"/>
          <w:b w:val="false"/>
          <w:color w:val="000000"/>
          <w:sz w:val="22"/>
        </w:rPr>
        <w:t xml:space="preserve">as of </w:t>
      </w:r>
      <w:r>
        <w:rPr>
          <w:rFonts w:ascii="Times New Roman;sans-serif" w:hAnsi="Times New Roman;sans-serif"/>
          <w:b/>
          <w:strike/>
          <w:color w:val="FF0000"/>
          <w:sz w:val="22"/>
        </w:rPr>
        <w:t>May 25</w:t>
      </w:r>
      <w:r>
        <w:rPr>
          <w:rFonts w:ascii="Times New Roman;sans-serif" w:hAnsi="Times New Roman;sans-serif"/>
          <w:b/>
          <w:color w:val="0000FF"/>
          <w:sz w:val="22"/>
          <w:u w:val="single"/>
        </w:rPr>
        <w:t>July 1</w:t>
      </w:r>
      <w:r>
        <w:rPr>
          <w:rFonts w:ascii="Times New Roman;sans-serif" w:hAnsi="Times New Roman;sans-serif"/>
          <w:b w:val="false"/>
          <w:color w:val="000000"/>
          <w:sz w:val="22"/>
        </w:rPr>
        <w:t xml:space="preserve">, </w:t>
      </w:r>
      <w:r>
        <w:rPr>
          <w:rFonts w:ascii="Times New Roman;sans-serif" w:hAnsi="Times New Roman;sans-serif"/>
          <w:b/>
          <w:strike/>
          <w:color w:val="FF0000"/>
          <w:sz w:val="22"/>
        </w:rPr>
        <w:t>2021</w:t>
      </w:r>
      <w:r>
        <w:rPr>
          <w:rFonts w:ascii="Times New Roman;sans-serif" w:hAnsi="Times New Roman;sans-serif"/>
          <w:b/>
          <w:color w:val="0000FF"/>
          <w:sz w:val="22"/>
          <w:u w:val="single"/>
        </w:rPr>
        <w:t>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p>
      <w:pPr>
        <w:pStyle w:val="TextBody"/>
        <w:bidi w:val="0"/>
        <w:spacing w:lineRule="auto" w:line="240"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p>
      <w:pPr>
        <w:pStyle w:val="TextBody"/>
        <w:bidi w:val="0"/>
        <w:spacing w:lineRule="auto" w:line="240" w:before="240" w:after="240"/>
        <w:jc w:val="both"/>
        <w:rPr/>
      </w:pPr>
      <w:r>
        <w:rPr>
          <w:rFonts w:ascii="Times New Roman;sans-serif" w:hAnsi="Times New Roman;sans-serif"/>
          <w:b w:val="false"/>
          <w:color w:val="000000"/>
          <w:sz w:val="22"/>
        </w:rPr>
        <w:t>Section 1.</w:t>
      </w:r>
      <w:r>
        <w:rPr>
          <w:color w:val="000000"/>
        </w:rPr>
        <w:t>    </w:t>
      </w:r>
      <w:r>
        <w:rPr>
          <w:rFonts w:ascii="Times New Roman;sans-serif" w:hAnsi="Times New Roman;sans-serif"/>
          <w:b w:val="false"/>
          <w:color w:val="000000"/>
          <w:sz w:val="22"/>
        </w:rPr>
        <w:t>Definitions    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w:t>
      </w:r>
      <w:r>
        <w:rPr>
          <w:color w:val="000000"/>
        </w:rPr>
        <w:t>    </w:t>
      </w:r>
      <w:r>
        <w:rPr>
          <w:rFonts w:ascii="Times New Roman;sans-serif" w:hAnsi="Times New Roman;sans-serif"/>
          <w:b w:val="false"/>
          <w:color w:val="000000"/>
          <w:sz w:val="22"/>
        </w:rPr>
        <w:t>Defined Terms    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w:t>
      </w:r>
      <w:r>
        <w:rPr>
          <w:color w:val="000000"/>
        </w:rPr>
        <w:t>    </w:t>
      </w:r>
      <w:r>
        <w:rPr>
          <w:rFonts w:ascii="Times New Roman;sans-serif" w:hAnsi="Times New Roman;sans-serif"/>
          <w:b w:val="false"/>
          <w:color w:val="000000"/>
          <w:sz w:val="22"/>
        </w:rPr>
        <w:t>Other Interpretive Provisions    </w:t>
      </w:r>
      <w:r>
        <w:rPr>
          <w:rFonts w:ascii="Times New Roman;sans-serif" w:hAnsi="Times New Roman;sans-serif"/>
          <w:b/>
          <w:strike/>
          <w:color w:val="FF0000"/>
          <w:sz w:val="22"/>
        </w:rPr>
        <w:t>73</w:t>
      </w:r>
      <w:r>
        <w:rPr>
          <w:rFonts w:ascii="Times New Roman;sans-serif" w:hAnsi="Times New Roman;sans-serif"/>
          <w:b/>
          <w:color w:val="0000FF"/>
          <w:sz w:val="22"/>
          <w:u w:val="single"/>
        </w:rPr>
        <w:t>72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w:t>
      </w:r>
      <w:r>
        <w:rPr>
          <w:color w:val="000000"/>
        </w:rPr>
        <w:t>    </w:t>
      </w:r>
      <w:r>
        <w:rPr>
          <w:rFonts w:ascii="Times New Roman;sans-serif" w:hAnsi="Times New Roman;sans-serif"/>
          <w:b w:val="false"/>
          <w:color w:val="000000"/>
          <w:sz w:val="22"/>
        </w:rPr>
        <w:t>Accounting Terms    </w:t>
      </w:r>
      <w:r>
        <w:rPr>
          <w:rFonts w:ascii="Times New Roman;sans-serif" w:hAnsi="Times New Roman;sans-serif"/>
          <w:b/>
          <w:strike/>
          <w:color w:val="FF0000"/>
          <w:sz w:val="22"/>
        </w:rPr>
        <w:t>74</w:t>
      </w:r>
      <w:r>
        <w:rPr>
          <w:rFonts w:ascii="Times New Roman;sans-serif" w:hAnsi="Times New Roman;sans-serif"/>
          <w:b/>
          <w:color w:val="0000FF"/>
          <w:sz w:val="22"/>
          <w:u w:val="single"/>
        </w:rPr>
        <w:t>72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1.4</w:t>
      </w:r>
      <w:r>
        <w:rPr>
          <w:color w:val="000000"/>
        </w:rPr>
        <w:t>    </w:t>
      </w:r>
      <w:r>
        <w:rPr>
          <w:rFonts w:ascii="Times New Roman;sans-serif" w:hAnsi="Times New Roman;sans-serif"/>
          <w:b w:val="false"/>
          <w:color w:val="000000"/>
          <w:sz w:val="22"/>
        </w:rPr>
        <w:t>Rounding    </w:t>
      </w:r>
      <w:r>
        <w:rPr>
          <w:rFonts w:ascii="Times New Roman;sans-serif" w:hAnsi="Times New Roman;sans-serif"/>
          <w:b/>
          <w:strike/>
          <w:color w:val="FF0000"/>
          <w:sz w:val="22"/>
        </w:rPr>
        <w:t>74</w:t>
      </w:r>
      <w:r>
        <w:rPr>
          <w:rFonts w:ascii="Times New Roman;sans-serif" w:hAnsi="Times New Roman;sans-serif"/>
          <w:b/>
          <w:color w:val="0000FF"/>
          <w:sz w:val="22"/>
          <w:u w:val="single"/>
        </w:rPr>
        <w:t>73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1.5</w:t>
      </w:r>
      <w:r>
        <w:rPr>
          <w:color w:val="000000"/>
        </w:rPr>
        <w:t>    </w:t>
      </w:r>
      <w:r>
        <w:rPr>
          <w:rFonts w:ascii="Times New Roman;sans-serif" w:hAnsi="Times New Roman;sans-serif"/>
          <w:b w:val="false"/>
          <w:color w:val="000000"/>
          <w:sz w:val="22"/>
        </w:rPr>
        <w:t>References to Agreements, Laws, Etc.    </w:t>
      </w:r>
      <w:r>
        <w:rPr>
          <w:rFonts w:ascii="Times New Roman;sans-serif" w:hAnsi="Times New Roman;sans-serif"/>
          <w:b/>
          <w:strike/>
          <w:color w:val="FF0000"/>
          <w:sz w:val="22"/>
        </w:rPr>
        <w:t>74</w:t>
      </w:r>
      <w:r>
        <w:rPr>
          <w:rFonts w:ascii="Times New Roman;sans-serif" w:hAnsi="Times New Roman;sans-serif"/>
          <w:b/>
          <w:color w:val="0000FF"/>
          <w:sz w:val="22"/>
          <w:u w:val="single"/>
        </w:rPr>
        <w:t>73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1.6</w:t>
      </w:r>
      <w:r>
        <w:rPr>
          <w:color w:val="000000"/>
        </w:rPr>
        <w:t>    </w:t>
      </w:r>
      <w:r>
        <w:rPr>
          <w:rFonts w:ascii="Times New Roman;sans-serif" w:hAnsi="Times New Roman;sans-serif"/>
          <w:b w:val="false"/>
          <w:color w:val="000000"/>
          <w:sz w:val="22"/>
        </w:rPr>
        <w:t>Exchange Rates    </w:t>
      </w:r>
      <w:r>
        <w:rPr>
          <w:rFonts w:ascii="Times New Roman;sans-serif" w:hAnsi="Times New Roman;sans-serif"/>
          <w:b/>
          <w:strike/>
          <w:color w:val="FF0000"/>
          <w:sz w:val="22"/>
        </w:rPr>
        <w:t>74</w:t>
      </w:r>
      <w:r>
        <w:rPr>
          <w:rFonts w:ascii="Times New Roman;sans-serif" w:hAnsi="Times New Roman;sans-serif"/>
          <w:b/>
          <w:color w:val="0000FF"/>
          <w:sz w:val="22"/>
          <w:u w:val="single"/>
        </w:rPr>
        <w:t>73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1.7</w:t>
      </w:r>
      <w:r>
        <w:rPr>
          <w:color w:val="000000"/>
        </w:rPr>
        <w:t>    </w:t>
      </w:r>
      <w:r>
        <w:rPr>
          <w:rFonts w:ascii="Times New Roman;sans-serif" w:hAnsi="Times New Roman;sans-serif"/>
          <w:b w:val="false"/>
          <w:color w:val="000000"/>
          <w:sz w:val="22"/>
        </w:rPr>
        <w:t>Rates</w:t>
      </w:r>
      <w:r>
        <w:rPr>
          <w:rFonts w:ascii="Times New Roman;sans-serif" w:hAnsi="Times New Roman;sans-serif"/>
          <w:b/>
          <w:strike/>
          <w:color w:val="FF0000"/>
          <w:sz w:val="22"/>
        </w:rPr>
        <w:t>; LIBOR notification</w:t>
      </w:r>
      <w:r>
        <w:rPr>
          <w:color w:val="000000"/>
        </w:rPr>
        <w:t>    </w:t>
      </w:r>
      <w:r>
        <w:rPr>
          <w:rFonts w:ascii="Times New Roman;sans-serif" w:hAnsi="Times New Roman;sans-serif"/>
          <w:b/>
          <w:strike/>
          <w:color w:val="FF0000"/>
          <w:sz w:val="22"/>
        </w:rPr>
        <w:t>75</w:t>
      </w:r>
      <w:r>
        <w:rPr>
          <w:rFonts w:ascii="Times New Roman;sans-serif" w:hAnsi="Times New Roman;sans-serif"/>
          <w:b/>
          <w:color w:val="0000FF"/>
          <w:sz w:val="22"/>
          <w:u w:val="single"/>
        </w:rPr>
        <w:t>73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1.8</w:t>
      </w:r>
      <w:r>
        <w:rPr>
          <w:color w:val="000000"/>
        </w:rPr>
        <w:t>    </w:t>
      </w:r>
      <w:r>
        <w:rPr>
          <w:rFonts w:ascii="Times New Roman;sans-serif" w:hAnsi="Times New Roman;sans-serif"/>
          <w:b w:val="false"/>
          <w:color w:val="000000"/>
          <w:sz w:val="22"/>
        </w:rPr>
        <w:t>Times of Day    </w:t>
      </w:r>
      <w:r>
        <w:rPr>
          <w:rFonts w:ascii="Times New Roman;sans-serif" w:hAnsi="Times New Roman;sans-serif"/>
          <w:b/>
          <w:strike/>
          <w:color w:val="FF0000"/>
          <w:sz w:val="22"/>
        </w:rPr>
        <w:t>75</w:t>
      </w:r>
      <w:r>
        <w:rPr>
          <w:rFonts w:ascii="Times New Roman;sans-serif" w:hAnsi="Times New Roman;sans-serif"/>
          <w:b/>
          <w:color w:val="0000FF"/>
          <w:sz w:val="22"/>
          <w:u w:val="single"/>
        </w:rPr>
        <w:t>74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1.9</w:t>
      </w:r>
      <w:r>
        <w:rPr>
          <w:color w:val="000000"/>
        </w:rPr>
        <w:t>    </w:t>
      </w:r>
      <w:r>
        <w:rPr>
          <w:rFonts w:ascii="Times New Roman;sans-serif" w:hAnsi="Times New Roman;sans-serif"/>
          <w:b w:val="false"/>
          <w:color w:val="000000"/>
          <w:sz w:val="22"/>
        </w:rPr>
        <w:t>Timing of Payment or Performance    </w:t>
      </w:r>
      <w:r>
        <w:rPr>
          <w:rFonts w:ascii="Times New Roman;sans-serif" w:hAnsi="Times New Roman;sans-serif"/>
          <w:b/>
          <w:strike/>
          <w:color w:val="FF0000"/>
          <w:sz w:val="22"/>
        </w:rPr>
        <w:t>75</w:t>
      </w:r>
      <w:r>
        <w:rPr>
          <w:rFonts w:ascii="Times New Roman;sans-serif" w:hAnsi="Times New Roman;sans-serif"/>
          <w:b/>
          <w:color w:val="0000FF"/>
          <w:sz w:val="22"/>
          <w:u w:val="single"/>
        </w:rPr>
        <w:t>74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1.10</w:t>
      </w:r>
      <w:r>
        <w:rPr>
          <w:color w:val="000000"/>
        </w:rPr>
        <w:t>    </w:t>
      </w:r>
      <w:r>
        <w:rPr>
          <w:rFonts w:ascii="Times New Roman;sans-serif" w:hAnsi="Times New Roman;sans-serif"/>
          <w:b w:val="false"/>
          <w:color w:val="000000"/>
          <w:sz w:val="22"/>
        </w:rPr>
        <w:t>Certifications    </w:t>
      </w:r>
      <w:r>
        <w:rPr>
          <w:rFonts w:ascii="Times New Roman;sans-serif" w:hAnsi="Times New Roman;sans-serif"/>
          <w:b/>
          <w:strike/>
          <w:color w:val="FF0000"/>
          <w:sz w:val="22"/>
        </w:rPr>
        <w:t>75</w:t>
      </w:r>
      <w:r>
        <w:rPr>
          <w:rFonts w:ascii="Times New Roman;sans-serif" w:hAnsi="Times New Roman;sans-serif"/>
          <w:b/>
          <w:color w:val="0000FF"/>
          <w:sz w:val="22"/>
          <w:u w:val="single"/>
        </w:rPr>
        <w:t>74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1.11</w:t>
      </w:r>
      <w:r>
        <w:rPr>
          <w:color w:val="000000"/>
        </w:rPr>
        <w:t>    </w:t>
      </w:r>
      <w:r>
        <w:rPr>
          <w:rFonts w:ascii="Times New Roman;sans-serif" w:hAnsi="Times New Roman;sans-serif"/>
          <w:b w:val="false"/>
          <w:color w:val="000000"/>
          <w:sz w:val="22"/>
        </w:rPr>
        <w:t>Compliance with Certain Sections    </w:t>
      </w:r>
      <w:r>
        <w:rPr>
          <w:rFonts w:ascii="Times New Roman;sans-serif" w:hAnsi="Times New Roman;sans-serif"/>
          <w:b/>
          <w:strike/>
          <w:color w:val="FF0000"/>
          <w:sz w:val="22"/>
        </w:rPr>
        <w:t>75</w:t>
      </w:r>
      <w:r>
        <w:rPr>
          <w:rFonts w:ascii="Times New Roman;sans-serif" w:hAnsi="Times New Roman;sans-serif"/>
          <w:b/>
          <w:color w:val="0000FF"/>
          <w:sz w:val="22"/>
          <w:u w:val="single"/>
        </w:rPr>
        <w:t>74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1.12</w:t>
      </w:r>
      <w:r>
        <w:rPr>
          <w:color w:val="000000"/>
        </w:rPr>
        <w:t>    </w:t>
      </w:r>
      <w:r>
        <w:rPr>
          <w:rFonts w:ascii="Times New Roman;sans-serif" w:hAnsi="Times New Roman;sans-serif"/>
          <w:b w:val="false"/>
          <w:color w:val="000000"/>
          <w:sz w:val="22"/>
        </w:rPr>
        <w:t>Pro Forma and Other Calculations    </w:t>
      </w:r>
      <w:r>
        <w:rPr>
          <w:rFonts w:ascii="Times New Roman;sans-serif" w:hAnsi="Times New Roman;sans-serif"/>
          <w:b/>
          <w:strike/>
          <w:color w:val="FF0000"/>
          <w:sz w:val="22"/>
        </w:rPr>
        <w:t>76</w:t>
      </w:r>
      <w:r>
        <w:rPr>
          <w:rFonts w:ascii="Times New Roman;sans-serif" w:hAnsi="Times New Roman;sans-serif"/>
          <w:b/>
          <w:color w:val="0000FF"/>
          <w:sz w:val="22"/>
          <w:u w:val="single"/>
        </w:rPr>
        <w:t>74</w:t>
      </w:r>
    </w:p>
    <w:p>
      <w:pPr>
        <w:pStyle w:val="TextBody"/>
        <w:bidi w:val="0"/>
        <w:spacing w:lineRule="auto" w:line="240" w:before="240" w:after="240"/>
        <w:jc w:val="both"/>
        <w:rPr/>
      </w:pPr>
      <w:r>
        <w:rPr>
          <w:rFonts w:ascii="Times New Roman;sans-serif" w:hAnsi="Times New Roman;sans-serif"/>
          <w:b w:val="false"/>
          <w:color w:val="000000"/>
          <w:sz w:val="22"/>
        </w:rPr>
        <w:t>Section 2.</w:t>
      </w:r>
      <w:r>
        <w:rPr>
          <w:color w:val="000000"/>
        </w:rPr>
        <w:t>    </w:t>
      </w:r>
      <w:r>
        <w:rPr>
          <w:rFonts w:ascii="Times New Roman;sans-serif" w:hAnsi="Times New Roman;sans-serif"/>
          <w:b w:val="false"/>
          <w:color w:val="000000"/>
          <w:sz w:val="22"/>
        </w:rPr>
        <w:t>Amount and Terms of Credit.    </w:t>
      </w:r>
      <w:r>
        <w:rPr>
          <w:rFonts w:ascii="Times New Roman;sans-serif" w:hAnsi="Times New Roman;sans-serif"/>
          <w:b/>
          <w:strike/>
          <w:color w:val="FF0000"/>
          <w:sz w:val="22"/>
        </w:rPr>
        <w:t>78</w:t>
      </w:r>
      <w:r>
        <w:rPr>
          <w:rFonts w:ascii="Times New Roman;sans-serif" w:hAnsi="Times New Roman;sans-serif"/>
          <w:b/>
          <w:color w:val="0000FF"/>
          <w:sz w:val="22"/>
          <w:u w:val="single"/>
        </w:rPr>
        <w:t>77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2.1</w:t>
      </w:r>
      <w:r>
        <w:rPr>
          <w:color w:val="000000"/>
        </w:rPr>
        <w:t>    </w:t>
      </w:r>
      <w:r>
        <w:rPr>
          <w:rFonts w:ascii="Times New Roman;sans-serif" w:hAnsi="Times New Roman;sans-serif"/>
          <w:b w:val="false"/>
          <w:color w:val="000000"/>
          <w:sz w:val="22"/>
        </w:rPr>
        <w:t>Commitments    </w:t>
      </w:r>
      <w:r>
        <w:rPr>
          <w:rFonts w:ascii="Times New Roman;sans-serif" w:hAnsi="Times New Roman;sans-serif"/>
          <w:b/>
          <w:strike/>
          <w:color w:val="FF0000"/>
          <w:sz w:val="22"/>
        </w:rPr>
        <w:t>78</w:t>
      </w:r>
      <w:r>
        <w:rPr>
          <w:rFonts w:ascii="Times New Roman;sans-serif" w:hAnsi="Times New Roman;sans-serif"/>
          <w:b/>
          <w:color w:val="0000FF"/>
          <w:sz w:val="22"/>
          <w:u w:val="single"/>
        </w:rPr>
        <w:t>77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2.2</w:t>
      </w:r>
      <w:r>
        <w:rPr>
          <w:color w:val="000000"/>
        </w:rPr>
        <w:t>    </w:t>
      </w:r>
      <w:r>
        <w:rPr>
          <w:rFonts w:ascii="Times New Roman;sans-serif" w:hAnsi="Times New Roman;sans-serif"/>
          <w:b w:val="false"/>
          <w:color w:val="000000"/>
          <w:sz w:val="22"/>
        </w:rPr>
        <w:t>Minimum Amount of Each Borrowing; Maximum Number of Borrowings    </w:t>
      </w:r>
      <w:r>
        <w:rPr>
          <w:rFonts w:ascii="Times New Roman;sans-serif" w:hAnsi="Times New Roman;sans-serif"/>
          <w:b/>
          <w:strike/>
          <w:color w:val="FF0000"/>
          <w:sz w:val="22"/>
        </w:rPr>
        <w:t>79</w:t>
      </w:r>
      <w:r>
        <w:rPr>
          <w:rFonts w:ascii="Times New Roman;sans-serif" w:hAnsi="Times New Roman;sans-serif"/>
          <w:b/>
          <w:color w:val="0000FF"/>
          <w:sz w:val="22"/>
          <w:u w:val="single"/>
        </w:rPr>
        <w:t>77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2.3</w:t>
      </w:r>
      <w:r>
        <w:rPr>
          <w:color w:val="000000"/>
        </w:rPr>
        <w:t>    </w:t>
      </w:r>
      <w:r>
        <w:rPr>
          <w:rFonts w:ascii="Times New Roman;sans-serif" w:hAnsi="Times New Roman;sans-serif"/>
          <w:b w:val="false"/>
          <w:color w:val="000000"/>
          <w:sz w:val="22"/>
        </w:rPr>
        <w:t>Notice of Borrowing    </w:t>
      </w:r>
      <w:r>
        <w:rPr>
          <w:rFonts w:ascii="Times New Roman;sans-serif" w:hAnsi="Times New Roman;sans-serif"/>
          <w:b/>
          <w:strike/>
          <w:color w:val="FF0000"/>
          <w:sz w:val="22"/>
        </w:rPr>
        <w:t>79</w:t>
      </w:r>
      <w:r>
        <w:rPr>
          <w:rFonts w:ascii="Times New Roman;sans-serif" w:hAnsi="Times New Roman;sans-serif"/>
          <w:b/>
          <w:color w:val="0000FF"/>
          <w:sz w:val="22"/>
          <w:u w:val="single"/>
        </w:rPr>
        <w:t>77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2.4</w:t>
      </w:r>
      <w:r>
        <w:rPr>
          <w:color w:val="000000"/>
        </w:rPr>
        <w:t>    </w:t>
      </w:r>
      <w:r>
        <w:rPr>
          <w:rFonts w:ascii="Times New Roman;sans-serif" w:hAnsi="Times New Roman;sans-serif"/>
          <w:b w:val="false"/>
          <w:color w:val="000000"/>
          <w:sz w:val="22"/>
        </w:rPr>
        <w:t>Disbursement of Funds    </w:t>
      </w:r>
      <w:r>
        <w:rPr>
          <w:rFonts w:ascii="Times New Roman;sans-serif" w:hAnsi="Times New Roman;sans-serif"/>
          <w:b/>
          <w:strike/>
          <w:color w:val="FF0000"/>
          <w:sz w:val="22"/>
        </w:rPr>
        <w:t>79</w:t>
      </w:r>
      <w:r>
        <w:rPr>
          <w:rFonts w:ascii="Times New Roman;sans-serif" w:hAnsi="Times New Roman;sans-serif"/>
          <w:b/>
          <w:color w:val="0000FF"/>
          <w:sz w:val="22"/>
          <w:u w:val="single"/>
        </w:rPr>
        <w:t>78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2.5</w:t>
      </w:r>
      <w:r>
        <w:rPr>
          <w:color w:val="000000"/>
        </w:rPr>
        <w:t>    </w:t>
      </w:r>
      <w:r>
        <w:rPr>
          <w:rFonts w:ascii="Times New Roman;sans-serif" w:hAnsi="Times New Roman;sans-serif"/>
          <w:b w:val="false"/>
          <w:color w:val="000000"/>
          <w:sz w:val="22"/>
        </w:rPr>
        <w:t>Repayment of Loans; Evidence of Debt    </w:t>
      </w:r>
      <w:r>
        <w:rPr>
          <w:rFonts w:ascii="Times New Roman;sans-serif" w:hAnsi="Times New Roman;sans-serif"/>
          <w:b/>
          <w:strike/>
          <w:color w:val="FF0000"/>
          <w:sz w:val="22"/>
        </w:rPr>
        <w:t>80</w:t>
      </w:r>
      <w:r>
        <w:rPr>
          <w:rFonts w:ascii="Times New Roman;sans-serif" w:hAnsi="Times New Roman;sans-serif"/>
          <w:b/>
          <w:color w:val="0000FF"/>
          <w:sz w:val="22"/>
          <w:u w:val="single"/>
        </w:rPr>
        <w:t>79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2.6</w:t>
      </w:r>
      <w:r>
        <w:rPr>
          <w:color w:val="000000"/>
        </w:rPr>
        <w:t>    </w:t>
      </w:r>
      <w:r>
        <w:rPr>
          <w:rFonts w:ascii="Times New Roman;sans-serif" w:hAnsi="Times New Roman;sans-serif"/>
          <w:b w:val="false"/>
          <w:color w:val="000000"/>
          <w:sz w:val="22"/>
        </w:rPr>
        <w:t>Conversions and Continuations    </w:t>
      </w:r>
      <w:r>
        <w:rPr>
          <w:rFonts w:ascii="Times New Roman;sans-serif" w:hAnsi="Times New Roman;sans-serif"/>
          <w:b/>
          <w:strike/>
          <w:color w:val="FF0000"/>
          <w:sz w:val="22"/>
        </w:rPr>
        <w:t>81</w:t>
      </w:r>
      <w:r>
        <w:rPr>
          <w:rFonts w:ascii="Times New Roman;sans-serif" w:hAnsi="Times New Roman;sans-serif"/>
          <w:b/>
          <w:color w:val="0000FF"/>
          <w:sz w:val="22"/>
          <w:u w:val="single"/>
        </w:rPr>
        <w:t>80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2.7</w:t>
      </w:r>
      <w:r>
        <w:rPr>
          <w:color w:val="000000"/>
        </w:rPr>
        <w:t>    </w:t>
      </w:r>
      <w:r>
        <w:rPr>
          <w:rFonts w:ascii="Times New Roman;sans-serif" w:hAnsi="Times New Roman;sans-serif"/>
          <w:b w:val="false"/>
          <w:color w:val="000000"/>
          <w:sz w:val="22"/>
        </w:rPr>
        <w:t>Pro Rata Borrowings    </w:t>
      </w:r>
      <w:r>
        <w:rPr>
          <w:rFonts w:ascii="Times New Roman;sans-serif" w:hAnsi="Times New Roman;sans-serif"/>
          <w:b/>
          <w:strike/>
          <w:color w:val="FF0000"/>
          <w:sz w:val="22"/>
        </w:rPr>
        <w:t>82</w:t>
      </w:r>
      <w:r>
        <w:rPr>
          <w:rFonts w:ascii="Times New Roman;sans-serif" w:hAnsi="Times New Roman;sans-serif"/>
          <w:b/>
          <w:color w:val="0000FF"/>
          <w:sz w:val="22"/>
          <w:u w:val="single"/>
        </w:rPr>
        <w:t>80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2.8</w:t>
      </w:r>
      <w:r>
        <w:rPr>
          <w:color w:val="000000"/>
        </w:rPr>
        <w:t>    </w:t>
      </w:r>
      <w:r>
        <w:rPr>
          <w:rFonts w:ascii="Times New Roman;sans-serif" w:hAnsi="Times New Roman;sans-serif"/>
          <w:b w:val="false"/>
          <w:color w:val="000000"/>
          <w:sz w:val="22"/>
        </w:rPr>
        <w:t>Interest    </w:t>
      </w:r>
      <w:r>
        <w:rPr>
          <w:rFonts w:ascii="Times New Roman;sans-serif" w:hAnsi="Times New Roman;sans-serif"/>
          <w:b/>
          <w:strike/>
          <w:color w:val="FF0000"/>
          <w:sz w:val="22"/>
        </w:rPr>
        <w:t>82</w:t>
      </w:r>
      <w:r>
        <w:rPr>
          <w:rFonts w:ascii="Times New Roman;sans-serif" w:hAnsi="Times New Roman;sans-serif"/>
          <w:b/>
          <w:color w:val="0000FF"/>
          <w:sz w:val="22"/>
          <w:u w:val="single"/>
        </w:rPr>
        <w:t>81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2.9</w:t>
      </w:r>
      <w:r>
        <w:rPr>
          <w:color w:val="000000"/>
        </w:rPr>
        <w:t>    </w:t>
      </w:r>
      <w:r>
        <w:rPr>
          <w:rFonts w:ascii="Times New Roman;sans-serif" w:hAnsi="Times New Roman;sans-serif"/>
          <w:b w:val="false"/>
          <w:color w:val="000000"/>
          <w:sz w:val="22"/>
        </w:rPr>
        <w:t>Interest Periods    </w:t>
      </w:r>
      <w:r>
        <w:rPr>
          <w:rFonts w:ascii="Times New Roman;sans-serif" w:hAnsi="Times New Roman;sans-serif"/>
          <w:b/>
          <w:strike/>
          <w:color w:val="FF0000"/>
          <w:sz w:val="22"/>
        </w:rPr>
        <w:t>83</w:t>
      </w:r>
      <w:r>
        <w:rPr>
          <w:rFonts w:ascii="Times New Roman;sans-serif" w:hAnsi="Times New Roman;sans-serif"/>
          <w:b/>
          <w:color w:val="0000FF"/>
          <w:sz w:val="22"/>
          <w:u w:val="single"/>
        </w:rPr>
        <w:t>81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2.10</w:t>
      </w:r>
      <w:r>
        <w:rPr>
          <w:color w:val="000000"/>
        </w:rPr>
        <w:t>    </w:t>
      </w:r>
      <w:r>
        <w:rPr>
          <w:rFonts w:ascii="Times New Roman;sans-serif" w:hAnsi="Times New Roman;sans-serif"/>
          <w:b w:val="false"/>
          <w:color w:val="000000"/>
          <w:sz w:val="22"/>
        </w:rPr>
        <w:t>Increased Costs, Illegality, Etc.    </w:t>
      </w:r>
      <w:r>
        <w:rPr>
          <w:rFonts w:ascii="Times New Roman;sans-serif" w:hAnsi="Times New Roman;sans-serif"/>
          <w:b/>
          <w:strike/>
          <w:color w:val="FF0000"/>
          <w:sz w:val="22"/>
        </w:rPr>
        <w:t>83</w:t>
      </w:r>
      <w:r>
        <w:rPr>
          <w:rFonts w:ascii="Times New Roman;sans-serif" w:hAnsi="Times New Roman;sans-serif"/>
          <w:b/>
          <w:color w:val="0000FF"/>
          <w:sz w:val="22"/>
          <w:u w:val="single"/>
        </w:rPr>
        <w:t>82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2.11</w:t>
      </w:r>
      <w:r>
        <w:rPr>
          <w:color w:val="000000"/>
        </w:rPr>
        <w:t>    </w:t>
      </w:r>
      <w:r>
        <w:rPr>
          <w:rFonts w:ascii="Times New Roman;sans-serif" w:hAnsi="Times New Roman;sans-serif"/>
          <w:b w:val="false"/>
          <w:color w:val="000000"/>
          <w:sz w:val="22"/>
        </w:rPr>
        <w:t>Compensation    </w:t>
      </w:r>
      <w:r>
        <w:rPr>
          <w:rFonts w:ascii="Times New Roman;sans-serif" w:hAnsi="Times New Roman;sans-serif"/>
          <w:b/>
          <w:strike/>
          <w:color w:val="FF0000"/>
          <w:sz w:val="22"/>
        </w:rPr>
        <w:t>86</w:t>
      </w:r>
      <w:r>
        <w:rPr>
          <w:rFonts w:ascii="Times New Roman;sans-serif" w:hAnsi="Times New Roman;sans-serif"/>
          <w:b/>
          <w:color w:val="0000FF"/>
          <w:sz w:val="22"/>
          <w:u w:val="single"/>
        </w:rPr>
        <w:t>83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2.12</w:t>
      </w:r>
      <w:r>
        <w:rPr>
          <w:color w:val="000000"/>
        </w:rPr>
        <w:t>    </w:t>
      </w:r>
      <w:r>
        <w:rPr>
          <w:rFonts w:ascii="Times New Roman;sans-serif" w:hAnsi="Times New Roman;sans-serif"/>
          <w:b w:val="false"/>
          <w:color w:val="000000"/>
          <w:sz w:val="22"/>
        </w:rPr>
        <w:t>Change of Lending Office    </w:t>
      </w:r>
      <w:r>
        <w:rPr>
          <w:rFonts w:ascii="Times New Roman;sans-serif" w:hAnsi="Times New Roman;sans-serif"/>
          <w:b/>
          <w:strike/>
          <w:color w:val="FF0000"/>
          <w:sz w:val="22"/>
        </w:rPr>
        <w:t>86</w:t>
      </w:r>
      <w:r>
        <w:rPr>
          <w:rFonts w:ascii="Times New Roman;sans-serif" w:hAnsi="Times New Roman;sans-serif"/>
          <w:b/>
          <w:color w:val="0000FF"/>
          <w:sz w:val="22"/>
          <w:u w:val="single"/>
        </w:rPr>
        <w:t>84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2.13</w:t>
      </w:r>
      <w:r>
        <w:rPr>
          <w:color w:val="000000"/>
        </w:rPr>
        <w:t>    </w:t>
      </w:r>
      <w:r>
        <w:rPr>
          <w:rFonts w:ascii="Times New Roman;sans-serif" w:hAnsi="Times New Roman;sans-serif"/>
          <w:b w:val="false"/>
          <w:color w:val="000000"/>
          <w:sz w:val="22"/>
        </w:rPr>
        <w:t>Notice of Certain Costs    </w:t>
      </w:r>
      <w:r>
        <w:rPr>
          <w:rFonts w:ascii="Times New Roman;sans-serif" w:hAnsi="Times New Roman;sans-serif"/>
          <w:b/>
          <w:strike/>
          <w:color w:val="FF0000"/>
          <w:sz w:val="22"/>
        </w:rPr>
        <w:t>86</w:t>
      </w:r>
      <w:r>
        <w:rPr>
          <w:rFonts w:ascii="Times New Roman;sans-serif" w:hAnsi="Times New Roman;sans-serif"/>
          <w:b/>
          <w:color w:val="0000FF"/>
          <w:sz w:val="22"/>
          <w:u w:val="single"/>
        </w:rPr>
        <w:t>84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2.14</w:t>
      </w:r>
      <w:r>
        <w:rPr>
          <w:color w:val="000000"/>
        </w:rPr>
        <w:t>    </w:t>
      </w:r>
      <w:r>
        <w:rPr>
          <w:rFonts w:ascii="Times New Roman;sans-serif" w:hAnsi="Times New Roman;sans-serif"/>
          <w:b w:val="false"/>
          <w:color w:val="000000"/>
          <w:sz w:val="22"/>
        </w:rPr>
        <w:t>Incremental Facilities    </w:t>
      </w:r>
      <w:r>
        <w:rPr>
          <w:rFonts w:ascii="Times New Roman;sans-serif" w:hAnsi="Times New Roman;sans-serif"/>
          <w:b/>
          <w:strike/>
          <w:color w:val="FF0000"/>
          <w:sz w:val="22"/>
        </w:rPr>
        <w:t>86</w:t>
      </w:r>
      <w:r>
        <w:rPr>
          <w:rFonts w:ascii="Times New Roman;sans-serif" w:hAnsi="Times New Roman;sans-serif"/>
          <w:b/>
          <w:color w:val="0000FF"/>
          <w:sz w:val="22"/>
          <w:u w:val="single"/>
        </w:rPr>
        <w:t>84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2.15</w:t>
      </w:r>
      <w:r>
        <w:rPr>
          <w:color w:val="000000"/>
        </w:rPr>
        <w:t>    </w:t>
      </w:r>
      <w:r>
        <w:rPr>
          <w:rFonts w:ascii="Times New Roman;sans-serif" w:hAnsi="Times New Roman;sans-serif"/>
          <w:b w:val="false"/>
          <w:color w:val="000000"/>
          <w:sz w:val="22"/>
        </w:rPr>
        <w:t>Permitted Debt Exchanges    </w:t>
      </w:r>
      <w:r>
        <w:rPr>
          <w:rFonts w:ascii="Times New Roman;sans-serif" w:hAnsi="Times New Roman;sans-serif"/>
          <w:b/>
          <w:strike/>
          <w:color w:val="FF0000"/>
          <w:sz w:val="22"/>
        </w:rPr>
        <w:t>90</w:t>
      </w:r>
      <w:r>
        <w:rPr>
          <w:rFonts w:ascii="Times New Roman;sans-serif" w:hAnsi="Times New Roman;sans-serif"/>
          <w:b/>
          <w:color w:val="0000FF"/>
          <w:sz w:val="22"/>
          <w:u w:val="single"/>
        </w:rPr>
        <w:t>88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2.16</w:t>
      </w:r>
      <w:r>
        <w:rPr>
          <w:color w:val="000000"/>
        </w:rPr>
        <w:t>    </w:t>
      </w:r>
      <w:r>
        <w:rPr>
          <w:rFonts w:ascii="Times New Roman;sans-serif" w:hAnsi="Times New Roman;sans-serif"/>
          <w:b w:val="false"/>
          <w:color w:val="000000"/>
          <w:sz w:val="22"/>
        </w:rPr>
        <w:t>Defaulting Lenders    </w:t>
      </w:r>
      <w:r>
        <w:rPr>
          <w:rFonts w:ascii="Times New Roman;sans-serif" w:hAnsi="Times New Roman;sans-serif"/>
          <w:b/>
          <w:strike/>
          <w:color w:val="FF0000"/>
          <w:sz w:val="22"/>
        </w:rPr>
        <w:t>91</w:t>
      </w:r>
      <w:r>
        <w:rPr>
          <w:rFonts w:ascii="Times New Roman;sans-serif" w:hAnsi="Times New Roman;sans-serif"/>
          <w:b/>
          <w:color w:val="0000FF"/>
          <w:sz w:val="22"/>
          <w:u w:val="single"/>
        </w:rPr>
        <w:t>89</w:t>
      </w:r>
    </w:p>
    <w:p>
      <w:pPr>
        <w:pStyle w:val="TextBody"/>
        <w:bidi w:val="0"/>
        <w:spacing w:lineRule="auto" w:line="240" w:before="240" w:after="240"/>
        <w:jc w:val="both"/>
        <w:rPr/>
      </w:pPr>
      <w:r>
        <w:rPr>
          <w:rFonts w:ascii="Times New Roman;sans-serif" w:hAnsi="Times New Roman;sans-serif"/>
          <w:b w:val="false"/>
          <w:color w:val="000000"/>
          <w:sz w:val="22"/>
        </w:rPr>
        <w:t>Section 3.</w:t>
      </w:r>
      <w:r>
        <w:rPr>
          <w:color w:val="000000"/>
        </w:rPr>
        <w:t>    </w:t>
      </w:r>
      <w:r>
        <w:rPr>
          <w:rFonts w:ascii="Times New Roman;sans-serif" w:hAnsi="Times New Roman;sans-serif"/>
          <w:b w:val="false"/>
          <w:color w:val="000000"/>
          <w:sz w:val="22"/>
        </w:rPr>
        <w:t>Benchmark Replacement Setting    </w:t>
      </w:r>
      <w:r>
        <w:rPr>
          <w:rFonts w:ascii="Times New Roman;sans-serif" w:hAnsi="Times New Roman;sans-serif"/>
          <w:b/>
          <w:strike/>
          <w:color w:val="FF0000"/>
          <w:sz w:val="22"/>
        </w:rPr>
        <w:t>92</w:t>
      </w:r>
      <w:r>
        <w:rPr>
          <w:rFonts w:ascii="Times New Roman;sans-serif" w:hAnsi="Times New Roman;sans-serif"/>
          <w:b/>
          <w:color w:val="0000FF"/>
          <w:sz w:val="22"/>
          <w:u w:val="single"/>
        </w:rPr>
        <w:t>90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3.1</w:t>
      </w:r>
      <w:r>
        <w:rPr>
          <w:color w:val="000000"/>
        </w:rPr>
        <w:t>    </w:t>
      </w:r>
      <w:r>
        <w:rPr>
          <w:rFonts w:ascii="Times New Roman;sans-serif" w:hAnsi="Times New Roman;sans-serif"/>
          <w:b w:val="false"/>
          <w:color w:val="000000"/>
          <w:sz w:val="22"/>
        </w:rPr>
        <w:t>Benchmark Replacement.    </w:t>
      </w:r>
      <w:r>
        <w:rPr>
          <w:rFonts w:ascii="Times New Roman;sans-serif" w:hAnsi="Times New Roman;sans-serif"/>
          <w:b/>
          <w:strike/>
          <w:color w:val="FF0000"/>
          <w:sz w:val="22"/>
        </w:rPr>
        <w:t>92</w:t>
      </w:r>
      <w:r>
        <w:rPr>
          <w:rFonts w:ascii="Times New Roman;sans-serif" w:hAnsi="Times New Roman;sans-serif"/>
          <w:b/>
          <w:color w:val="0000FF"/>
          <w:sz w:val="22"/>
          <w:u w:val="single"/>
        </w:rPr>
        <w:t>90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3.2</w:t>
      </w:r>
      <w:r>
        <w:rPr>
          <w:color w:val="000000"/>
        </w:rPr>
        <w:t>    </w:t>
      </w:r>
      <w:r>
        <w:rPr>
          <w:rFonts w:ascii="Times New Roman;sans-serif" w:hAnsi="Times New Roman;sans-serif"/>
          <w:b w:val="false"/>
          <w:color w:val="000000"/>
          <w:sz w:val="22"/>
        </w:rPr>
        <w:t>Benchmark Replacement Conforming Changes.    </w:t>
      </w:r>
      <w:r>
        <w:rPr>
          <w:rFonts w:ascii="Times New Roman;sans-serif" w:hAnsi="Times New Roman;sans-serif"/>
          <w:b/>
          <w:strike/>
          <w:color w:val="FF0000"/>
          <w:sz w:val="22"/>
        </w:rPr>
        <w:t>93</w:t>
      </w:r>
      <w:r>
        <w:rPr>
          <w:rFonts w:ascii="Times New Roman;sans-serif" w:hAnsi="Times New Roman;sans-serif"/>
          <w:b/>
          <w:color w:val="0000FF"/>
          <w:sz w:val="22"/>
          <w:u w:val="single"/>
        </w:rPr>
        <w:t>90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3.3</w:t>
      </w:r>
      <w:r>
        <w:rPr>
          <w:color w:val="000000"/>
        </w:rPr>
        <w:t>    </w:t>
      </w:r>
      <w:r>
        <w:rPr>
          <w:rFonts w:ascii="Times New Roman;sans-serif" w:hAnsi="Times New Roman;sans-serif"/>
          <w:b w:val="false"/>
          <w:color w:val="000000"/>
          <w:sz w:val="22"/>
        </w:rPr>
        <w:t>Notices; Standards for Decisions and Determinations.    </w:t>
      </w:r>
      <w:r>
        <w:rPr>
          <w:rFonts w:ascii="Times New Roman;sans-serif" w:hAnsi="Times New Roman;sans-serif"/>
          <w:b/>
          <w:strike/>
          <w:color w:val="FF0000"/>
          <w:sz w:val="22"/>
        </w:rPr>
        <w:t>93</w:t>
      </w:r>
      <w:r>
        <w:rPr>
          <w:rFonts w:ascii="Times New Roman;sans-serif" w:hAnsi="Times New Roman;sans-serif"/>
          <w:b/>
          <w:color w:val="0000FF"/>
          <w:sz w:val="22"/>
          <w:u w:val="single"/>
        </w:rPr>
        <w:t>91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3.4</w:t>
      </w:r>
      <w:r>
        <w:rPr>
          <w:color w:val="000000"/>
        </w:rPr>
        <w:t>    </w:t>
      </w:r>
      <w:r>
        <w:rPr>
          <w:rFonts w:ascii="Times New Roman;sans-serif" w:hAnsi="Times New Roman;sans-serif"/>
          <w:b w:val="false"/>
          <w:color w:val="000000"/>
          <w:sz w:val="22"/>
        </w:rPr>
        <w:t>Unavailability of Tenor of Benchmark.    </w:t>
      </w:r>
      <w:r>
        <w:rPr>
          <w:rFonts w:ascii="Times New Roman;sans-serif" w:hAnsi="Times New Roman;sans-serif"/>
          <w:b/>
          <w:strike/>
          <w:color w:val="FF0000"/>
          <w:sz w:val="22"/>
        </w:rPr>
        <w:t>93</w:t>
      </w:r>
      <w:r>
        <w:rPr>
          <w:rFonts w:ascii="Times New Roman;sans-serif" w:hAnsi="Times New Roman;sans-serif"/>
          <w:b/>
          <w:color w:val="0000FF"/>
          <w:sz w:val="22"/>
          <w:u w:val="single"/>
        </w:rPr>
        <w:t>91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3.5</w:t>
      </w:r>
      <w:r>
        <w:rPr>
          <w:color w:val="000000"/>
        </w:rPr>
        <w:t>    </w:t>
      </w:r>
      <w:r>
        <w:rPr>
          <w:rFonts w:ascii="Times New Roman;sans-serif" w:hAnsi="Times New Roman;sans-serif"/>
          <w:b w:val="false"/>
          <w:color w:val="000000"/>
          <w:sz w:val="22"/>
        </w:rPr>
        <w:t>Benchmark Unavailability Period.    </w:t>
      </w:r>
      <w:r>
        <w:rPr>
          <w:rFonts w:ascii="Times New Roman;sans-serif" w:hAnsi="Times New Roman;sans-serif"/>
          <w:b/>
          <w:strike/>
          <w:color w:val="FF0000"/>
          <w:sz w:val="22"/>
        </w:rPr>
        <w:t>94</w:t>
      </w:r>
      <w:r>
        <w:rPr>
          <w:rFonts w:ascii="Times New Roman;sans-serif" w:hAnsi="Times New Roman;sans-serif"/>
          <w:b/>
          <w:color w:val="0000FF"/>
          <w:sz w:val="22"/>
          <w:u w:val="single"/>
        </w:rPr>
        <w:t>91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3.6</w:t>
      </w:r>
      <w:r>
        <w:rPr>
          <w:color w:val="000000"/>
        </w:rPr>
        <w:t>    </w:t>
      </w:r>
      <w:r>
        <w:rPr>
          <w:rFonts w:ascii="Times New Roman;sans-serif" w:hAnsi="Times New Roman;sans-serif"/>
          <w:b w:val="false"/>
          <w:color w:val="000000"/>
          <w:sz w:val="22"/>
        </w:rPr>
        <w:t>Tax Matters.    </w:t>
      </w:r>
      <w:r>
        <w:rPr>
          <w:rFonts w:ascii="Times New Roman;sans-serif" w:hAnsi="Times New Roman;sans-serif"/>
          <w:b/>
          <w:strike/>
          <w:color w:val="FF0000"/>
          <w:sz w:val="22"/>
        </w:rPr>
        <w:t>94</w:t>
      </w:r>
      <w:r>
        <w:rPr>
          <w:rFonts w:ascii="Times New Roman;sans-serif" w:hAnsi="Times New Roman;sans-serif"/>
          <w:b/>
          <w:color w:val="0000FF"/>
          <w:sz w:val="22"/>
          <w:u w:val="single"/>
        </w:rPr>
        <w:t>92</w:t>
      </w:r>
    </w:p>
    <w:p>
      <w:pPr>
        <w:pStyle w:val="TextBody"/>
        <w:bidi w:val="0"/>
        <w:spacing w:lineRule="auto" w:line="240" w:before="240" w:after="240"/>
        <w:jc w:val="both"/>
        <w:rPr/>
      </w:pPr>
      <w:r>
        <w:rPr>
          <w:rFonts w:ascii="Times New Roman;sans-serif" w:hAnsi="Times New Roman;sans-serif"/>
          <w:b w:val="false"/>
          <w:color w:val="000000"/>
          <w:sz w:val="22"/>
        </w:rPr>
        <w:t>Section 4.</w:t>
      </w:r>
      <w:r>
        <w:rPr>
          <w:color w:val="000000"/>
        </w:rPr>
        <w:t>    </w:t>
      </w:r>
      <w:r>
        <w:rPr>
          <w:rFonts w:ascii="Times New Roman;sans-serif" w:hAnsi="Times New Roman;sans-serif"/>
          <w:b w:val="false"/>
          <w:color w:val="000000"/>
          <w:sz w:val="22"/>
        </w:rPr>
        <w:t>Fees    </w:t>
      </w:r>
      <w:r>
        <w:rPr>
          <w:rFonts w:ascii="Times New Roman;sans-serif" w:hAnsi="Times New Roman;sans-serif"/>
          <w:b/>
          <w:strike/>
          <w:color w:val="FF0000"/>
          <w:sz w:val="22"/>
        </w:rPr>
        <w:t>94</w:t>
      </w:r>
      <w:r>
        <w:rPr>
          <w:rFonts w:ascii="Times New Roman;sans-serif" w:hAnsi="Times New Roman;sans-serif"/>
          <w:b/>
          <w:color w:val="0000FF"/>
          <w:sz w:val="22"/>
          <w:u w:val="single"/>
        </w:rPr>
        <w:t>92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4.1</w:t>
      </w:r>
      <w:r>
        <w:rPr>
          <w:color w:val="000000"/>
        </w:rPr>
        <w:t>    </w:t>
      </w:r>
      <w:r>
        <w:rPr>
          <w:rFonts w:ascii="Times New Roman;sans-serif" w:hAnsi="Times New Roman;sans-serif"/>
          <w:b w:val="false"/>
          <w:color w:val="000000"/>
          <w:sz w:val="22"/>
        </w:rPr>
        <w:t>Fees    </w:t>
      </w:r>
      <w:r>
        <w:rPr>
          <w:rFonts w:ascii="Times New Roman;sans-serif" w:hAnsi="Times New Roman;sans-serif"/>
          <w:b/>
          <w:strike/>
          <w:color w:val="FF0000"/>
          <w:sz w:val="22"/>
        </w:rPr>
        <w:t>94</w:t>
      </w:r>
      <w:r>
        <w:rPr>
          <w:rFonts w:ascii="Times New Roman;sans-serif" w:hAnsi="Times New Roman;sans-serif"/>
          <w:b/>
          <w:color w:val="0000FF"/>
          <w:sz w:val="22"/>
          <w:u w:val="single"/>
        </w:rPr>
        <w:t>92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4.2</w:t>
      </w:r>
      <w:r>
        <w:rPr>
          <w:color w:val="000000"/>
        </w:rPr>
        <w:t>    </w:t>
      </w:r>
      <w:r>
        <w:rPr>
          <w:rFonts w:ascii="Times New Roman;sans-serif" w:hAnsi="Times New Roman;sans-serif"/>
          <w:b w:val="false"/>
          <w:color w:val="000000"/>
          <w:sz w:val="22"/>
        </w:rPr>
        <w:t>[Reserved]    </w:t>
      </w:r>
      <w:r>
        <w:rPr>
          <w:rFonts w:ascii="Times New Roman;sans-serif" w:hAnsi="Times New Roman;sans-serif"/>
          <w:b/>
          <w:strike/>
          <w:color w:val="FF0000"/>
          <w:sz w:val="22"/>
        </w:rPr>
        <w:t>94</w:t>
      </w:r>
      <w:r>
        <w:rPr>
          <w:rFonts w:ascii="Times New Roman;sans-serif" w:hAnsi="Times New Roman;sans-serif"/>
          <w:b/>
          <w:color w:val="0000FF"/>
          <w:sz w:val="22"/>
          <w:u w:val="single"/>
        </w:rPr>
        <w:t>92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4.3</w:t>
      </w:r>
      <w:r>
        <w:rPr>
          <w:color w:val="000000"/>
        </w:rPr>
        <w:t>    </w:t>
      </w:r>
      <w:r>
        <w:rPr>
          <w:rFonts w:ascii="Times New Roman;sans-serif" w:hAnsi="Times New Roman;sans-serif"/>
          <w:b w:val="false"/>
          <w:color w:val="000000"/>
          <w:sz w:val="22"/>
        </w:rPr>
        <w:t>Mandatory Termination of Commitments    </w:t>
      </w:r>
      <w:r>
        <w:rPr>
          <w:rFonts w:ascii="Times New Roman;sans-serif" w:hAnsi="Times New Roman;sans-serif"/>
          <w:b/>
          <w:strike/>
          <w:color w:val="FF0000"/>
          <w:sz w:val="22"/>
        </w:rPr>
        <w:t>94</w:t>
      </w:r>
      <w:r>
        <w:rPr>
          <w:rFonts w:ascii="Times New Roman;sans-serif" w:hAnsi="Times New Roman;sans-serif"/>
          <w:b/>
          <w:color w:val="0000FF"/>
          <w:sz w:val="22"/>
          <w:u w:val="single"/>
        </w:rPr>
        <w:t>92</w:t>
      </w:r>
    </w:p>
    <w:p>
      <w:pPr>
        <w:pStyle w:val="TextBody"/>
        <w:bidi w:val="0"/>
        <w:spacing w:lineRule="auto" w:line="240" w:before="240" w:after="240"/>
        <w:jc w:val="both"/>
        <w:rPr/>
      </w:pPr>
      <w:r>
        <w:rPr>
          <w:rFonts w:ascii="Times New Roman;sans-serif" w:hAnsi="Times New Roman;sans-serif"/>
          <w:b w:val="false"/>
          <w:color w:val="000000"/>
          <w:sz w:val="22"/>
        </w:rPr>
        <w:t>Section 5.</w:t>
      </w:r>
      <w:r>
        <w:rPr>
          <w:color w:val="000000"/>
        </w:rPr>
        <w:t>    </w:t>
      </w:r>
      <w:r>
        <w:rPr>
          <w:rFonts w:ascii="Times New Roman;sans-serif" w:hAnsi="Times New Roman;sans-serif"/>
          <w:b w:val="false"/>
          <w:color w:val="000000"/>
          <w:sz w:val="22"/>
        </w:rPr>
        <w:t>Payments    </w:t>
      </w:r>
      <w:r>
        <w:rPr>
          <w:rFonts w:ascii="Times New Roman;sans-serif" w:hAnsi="Times New Roman;sans-serif"/>
          <w:b/>
          <w:strike/>
          <w:color w:val="FF0000"/>
          <w:sz w:val="22"/>
        </w:rPr>
        <w:t>94</w:t>
      </w:r>
      <w:r>
        <w:rPr>
          <w:rFonts w:ascii="Times New Roman;sans-serif" w:hAnsi="Times New Roman;sans-serif"/>
          <w:b/>
          <w:color w:val="0000FF"/>
          <w:sz w:val="22"/>
          <w:u w:val="single"/>
        </w:rPr>
        <w:t>92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5.1</w:t>
      </w:r>
      <w:r>
        <w:rPr>
          <w:color w:val="000000"/>
        </w:rPr>
        <w:t>    </w:t>
      </w:r>
      <w:r>
        <w:rPr>
          <w:rFonts w:ascii="Times New Roman;sans-serif" w:hAnsi="Times New Roman;sans-serif"/>
          <w:b w:val="false"/>
          <w:color w:val="000000"/>
          <w:sz w:val="22"/>
        </w:rPr>
        <w:t>Voluntary Prepayments    </w:t>
      </w:r>
      <w:r>
        <w:rPr>
          <w:rFonts w:ascii="Times New Roman;sans-serif" w:hAnsi="Times New Roman;sans-serif"/>
          <w:b/>
          <w:strike/>
          <w:color w:val="FF0000"/>
          <w:sz w:val="22"/>
        </w:rPr>
        <w:t>94</w:t>
      </w:r>
      <w:r>
        <w:rPr>
          <w:rFonts w:ascii="Times New Roman;sans-serif" w:hAnsi="Times New Roman;sans-serif"/>
          <w:b/>
          <w:color w:val="0000FF"/>
          <w:sz w:val="22"/>
          <w:u w:val="single"/>
        </w:rPr>
        <w:t>92</w:t>
      </w:r>
    </w:p>
    <w:p>
      <w:pPr>
        <w:pStyle w:val="TextBody"/>
        <w:bidi w:val="0"/>
        <w:spacing w:lineRule="auto" w:line="240"/>
        <w:ind w:left="0" w:right="0" w:hanging="900"/>
        <w:jc w:val="both"/>
        <w:rPr/>
      </w:pPr>
      <w:r>
        <w:rPr>
          <w:rFonts w:ascii="Times New Roman;sans-serif" w:hAnsi="Times New Roman;sans-serif"/>
          <w:b w:val="false"/>
          <w:color w:val="000000"/>
          <w:sz w:val="22"/>
        </w:rPr>
        <w:t>5.2</w:t>
      </w:r>
      <w:r>
        <w:rPr>
          <w:color w:val="000000"/>
        </w:rPr>
        <w:t>    </w:t>
      </w:r>
      <w:r>
        <w:rPr>
          <w:rFonts w:ascii="Times New Roman;sans-serif" w:hAnsi="Times New Roman;sans-serif"/>
          <w:b w:val="false"/>
          <w:color w:val="000000"/>
          <w:sz w:val="22"/>
        </w:rPr>
        <w:t>Mandatory Prepayments    </w:t>
      </w:r>
      <w:r>
        <w:rPr>
          <w:rFonts w:ascii="Times New Roman;sans-serif" w:hAnsi="Times New Roman;sans-serif"/>
          <w:b/>
          <w:strike/>
          <w:color w:val="FF0000"/>
          <w:sz w:val="22"/>
        </w:rPr>
        <w:t>95</w:t>
      </w:r>
      <w:r>
        <w:rPr>
          <w:rFonts w:ascii="Times New Roman;sans-serif" w:hAnsi="Times New Roman;sans-serif"/>
          <w:b/>
          <w:color w:val="0000FF"/>
          <w:sz w:val="22"/>
          <w:u w:val="single"/>
        </w:rPr>
        <w:t>93</w:t>
      </w:r>
    </w:p>
    <w:p>
      <w:pPr>
        <w:pStyle w:val="TextBody"/>
        <w:bidi w:val="0"/>
        <w:spacing w:lineRule="auto" w:line="556"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5780"/>
                <wp:effectExtent l="0" t="0" r="0" b="0"/>
                <wp:wrapNone/>
                <wp:docPr id="47" name="Frame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60.6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5.3</w:t>
      </w:r>
      <w:r>
        <w:rPr>
          <w:color w:val="000000"/>
        </w:rPr>
        <w:t>    </w:t>
      </w:r>
      <w:r>
        <w:rPr>
          <w:rFonts w:ascii="Times New Roman;sans-serif" w:hAnsi="Times New Roman;sans-serif"/>
          <w:b w:val="false"/>
          <w:color w:val="000000"/>
          <w:sz w:val="22"/>
        </w:rPr>
        <w:t>Method and Place of Payment    </w:t>
      </w:r>
      <w:r>
        <w:rPr>
          <w:rFonts w:ascii="Times New Roman;sans-serif" w:hAnsi="Times New Roman;sans-serif"/>
          <w:b/>
          <w:strike/>
          <w:color w:val="FF0000"/>
          <w:sz w:val="22"/>
        </w:rPr>
        <w:t>99</w:t>
      </w:r>
      <w:r>
        <w:rPr>
          <w:rFonts w:ascii="Times New Roman;sans-serif" w:hAnsi="Times New Roman;sans-serif"/>
          <w:b/>
          <w:color w:val="0000FF"/>
          <w:sz w:val="22"/>
          <w:u w:val="single"/>
        </w:rPr>
        <w:t>97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5.4</w:t>
      </w:r>
      <w:r>
        <w:rPr>
          <w:color w:val="000000"/>
        </w:rPr>
        <w:t>    </w:t>
      </w:r>
      <w:r>
        <w:rPr>
          <w:rFonts w:ascii="Times New Roman;sans-serif" w:hAnsi="Times New Roman;sans-serif"/>
          <w:b w:val="false"/>
          <w:color w:val="000000"/>
          <w:sz w:val="22"/>
        </w:rPr>
        <w:t>Net Payments    </w:t>
      </w:r>
      <w:r>
        <w:rPr>
          <w:rFonts w:ascii="Times New Roman;sans-serif" w:hAnsi="Times New Roman;sans-serif"/>
          <w:b/>
          <w:strike/>
          <w:color w:val="FF0000"/>
          <w:sz w:val="22"/>
        </w:rPr>
        <w:t>100</w:t>
      </w:r>
      <w:r>
        <w:rPr>
          <w:rFonts w:ascii="Times New Roman;sans-serif" w:hAnsi="Times New Roman;sans-serif"/>
          <w:b/>
          <w:color w:val="0000FF"/>
          <w:sz w:val="22"/>
          <w:u w:val="single"/>
        </w:rPr>
        <w:t>97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5.5</w:t>
      </w:r>
      <w:r>
        <w:rPr>
          <w:color w:val="000000"/>
        </w:rPr>
        <w:t>    </w:t>
      </w:r>
      <w:r>
        <w:rPr>
          <w:rFonts w:ascii="Times New Roman;sans-serif" w:hAnsi="Times New Roman;sans-serif"/>
          <w:b w:val="false"/>
          <w:color w:val="000000"/>
          <w:sz w:val="22"/>
        </w:rPr>
        <w:t>Computations of Interest and Fees    </w:t>
      </w:r>
      <w:r>
        <w:rPr>
          <w:rFonts w:ascii="Times New Roman;sans-serif" w:hAnsi="Times New Roman;sans-serif"/>
          <w:b/>
          <w:strike/>
          <w:color w:val="FF0000"/>
          <w:sz w:val="22"/>
        </w:rPr>
        <w:t>104</w:t>
      </w:r>
      <w:r>
        <w:rPr>
          <w:rFonts w:ascii="Times New Roman;sans-serif" w:hAnsi="Times New Roman;sans-serif"/>
          <w:b/>
          <w:color w:val="0000FF"/>
          <w:sz w:val="22"/>
          <w:u w:val="single"/>
        </w:rPr>
        <w:t>101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5.6</w:t>
      </w:r>
      <w:r>
        <w:rPr>
          <w:color w:val="000000"/>
        </w:rPr>
        <w:t>    </w:t>
      </w:r>
      <w:r>
        <w:rPr>
          <w:rFonts w:ascii="Times New Roman;sans-serif" w:hAnsi="Times New Roman;sans-serif"/>
          <w:b w:val="false"/>
          <w:color w:val="000000"/>
          <w:sz w:val="22"/>
        </w:rPr>
        <w:t>Limit on Rate of Interest    </w:t>
      </w:r>
      <w:r>
        <w:rPr>
          <w:rFonts w:ascii="Times New Roman;sans-serif" w:hAnsi="Times New Roman;sans-serif"/>
          <w:b/>
          <w:strike/>
          <w:color w:val="FF0000"/>
          <w:sz w:val="22"/>
        </w:rPr>
        <w:t>104</w:t>
      </w:r>
      <w:r>
        <w:rPr>
          <w:rFonts w:ascii="Times New Roman;sans-serif" w:hAnsi="Times New Roman;sans-serif"/>
          <w:b/>
          <w:color w:val="0000FF"/>
          <w:sz w:val="22"/>
          <w:u w:val="single"/>
        </w:rPr>
        <w:t>101</w:t>
      </w:r>
    </w:p>
    <w:p>
      <w:pPr>
        <w:pStyle w:val="TextBody"/>
        <w:bidi w:val="0"/>
        <w:spacing w:lineRule="auto" w:line="240" w:before="240" w:after="240"/>
        <w:jc w:val="both"/>
        <w:rPr/>
      </w:pPr>
      <w:r>
        <w:rPr>
          <w:rFonts w:ascii="Times New Roman;sans-serif" w:hAnsi="Times New Roman;sans-serif"/>
          <w:b w:val="false"/>
          <w:color w:val="000000"/>
          <w:sz w:val="22"/>
        </w:rPr>
        <w:t>Section 6.</w:t>
      </w:r>
      <w:r>
        <w:rPr>
          <w:color w:val="000000"/>
        </w:rPr>
        <w:t>    </w:t>
      </w:r>
      <w:r>
        <w:rPr>
          <w:rFonts w:ascii="Times New Roman;sans-serif" w:hAnsi="Times New Roman;sans-serif"/>
          <w:b w:val="false"/>
          <w:color w:val="000000"/>
          <w:sz w:val="22"/>
        </w:rPr>
        <w:t>Conditions Precedent to Initial Borrowing    </w:t>
      </w:r>
      <w:r>
        <w:rPr>
          <w:rFonts w:ascii="Times New Roman;sans-serif" w:hAnsi="Times New Roman;sans-serif"/>
          <w:b/>
          <w:strike/>
          <w:color w:val="FF0000"/>
          <w:sz w:val="22"/>
        </w:rPr>
        <w:t>104</w:t>
      </w:r>
      <w:r>
        <w:rPr>
          <w:rFonts w:ascii="Times New Roman;sans-serif" w:hAnsi="Times New Roman;sans-serif"/>
          <w:b/>
          <w:color w:val="0000FF"/>
          <w:sz w:val="22"/>
          <w:u w:val="single"/>
        </w:rPr>
        <w:t>102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6.1</w:t>
      </w:r>
      <w:r>
        <w:rPr>
          <w:color w:val="000000"/>
        </w:rPr>
        <w:t>    </w:t>
      </w:r>
      <w:r>
        <w:rPr>
          <w:rFonts w:ascii="Times New Roman;sans-serif" w:hAnsi="Times New Roman;sans-serif"/>
          <w:b w:val="false"/>
          <w:color w:val="000000"/>
          <w:sz w:val="22"/>
        </w:rPr>
        <w:t>Credit Documents    </w:t>
      </w:r>
      <w:r>
        <w:rPr>
          <w:rFonts w:ascii="Times New Roman;sans-serif" w:hAnsi="Times New Roman;sans-serif"/>
          <w:b/>
          <w:strike/>
          <w:color w:val="FF0000"/>
          <w:sz w:val="22"/>
        </w:rPr>
        <w:t>105</w:t>
      </w:r>
      <w:r>
        <w:rPr>
          <w:rFonts w:ascii="Times New Roman;sans-serif" w:hAnsi="Times New Roman;sans-serif"/>
          <w:b/>
          <w:color w:val="0000FF"/>
          <w:sz w:val="22"/>
          <w:u w:val="single"/>
        </w:rPr>
        <w:t>102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6.2</w:t>
      </w:r>
      <w:r>
        <w:rPr>
          <w:color w:val="000000"/>
        </w:rPr>
        <w:t>    </w:t>
      </w:r>
      <w:r>
        <w:rPr>
          <w:rFonts w:ascii="Times New Roman;sans-serif" w:hAnsi="Times New Roman;sans-serif"/>
          <w:b w:val="false"/>
          <w:color w:val="000000"/>
          <w:sz w:val="22"/>
        </w:rPr>
        <w:t>Collateral    </w:t>
      </w:r>
      <w:r>
        <w:rPr>
          <w:rFonts w:ascii="Times New Roman;sans-serif" w:hAnsi="Times New Roman;sans-serif"/>
          <w:b/>
          <w:strike/>
          <w:color w:val="FF0000"/>
          <w:sz w:val="22"/>
        </w:rPr>
        <w:t>105</w:t>
      </w:r>
      <w:r>
        <w:rPr>
          <w:rFonts w:ascii="Times New Roman;sans-serif" w:hAnsi="Times New Roman;sans-serif"/>
          <w:b/>
          <w:color w:val="0000FF"/>
          <w:sz w:val="22"/>
          <w:u w:val="single"/>
        </w:rPr>
        <w:t>103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6.3</w:t>
      </w:r>
      <w:r>
        <w:rPr>
          <w:color w:val="000000"/>
        </w:rPr>
        <w:t>    </w:t>
      </w:r>
      <w:r>
        <w:rPr>
          <w:rFonts w:ascii="Times New Roman;sans-serif" w:hAnsi="Times New Roman;sans-serif"/>
          <w:b w:val="false"/>
          <w:color w:val="000000"/>
          <w:sz w:val="22"/>
        </w:rPr>
        <w:t>Legal Opinions    </w:t>
      </w:r>
      <w:r>
        <w:rPr>
          <w:rFonts w:ascii="Times New Roman;sans-serif" w:hAnsi="Times New Roman;sans-serif"/>
          <w:b/>
          <w:strike/>
          <w:color w:val="FF0000"/>
          <w:sz w:val="22"/>
        </w:rPr>
        <w:t>105</w:t>
      </w:r>
      <w:r>
        <w:rPr>
          <w:rFonts w:ascii="Times New Roman;sans-serif" w:hAnsi="Times New Roman;sans-serif"/>
          <w:b/>
          <w:color w:val="0000FF"/>
          <w:sz w:val="22"/>
          <w:u w:val="single"/>
        </w:rPr>
        <w:t>103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6.4</w:t>
      </w:r>
      <w:r>
        <w:rPr>
          <w:color w:val="000000"/>
        </w:rPr>
        <w:t>    </w:t>
      </w:r>
      <w:r>
        <w:rPr>
          <w:rFonts w:ascii="Times New Roman;sans-serif" w:hAnsi="Times New Roman;sans-serif"/>
          <w:b w:val="false"/>
          <w:color w:val="000000"/>
          <w:sz w:val="22"/>
        </w:rPr>
        <w:t>[Reserved]    </w:t>
      </w:r>
      <w:r>
        <w:rPr>
          <w:rFonts w:ascii="Times New Roman;sans-serif" w:hAnsi="Times New Roman;sans-serif"/>
          <w:b/>
          <w:strike/>
          <w:color w:val="FF0000"/>
          <w:sz w:val="22"/>
        </w:rPr>
        <w:t>106</w:t>
      </w:r>
      <w:r>
        <w:rPr>
          <w:rFonts w:ascii="Times New Roman;sans-serif" w:hAnsi="Times New Roman;sans-serif"/>
          <w:b/>
          <w:color w:val="0000FF"/>
          <w:sz w:val="22"/>
          <w:u w:val="single"/>
        </w:rPr>
        <w:t>103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6.5</w:t>
      </w:r>
      <w:r>
        <w:rPr>
          <w:color w:val="000000"/>
        </w:rPr>
        <w:t>    </w:t>
      </w:r>
      <w:r>
        <w:rPr>
          <w:rFonts w:ascii="Times New Roman;sans-serif" w:hAnsi="Times New Roman;sans-serif"/>
          <w:b w:val="false"/>
          <w:color w:val="000000"/>
          <w:sz w:val="22"/>
        </w:rPr>
        <w:t>Closing Certificates    </w:t>
      </w:r>
      <w:r>
        <w:rPr>
          <w:rFonts w:ascii="Times New Roman;sans-serif" w:hAnsi="Times New Roman;sans-serif"/>
          <w:b/>
          <w:strike/>
          <w:color w:val="FF0000"/>
          <w:sz w:val="22"/>
        </w:rPr>
        <w:t>106</w:t>
      </w:r>
      <w:r>
        <w:rPr>
          <w:rFonts w:ascii="Times New Roman;sans-serif" w:hAnsi="Times New Roman;sans-serif"/>
          <w:b/>
          <w:color w:val="0000FF"/>
          <w:sz w:val="22"/>
          <w:u w:val="single"/>
        </w:rPr>
        <w:t>103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6.6</w:t>
      </w:r>
      <w:r>
        <w:rPr>
          <w:color w:val="000000"/>
        </w:rPr>
        <w:t>    </w:t>
      </w:r>
      <w:r>
        <w:rPr>
          <w:rFonts w:ascii="Times New Roman;sans-serif" w:hAnsi="Times New Roman;sans-serif"/>
          <w:b w:val="false"/>
          <w:color w:val="000000"/>
          <w:sz w:val="22"/>
        </w:rPr>
        <w:t>Authorization of Proceedings of the Borrower and the Guarantors; Corporate Documents    </w:t>
      </w:r>
      <w:r>
        <w:rPr>
          <w:rFonts w:ascii="Times New Roman;sans-serif" w:hAnsi="Times New Roman;sans-serif"/>
          <w:b/>
          <w:strike/>
          <w:color w:val="FF0000"/>
          <w:sz w:val="22"/>
        </w:rPr>
        <w:t>106</w:t>
      </w:r>
      <w:r>
        <w:rPr>
          <w:rFonts w:ascii="Times New Roman;sans-serif" w:hAnsi="Times New Roman;sans-serif"/>
          <w:b/>
          <w:color w:val="0000FF"/>
          <w:sz w:val="22"/>
          <w:u w:val="single"/>
        </w:rPr>
        <w:t>103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6.7</w:t>
      </w:r>
      <w:r>
        <w:rPr>
          <w:color w:val="000000"/>
        </w:rPr>
        <w:t>    </w:t>
      </w:r>
      <w:r>
        <w:rPr>
          <w:rFonts w:ascii="Times New Roman;sans-serif" w:hAnsi="Times New Roman;sans-serif"/>
          <w:b w:val="false"/>
          <w:color w:val="000000"/>
          <w:sz w:val="22"/>
        </w:rPr>
        <w:t>Fees    </w:t>
      </w:r>
      <w:r>
        <w:rPr>
          <w:rFonts w:ascii="Times New Roman;sans-serif" w:hAnsi="Times New Roman;sans-serif"/>
          <w:b/>
          <w:strike/>
          <w:color w:val="FF0000"/>
          <w:sz w:val="22"/>
        </w:rPr>
        <w:t>106</w:t>
      </w:r>
      <w:r>
        <w:rPr>
          <w:rFonts w:ascii="Times New Roman;sans-serif" w:hAnsi="Times New Roman;sans-serif"/>
          <w:b/>
          <w:color w:val="0000FF"/>
          <w:sz w:val="22"/>
          <w:u w:val="single"/>
        </w:rPr>
        <w:t>104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6.8</w:t>
      </w:r>
      <w:r>
        <w:rPr>
          <w:color w:val="000000"/>
        </w:rPr>
        <w:t>    </w:t>
      </w:r>
      <w:r>
        <w:rPr>
          <w:rFonts w:ascii="Times New Roman;sans-serif" w:hAnsi="Times New Roman;sans-serif"/>
          <w:b w:val="false"/>
          <w:color w:val="000000"/>
          <w:sz w:val="22"/>
        </w:rPr>
        <w:t>[Reserved]    </w:t>
      </w:r>
      <w:r>
        <w:rPr>
          <w:rFonts w:ascii="Times New Roman;sans-serif" w:hAnsi="Times New Roman;sans-serif"/>
          <w:b/>
          <w:strike/>
          <w:color w:val="FF0000"/>
          <w:sz w:val="22"/>
        </w:rPr>
        <w:t>106</w:t>
      </w:r>
      <w:r>
        <w:rPr>
          <w:rFonts w:ascii="Times New Roman;sans-serif" w:hAnsi="Times New Roman;sans-serif"/>
          <w:b/>
          <w:color w:val="0000FF"/>
          <w:sz w:val="22"/>
          <w:u w:val="single"/>
        </w:rPr>
        <w:t>104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6.9</w:t>
      </w:r>
      <w:r>
        <w:rPr>
          <w:color w:val="000000"/>
        </w:rPr>
        <w:t>    </w:t>
      </w:r>
      <w:r>
        <w:rPr>
          <w:rFonts w:ascii="Times New Roman;sans-serif" w:hAnsi="Times New Roman;sans-serif"/>
          <w:b w:val="false"/>
          <w:color w:val="000000"/>
          <w:sz w:val="22"/>
        </w:rPr>
        <w:t>Solvency Certificate    </w:t>
      </w:r>
      <w:r>
        <w:rPr>
          <w:rFonts w:ascii="Times New Roman;sans-serif" w:hAnsi="Times New Roman;sans-serif"/>
          <w:b/>
          <w:strike/>
          <w:color w:val="FF0000"/>
          <w:sz w:val="22"/>
        </w:rPr>
        <w:t>106</w:t>
      </w:r>
      <w:r>
        <w:rPr>
          <w:rFonts w:ascii="Times New Roman;sans-serif" w:hAnsi="Times New Roman;sans-serif"/>
          <w:b/>
          <w:color w:val="0000FF"/>
          <w:sz w:val="22"/>
          <w:u w:val="single"/>
        </w:rPr>
        <w:t>104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6.10</w:t>
      </w:r>
      <w:r>
        <w:rPr>
          <w:color w:val="000000"/>
        </w:rPr>
        <w:t>    </w:t>
      </w:r>
      <w:r>
        <w:rPr>
          <w:rFonts w:ascii="Times New Roman;sans-serif" w:hAnsi="Times New Roman;sans-serif"/>
          <w:b w:val="false"/>
          <w:color w:val="000000"/>
          <w:sz w:val="22"/>
        </w:rPr>
        <w:t>[Reserved]    </w:t>
      </w:r>
      <w:r>
        <w:rPr>
          <w:rFonts w:ascii="Times New Roman;sans-serif" w:hAnsi="Times New Roman;sans-serif"/>
          <w:b/>
          <w:strike/>
          <w:color w:val="FF0000"/>
          <w:sz w:val="22"/>
        </w:rPr>
        <w:t>106</w:t>
      </w:r>
      <w:r>
        <w:rPr>
          <w:rFonts w:ascii="Times New Roman;sans-serif" w:hAnsi="Times New Roman;sans-serif"/>
          <w:b/>
          <w:color w:val="0000FF"/>
          <w:sz w:val="22"/>
          <w:u w:val="single"/>
        </w:rPr>
        <w:t>104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6.11</w:t>
      </w:r>
      <w:r>
        <w:rPr>
          <w:color w:val="000000"/>
        </w:rPr>
        <w:t>    </w:t>
      </w:r>
      <w:r>
        <w:rPr>
          <w:rFonts w:ascii="Times New Roman;sans-serif" w:hAnsi="Times New Roman;sans-serif"/>
          <w:b w:val="false"/>
          <w:color w:val="000000"/>
          <w:sz w:val="22"/>
        </w:rPr>
        <w:t>Patriot Act    </w:t>
      </w:r>
      <w:r>
        <w:rPr>
          <w:rFonts w:ascii="Times New Roman;sans-serif" w:hAnsi="Times New Roman;sans-serif"/>
          <w:b/>
          <w:strike/>
          <w:color w:val="FF0000"/>
          <w:sz w:val="22"/>
        </w:rPr>
        <w:t>106</w:t>
      </w:r>
      <w:r>
        <w:rPr>
          <w:rFonts w:ascii="Times New Roman;sans-serif" w:hAnsi="Times New Roman;sans-serif"/>
          <w:b/>
          <w:color w:val="0000FF"/>
          <w:sz w:val="22"/>
          <w:u w:val="single"/>
        </w:rPr>
        <w:t>104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6.12</w:t>
      </w:r>
      <w:r>
        <w:rPr>
          <w:color w:val="000000"/>
        </w:rPr>
        <w:t>    </w:t>
      </w:r>
      <w:r>
        <w:rPr>
          <w:rFonts w:ascii="Times New Roman;sans-serif" w:hAnsi="Times New Roman;sans-serif"/>
          <w:b w:val="false"/>
          <w:color w:val="000000"/>
          <w:sz w:val="22"/>
        </w:rPr>
        <w:t>Financial Statements    </w:t>
      </w:r>
      <w:r>
        <w:rPr>
          <w:rFonts w:ascii="Times New Roman;sans-serif" w:hAnsi="Times New Roman;sans-serif"/>
          <w:b/>
          <w:strike/>
          <w:color w:val="FF0000"/>
          <w:sz w:val="22"/>
        </w:rPr>
        <w:t>107</w:t>
      </w:r>
      <w:r>
        <w:rPr>
          <w:rFonts w:ascii="Times New Roman;sans-serif" w:hAnsi="Times New Roman;sans-serif"/>
          <w:b/>
          <w:color w:val="0000FF"/>
          <w:sz w:val="22"/>
          <w:u w:val="single"/>
        </w:rPr>
        <w:t>104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6.13</w:t>
      </w:r>
      <w:r>
        <w:rPr>
          <w:color w:val="000000"/>
        </w:rPr>
        <w:t>    </w:t>
      </w:r>
      <w:r>
        <w:rPr>
          <w:rFonts w:ascii="Times New Roman;sans-serif" w:hAnsi="Times New Roman;sans-serif"/>
          <w:b w:val="false"/>
          <w:color w:val="000000"/>
          <w:sz w:val="22"/>
        </w:rPr>
        <w:t>No Material Adverse Effect    </w:t>
      </w:r>
      <w:r>
        <w:rPr>
          <w:rFonts w:ascii="Times New Roman;sans-serif" w:hAnsi="Times New Roman;sans-serif"/>
          <w:b/>
          <w:strike/>
          <w:color w:val="FF0000"/>
          <w:sz w:val="22"/>
        </w:rPr>
        <w:t>107</w:t>
      </w:r>
      <w:r>
        <w:rPr>
          <w:rFonts w:ascii="Times New Roman;sans-serif" w:hAnsi="Times New Roman;sans-serif"/>
          <w:b/>
          <w:color w:val="0000FF"/>
          <w:sz w:val="22"/>
          <w:u w:val="single"/>
        </w:rPr>
        <w:t>104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6.14</w:t>
      </w:r>
      <w:r>
        <w:rPr>
          <w:color w:val="000000"/>
        </w:rPr>
        <w:t>    </w:t>
      </w:r>
      <w:r>
        <w:rPr>
          <w:rFonts w:ascii="Times New Roman;sans-serif" w:hAnsi="Times New Roman;sans-serif"/>
          <w:b w:val="false"/>
          <w:color w:val="000000"/>
          <w:sz w:val="22"/>
        </w:rPr>
        <w:t>Refinancing    </w:t>
      </w:r>
      <w:r>
        <w:rPr>
          <w:rFonts w:ascii="Times New Roman;sans-serif" w:hAnsi="Times New Roman;sans-serif"/>
          <w:b/>
          <w:strike/>
          <w:color w:val="FF0000"/>
          <w:sz w:val="22"/>
        </w:rPr>
        <w:t>107</w:t>
      </w:r>
      <w:r>
        <w:rPr>
          <w:rFonts w:ascii="Times New Roman;sans-serif" w:hAnsi="Times New Roman;sans-serif"/>
          <w:b/>
          <w:color w:val="0000FF"/>
          <w:sz w:val="22"/>
          <w:u w:val="single"/>
        </w:rPr>
        <w:t>104</w:t>
      </w:r>
    </w:p>
    <w:p>
      <w:pPr>
        <w:pStyle w:val="TextBody"/>
        <w:bidi w:val="0"/>
        <w:spacing w:lineRule="auto" w:line="240" w:before="240" w:after="240"/>
        <w:jc w:val="both"/>
        <w:rPr/>
      </w:pPr>
      <w:r>
        <w:rPr>
          <w:rFonts w:ascii="Times New Roman;sans-serif" w:hAnsi="Times New Roman;sans-serif"/>
          <w:b w:val="false"/>
          <w:color w:val="000000"/>
          <w:sz w:val="22"/>
        </w:rPr>
        <w:t>Section 7.</w:t>
      </w:r>
      <w:r>
        <w:rPr>
          <w:color w:val="000000"/>
        </w:rPr>
        <w:t>    </w:t>
      </w:r>
      <w:r>
        <w:rPr>
          <w:rFonts w:ascii="Times New Roman;sans-serif" w:hAnsi="Times New Roman;sans-serif"/>
          <w:b w:val="false"/>
          <w:color w:val="000000"/>
          <w:sz w:val="22"/>
        </w:rPr>
        <w:t>Conditions Precedent to All Credit Events.    </w:t>
      </w:r>
      <w:r>
        <w:rPr>
          <w:rFonts w:ascii="Times New Roman;sans-serif" w:hAnsi="Times New Roman;sans-serif"/>
          <w:b/>
          <w:strike/>
          <w:color w:val="FF0000"/>
          <w:sz w:val="22"/>
        </w:rPr>
        <w:t>107</w:t>
      </w:r>
      <w:r>
        <w:rPr>
          <w:rFonts w:ascii="Times New Roman;sans-serif" w:hAnsi="Times New Roman;sans-serif"/>
          <w:b/>
          <w:color w:val="0000FF"/>
          <w:sz w:val="22"/>
          <w:u w:val="single"/>
        </w:rPr>
        <w:t>105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7.1</w:t>
      </w:r>
      <w:r>
        <w:rPr>
          <w:color w:val="000000"/>
        </w:rPr>
        <w:t>    </w:t>
      </w:r>
      <w:r>
        <w:rPr>
          <w:rFonts w:ascii="Times New Roman;sans-serif" w:hAnsi="Times New Roman;sans-serif"/>
          <w:b w:val="false"/>
          <w:color w:val="000000"/>
          <w:sz w:val="22"/>
        </w:rPr>
        <w:t>No Default; Representations and Warranties    </w:t>
      </w:r>
      <w:r>
        <w:rPr>
          <w:rFonts w:ascii="Times New Roman;sans-serif" w:hAnsi="Times New Roman;sans-serif"/>
          <w:b/>
          <w:strike/>
          <w:color w:val="FF0000"/>
          <w:sz w:val="22"/>
        </w:rPr>
        <w:t>107</w:t>
      </w:r>
      <w:r>
        <w:rPr>
          <w:rFonts w:ascii="Times New Roman;sans-serif" w:hAnsi="Times New Roman;sans-serif"/>
          <w:b/>
          <w:color w:val="0000FF"/>
          <w:sz w:val="22"/>
          <w:u w:val="single"/>
        </w:rPr>
        <w:t>105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7.2</w:t>
      </w:r>
      <w:r>
        <w:rPr>
          <w:color w:val="000000"/>
        </w:rPr>
        <w:t>    </w:t>
      </w:r>
      <w:r>
        <w:rPr>
          <w:rFonts w:ascii="Times New Roman;sans-serif" w:hAnsi="Times New Roman;sans-serif"/>
          <w:b w:val="false"/>
          <w:color w:val="000000"/>
          <w:sz w:val="22"/>
        </w:rPr>
        <w:t>Notice of Borrowing    </w:t>
      </w:r>
      <w:r>
        <w:rPr>
          <w:rFonts w:ascii="Times New Roman;sans-serif" w:hAnsi="Times New Roman;sans-serif"/>
          <w:b/>
          <w:strike/>
          <w:color w:val="FF0000"/>
          <w:sz w:val="22"/>
        </w:rPr>
        <w:t>107</w:t>
      </w:r>
      <w:r>
        <w:rPr>
          <w:rFonts w:ascii="Times New Roman;sans-serif" w:hAnsi="Times New Roman;sans-serif"/>
          <w:b/>
          <w:color w:val="0000FF"/>
          <w:sz w:val="22"/>
          <w:u w:val="single"/>
        </w:rPr>
        <w:t>105</w:t>
      </w:r>
    </w:p>
    <w:p>
      <w:pPr>
        <w:pStyle w:val="TextBody"/>
        <w:bidi w:val="0"/>
        <w:spacing w:lineRule="auto" w:line="240" w:before="240" w:after="240"/>
        <w:jc w:val="both"/>
        <w:rPr/>
      </w:pPr>
      <w:r>
        <w:rPr>
          <w:rFonts w:ascii="Times New Roman;sans-serif" w:hAnsi="Times New Roman;sans-serif"/>
          <w:b w:val="false"/>
          <w:color w:val="000000"/>
          <w:sz w:val="22"/>
        </w:rPr>
        <w:t>Section 8.</w:t>
      </w:r>
      <w:r>
        <w:rPr>
          <w:color w:val="000000"/>
        </w:rPr>
        <w:t>    </w:t>
      </w:r>
      <w:r>
        <w:rPr>
          <w:rFonts w:ascii="Times New Roman;sans-serif" w:hAnsi="Times New Roman;sans-serif"/>
          <w:b w:val="false"/>
          <w:color w:val="000000"/>
          <w:sz w:val="22"/>
        </w:rPr>
        <w:t>Representations and Warranties    </w:t>
      </w:r>
      <w:r>
        <w:rPr>
          <w:rFonts w:ascii="Times New Roman;sans-serif" w:hAnsi="Times New Roman;sans-serif"/>
          <w:b/>
          <w:strike/>
          <w:color w:val="FF0000"/>
          <w:sz w:val="22"/>
        </w:rPr>
        <w:t>108</w:t>
      </w:r>
      <w:r>
        <w:rPr>
          <w:rFonts w:ascii="Times New Roman;sans-serif" w:hAnsi="Times New Roman;sans-serif"/>
          <w:b/>
          <w:color w:val="0000FF"/>
          <w:sz w:val="22"/>
          <w:u w:val="single"/>
        </w:rPr>
        <w:t>105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w:t>
      </w:r>
      <w:r>
        <w:rPr>
          <w:color w:val="000000"/>
        </w:rPr>
        <w:t>    </w:t>
      </w:r>
      <w:r>
        <w:rPr>
          <w:rFonts w:ascii="Times New Roman;sans-serif" w:hAnsi="Times New Roman;sans-serif"/>
          <w:b w:val="false"/>
          <w:color w:val="000000"/>
          <w:sz w:val="22"/>
        </w:rPr>
        <w:t>Corporate Status    </w:t>
      </w:r>
      <w:r>
        <w:rPr>
          <w:rFonts w:ascii="Times New Roman;sans-serif" w:hAnsi="Times New Roman;sans-serif"/>
          <w:b/>
          <w:strike/>
          <w:color w:val="FF0000"/>
          <w:sz w:val="22"/>
        </w:rPr>
        <w:t>108</w:t>
      </w:r>
      <w:r>
        <w:rPr>
          <w:rFonts w:ascii="Times New Roman;sans-serif" w:hAnsi="Times New Roman;sans-serif"/>
          <w:b/>
          <w:color w:val="0000FF"/>
          <w:sz w:val="22"/>
          <w:u w:val="single"/>
        </w:rPr>
        <w:t>105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8.2</w:t>
      </w:r>
      <w:r>
        <w:rPr>
          <w:color w:val="000000"/>
        </w:rPr>
        <w:t>    </w:t>
      </w:r>
      <w:r>
        <w:rPr>
          <w:rFonts w:ascii="Times New Roman;sans-serif" w:hAnsi="Times New Roman;sans-serif"/>
          <w:b w:val="false"/>
          <w:color w:val="000000"/>
          <w:sz w:val="22"/>
        </w:rPr>
        <w:t>Corporate Power and Authority    </w:t>
      </w:r>
      <w:r>
        <w:rPr>
          <w:rFonts w:ascii="Times New Roman;sans-serif" w:hAnsi="Times New Roman;sans-serif"/>
          <w:b/>
          <w:strike/>
          <w:color w:val="FF0000"/>
          <w:sz w:val="22"/>
        </w:rPr>
        <w:t>108</w:t>
      </w:r>
      <w:r>
        <w:rPr>
          <w:rFonts w:ascii="Times New Roman;sans-serif" w:hAnsi="Times New Roman;sans-serif"/>
          <w:b/>
          <w:color w:val="0000FF"/>
          <w:sz w:val="22"/>
          <w:u w:val="single"/>
        </w:rPr>
        <w:t>105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8.3</w:t>
      </w:r>
      <w:r>
        <w:rPr>
          <w:color w:val="000000"/>
        </w:rPr>
        <w:t>    </w:t>
      </w:r>
      <w:r>
        <w:rPr>
          <w:rFonts w:ascii="Times New Roman;sans-serif" w:hAnsi="Times New Roman;sans-serif"/>
          <w:b w:val="false"/>
          <w:color w:val="000000"/>
          <w:sz w:val="22"/>
        </w:rPr>
        <w:t>No Violation    </w:t>
      </w:r>
      <w:r>
        <w:rPr>
          <w:rFonts w:ascii="Times New Roman;sans-serif" w:hAnsi="Times New Roman;sans-serif"/>
          <w:b/>
          <w:strike/>
          <w:color w:val="FF0000"/>
          <w:sz w:val="22"/>
        </w:rPr>
        <w:t>108</w:t>
      </w:r>
      <w:r>
        <w:rPr>
          <w:rFonts w:ascii="Times New Roman;sans-serif" w:hAnsi="Times New Roman;sans-serif"/>
          <w:b/>
          <w:color w:val="0000FF"/>
          <w:sz w:val="22"/>
          <w:u w:val="single"/>
        </w:rPr>
        <w:t>106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8.4</w:t>
      </w:r>
      <w:r>
        <w:rPr>
          <w:color w:val="000000"/>
        </w:rPr>
        <w:t>    </w:t>
      </w:r>
      <w:r>
        <w:rPr>
          <w:rFonts w:ascii="Times New Roman;sans-serif" w:hAnsi="Times New Roman;sans-serif"/>
          <w:b w:val="false"/>
          <w:color w:val="000000"/>
          <w:sz w:val="22"/>
        </w:rPr>
        <w:t>Litigation    </w:t>
      </w:r>
      <w:r>
        <w:rPr>
          <w:rFonts w:ascii="Times New Roman;sans-serif" w:hAnsi="Times New Roman;sans-serif"/>
          <w:b/>
          <w:strike/>
          <w:color w:val="FF0000"/>
          <w:sz w:val="22"/>
        </w:rPr>
        <w:t>108</w:t>
      </w:r>
      <w:r>
        <w:rPr>
          <w:rFonts w:ascii="Times New Roman;sans-serif" w:hAnsi="Times New Roman;sans-serif"/>
          <w:b/>
          <w:color w:val="0000FF"/>
          <w:sz w:val="22"/>
          <w:u w:val="single"/>
        </w:rPr>
        <w:t>106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8.5</w:t>
      </w:r>
      <w:r>
        <w:rPr>
          <w:color w:val="000000"/>
        </w:rPr>
        <w:t>    </w:t>
      </w:r>
      <w:r>
        <w:rPr>
          <w:rFonts w:ascii="Times New Roman;sans-serif" w:hAnsi="Times New Roman;sans-serif"/>
          <w:b w:val="false"/>
          <w:color w:val="000000"/>
          <w:sz w:val="22"/>
        </w:rPr>
        <w:t>Margin Regulations    </w:t>
      </w:r>
      <w:r>
        <w:rPr>
          <w:rFonts w:ascii="Times New Roman;sans-serif" w:hAnsi="Times New Roman;sans-serif"/>
          <w:b/>
          <w:strike/>
          <w:color w:val="FF0000"/>
          <w:sz w:val="22"/>
        </w:rPr>
        <w:t>109</w:t>
      </w:r>
      <w:r>
        <w:rPr>
          <w:rFonts w:ascii="Times New Roman;sans-serif" w:hAnsi="Times New Roman;sans-serif"/>
          <w:b/>
          <w:color w:val="0000FF"/>
          <w:sz w:val="22"/>
          <w:u w:val="single"/>
        </w:rPr>
        <w:t>106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8.6</w:t>
      </w:r>
      <w:r>
        <w:rPr>
          <w:color w:val="000000"/>
        </w:rPr>
        <w:t>    </w:t>
      </w:r>
      <w:r>
        <w:rPr>
          <w:rFonts w:ascii="Times New Roman;sans-serif" w:hAnsi="Times New Roman;sans-serif"/>
          <w:b w:val="false"/>
          <w:color w:val="000000"/>
          <w:sz w:val="22"/>
        </w:rPr>
        <w:t>Governmental Approvals    </w:t>
      </w:r>
      <w:r>
        <w:rPr>
          <w:rFonts w:ascii="Times New Roman;sans-serif" w:hAnsi="Times New Roman;sans-serif"/>
          <w:b/>
          <w:strike/>
          <w:color w:val="FF0000"/>
          <w:sz w:val="22"/>
        </w:rPr>
        <w:t>109</w:t>
      </w:r>
      <w:r>
        <w:rPr>
          <w:rFonts w:ascii="Times New Roman;sans-serif" w:hAnsi="Times New Roman;sans-serif"/>
          <w:b/>
          <w:color w:val="0000FF"/>
          <w:sz w:val="22"/>
          <w:u w:val="single"/>
        </w:rPr>
        <w:t>106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8.7</w:t>
      </w:r>
      <w:r>
        <w:rPr>
          <w:color w:val="000000"/>
        </w:rPr>
        <w:t>    </w:t>
      </w:r>
      <w:r>
        <w:rPr>
          <w:rFonts w:ascii="Times New Roman;sans-serif" w:hAnsi="Times New Roman;sans-serif"/>
          <w:b w:val="false"/>
          <w:color w:val="000000"/>
          <w:sz w:val="22"/>
        </w:rPr>
        <w:t>Investment Company Act    </w:t>
      </w:r>
      <w:r>
        <w:rPr>
          <w:rFonts w:ascii="Times New Roman;sans-serif" w:hAnsi="Times New Roman;sans-serif"/>
          <w:b/>
          <w:strike/>
          <w:color w:val="FF0000"/>
          <w:sz w:val="22"/>
        </w:rPr>
        <w:t>109</w:t>
      </w:r>
      <w:r>
        <w:rPr>
          <w:rFonts w:ascii="Times New Roman;sans-serif" w:hAnsi="Times New Roman;sans-serif"/>
          <w:b/>
          <w:color w:val="0000FF"/>
          <w:sz w:val="22"/>
          <w:u w:val="single"/>
        </w:rPr>
        <w:t>106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8.8</w:t>
      </w:r>
      <w:r>
        <w:rPr>
          <w:color w:val="000000"/>
        </w:rPr>
        <w:t>    </w:t>
      </w:r>
      <w:r>
        <w:rPr>
          <w:rFonts w:ascii="Times New Roman;sans-serif" w:hAnsi="Times New Roman;sans-serif"/>
          <w:b w:val="false"/>
          <w:color w:val="000000"/>
          <w:sz w:val="22"/>
        </w:rPr>
        <w:t>True and Complete Disclosure    </w:t>
      </w:r>
      <w:r>
        <w:rPr>
          <w:rFonts w:ascii="Times New Roman;sans-serif" w:hAnsi="Times New Roman;sans-serif"/>
          <w:b/>
          <w:strike/>
          <w:color w:val="FF0000"/>
          <w:sz w:val="22"/>
        </w:rPr>
        <w:t>109</w:t>
      </w:r>
      <w:r>
        <w:rPr>
          <w:rFonts w:ascii="Times New Roman;sans-serif" w:hAnsi="Times New Roman;sans-serif"/>
          <w:b/>
          <w:color w:val="0000FF"/>
          <w:sz w:val="22"/>
          <w:u w:val="single"/>
        </w:rPr>
        <w:t>106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8.9</w:t>
      </w:r>
      <w:r>
        <w:rPr>
          <w:color w:val="000000"/>
        </w:rPr>
        <w:t>    </w:t>
      </w:r>
      <w:r>
        <w:rPr>
          <w:rFonts w:ascii="Times New Roman;sans-serif" w:hAnsi="Times New Roman;sans-serif"/>
          <w:b w:val="false"/>
          <w:color w:val="000000"/>
          <w:sz w:val="22"/>
        </w:rPr>
        <w:t>Financial Condition; Financial Statements    </w:t>
      </w:r>
      <w:r>
        <w:rPr>
          <w:rFonts w:ascii="Times New Roman;sans-serif" w:hAnsi="Times New Roman;sans-serif"/>
          <w:b/>
          <w:strike/>
          <w:color w:val="FF0000"/>
          <w:sz w:val="22"/>
        </w:rPr>
        <w:t>109</w:t>
      </w:r>
      <w:r>
        <w:rPr>
          <w:rFonts w:ascii="Times New Roman;sans-serif" w:hAnsi="Times New Roman;sans-serif"/>
          <w:b/>
          <w:color w:val="0000FF"/>
          <w:sz w:val="22"/>
          <w:u w:val="single"/>
        </w:rPr>
        <w:t>107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8.10</w:t>
      </w:r>
      <w:r>
        <w:rPr>
          <w:color w:val="000000"/>
        </w:rPr>
        <w:t>    </w:t>
      </w:r>
      <w:r>
        <w:rPr>
          <w:rFonts w:ascii="Times New Roman;sans-serif" w:hAnsi="Times New Roman;sans-serif"/>
          <w:b w:val="false"/>
          <w:color w:val="000000"/>
          <w:sz w:val="22"/>
        </w:rPr>
        <w:t>Compliance with Laws; No Default    </w:t>
      </w:r>
      <w:r>
        <w:rPr>
          <w:rFonts w:ascii="Times New Roman;sans-serif" w:hAnsi="Times New Roman;sans-serif"/>
          <w:b/>
          <w:strike/>
          <w:color w:val="FF0000"/>
          <w:sz w:val="22"/>
        </w:rPr>
        <w:t>110</w:t>
      </w:r>
      <w:r>
        <w:rPr>
          <w:rFonts w:ascii="Times New Roman;sans-serif" w:hAnsi="Times New Roman;sans-serif"/>
          <w:b/>
          <w:color w:val="0000FF"/>
          <w:sz w:val="22"/>
          <w:u w:val="single"/>
        </w:rPr>
        <w:t>107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8.11</w:t>
      </w:r>
      <w:r>
        <w:rPr>
          <w:color w:val="000000"/>
        </w:rPr>
        <w:t>    </w:t>
      </w:r>
      <w:r>
        <w:rPr>
          <w:rFonts w:ascii="Times New Roman;sans-serif" w:hAnsi="Times New Roman;sans-serif"/>
          <w:b w:val="false"/>
          <w:color w:val="000000"/>
          <w:sz w:val="22"/>
        </w:rPr>
        <w:t>Tax Matters    </w:t>
      </w:r>
      <w:r>
        <w:rPr>
          <w:rFonts w:ascii="Times New Roman;sans-serif" w:hAnsi="Times New Roman;sans-serif"/>
          <w:b/>
          <w:strike/>
          <w:color w:val="FF0000"/>
          <w:sz w:val="22"/>
        </w:rPr>
        <w:t>110</w:t>
      </w:r>
      <w:r>
        <w:rPr>
          <w:rFonts w:ascii="Times New Roman;sans-serif" w:hAnsi="Times New Roman;sans-serif"/>
          <w:b/>
          <w:color w:val="0000FF"/>
          <w:sz w:val="22"/>
          <w:u w:val="single"/>
        </w:rPr>
        <w:t>108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8.12</w:t>
      </w:r>
      <w:r>
        <w:rPr>
          <w:color w:val="000000"/>
        </w:rPr>
        <w:t>    </w:t>
      </w:r>
      <w:r>
        <w:rPr>
          <w:rFonts w:ascii="Times New Roman;sans-serif" w:hAnsi="Times New Roman;sans-serif"/>
          <w:b w:val="false"/>
          <w:color w:val="000000"/>
          <w:sz w:val="22"/>
        </w:rPr>
        <w:t>Compliance with ERISA    </w:t>
      </w:r>
      <w:r>
        <w:rPr>
          <w:rFonts w:ascii="Times New Roman;sans-serif" w:hAnsi="Times New Roman;sans-serif"/>
          <w:b/>
          <w:strike/>
          <w:color w:val="FF0000"/>
          <w:sz w:val="22"/>
        </w:rPr>
        <w:t>110</w:t>
      </w:r>
      <w:r>
        <w:rPr>
          <w:rFonts w:ascii="Times New Roman;sans-serif" w:hAnsi="Times New Roman;sans-serif"/>
          <w:b/>
          <w:color w:val="0000FF"/>
          <w:sz w:val="22"/>
          <w:u w:val="single"/>
        </w:rPr>
        <w:t>108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8.13</w:t>
      </w:r>
      <w:r>
        <w:rPr>
          <w:color w:val="000000"/>
        </w:rPr>
        <w:t>    </w:t>
      </w:r>
      <w:r>
        <w:rPr>
          <w:rFonts w:ascii="Times New Roman;sans-serif" w:hAnsi="Times New Roman;sans-serif"/>
          <w:b w:val="false"/>
          <w:color w:val="000000"/>
          <w:sz w:val="22"/>
        </w:rPr>
        <w:t>Subsidiaries    </w:t>
      </w:r>
      <w:r>
        <w:rPr>
          <w:rFonts w:ascii="Times New Roman;sans-serif" w:hAnsi="Times New Roman;sans-serif"/>
          <w:b/>
          <w:strike/>
          <w:color w:val="FF0000"/>
          <w:sz w:val="22"/>
        </w:rPr>
        <w:t>111</w:t>
      </w:r>
      <w:r>
        <w:rPr>
          <w:rFonts w:ascii="Times New Roman;sans-serif" w:hAnsi="Times New Roman;sans-serif"/>
          <w:b/>
          <w:color w:val="0000FF"/>
          <w:sz w:val="22"/>
          <w:u w:val="single"/>
        </w:rPr>
        <w:t>108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8.14</w:t>
      </w:r>
      <w:r>
        <w:rPr>
          <w:color w:val="000000"/>
        </w:rPr>
        <w:t>    </w:t>
      </w:r>
      <w:r>
        <w:rPr>
          <w:rFonts w:ascii="Times New Roman;sans-serif" w:hAnsi="Times New Roman;sans-serif"/>
          <w:b w:val="false"/>
          <w:color w:val="000000"/>
          <w:sz w:val="22"/>
        </w:rPr>
        <w:t>Intellectual Property    </w:t>
      </w:r>
      <w:r>
        <w:rPr>
          <w:rFonts w:ascii="Times New Roman;sans-serif" w:hAnsi="Times New Roman;sans-serif"/>
          <w:b/>
          <w:strike/>
          <w:color w:val="FF0000"/>
          <w:sz w:val="22"/>
        </w:rPr>
        <w:t>111</w:t>
      </w:r>
      <w:r>
        <w:rPr>
          <w:rFonts w:ascii="Times New Roman;sans-serif" w:hAnsi="Times New Roman;sans-serif"/>
          <w:b/>
          <w:color w:val="0000FF"/>
          <w:sz w:val="22"/>
          <w:u w:val="single"/>
        </w:rPr>
        <w:t>108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8.15</w:t>
      </w:r>
      <w:r>
        <w:rPr>
          <w:color w:val="000000"/>
        </w:rPr>
        <w:t>    </w:t>
      </w:r>
      <w:r>
        <w:rPr>
          <w:rFonts w:ascii="Times New Roman;sans-serif" w:hAnsi="Times New Roman;sans-serif"/>
          <w:b w:val="false"/>
          <w:color w:val="000000"/>
          <w:sz w:val="22"/>
        </w:rPr>
        <w:t>Environmental Laws    </w:t>
      </w:r>
      <w:r>
        <w:rPr>
          <w:rFonts w:ascii="Times New Roman;sans-serif" w:hAnsi="Times New Roman;sans-serif"/>
          <w:b/>
          <w:strike/>
          <w:color w:val="FF0000"/>
          <w:sz w:val="22"/>
        </w:rPr>
        <w:t>111</w:t>
      </w:r>
      <w:r>
        <w:rPr>
          <w:rFonts w:ascii="Times New Roman;sans-serif" w:hAnsi="Times New Roman;sans-serif"/>
          <w:b/>
          <w:color w:val="0000FF"/>
          <w:sz w:val="22"/>
          <w:u w:val="single"/>
        </w:rPr>
        <w:t>108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8.16</w:t>
      </w:r>
      <w:r>
        <w:rPr>
          <w:color w:val="000000"/>
        </w:rPr>
        <w:t>    </w:t>
      </w:r>
      <w:r>
        <w:rPr>
          <w:rFonts w:ascii="Times New Roman;sans-serif" w:hAnsi="Times New Roman;sans-serif"/>
          <w:b w:val="false"/>
          <w:color w:val="000000"/>
          <w:sz w:val="22"/>
        </w:rPr>
        <w:t>Properties    </w:t>
      </w:r>
      <w:r>
        <w:rPr>
          <w:rFonts w:ascii="Times New Roman;sans-serif" w:hAnsi="Times New Roman;sans-serif"/>
          <w:b/>
          <w:strike/>
          <w:color w:val="FF0000"/>
          <w:sz w:val="22"/>
        </w:rPr>
        <w:t>111</w:t>
      </w:r>
      <w:r>
        <w:rPr>
          <w:rFonts w:ascii="Times New Roman;sans-serif" w:hAnsi="Times New Roman;sans-serif"/>
          <w:b/>
          <w:color w:val="0000FF"/>
          <w:sz w:val="22"/>
          <w:u w:val="single"/>
        </w:rPr>
        <w:t>109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8.17</w:t>
      </w:r>
      <w:r>
        <w:rPr>
          <w:color w:val="000000"/>
        </w:rPr>
        <w:t>    </w:t>
      </w:r>
      <w:r>
        <w:rPr>
          <w:rFonts w:ascii="Times New Roman;sans-serif" w:hAnsi="Times New Roman;sans-serif"/>
          <w:b w:val="false"/>
          <w:color w:val="000000"/>
          <w:sz w:val="22"/>
        </w:rPr>
        <w:t>Solvency    </w:t>
      </w:r>
      <w:r>
        <w:rPr>
          <w:rFonts w:ascii="Times New Roman;sans-serif" w:hAnsi="Times New Roman;sans-serif"/>
          <w:b/>
          <w:strike/>
          <w:color w:val="FF0000"/>
          <w:sz w:val="22"/>
        </w:rPr>
        <w:t>112</w:t>
      </w:r>
      <w:r>
        <w:rPr>
          <w:rFonts w:ascii="Times New Roman;sans-serif" w:hAnsi="Times New Roman;sans-serif"/>
          <w:b/>
          <w:color w:val="0000FF"/>
          <w:sz w:val="22"/>
          <w:u w:val="single"/>
        </w:rPr>
        <w:t>109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8.18</w:t>
      </w:r>
      <w:r>
        <w:rPr>
          <w:color w:val="000000"/>
        </w:rPr>
        <w:t>    </w:t>
      </w:r>
      <w:r>
        <w:rPr>
          <w:rFonts w:ascii="Times New Roman;sans-serif" w:hAnsi="Times New Roman;sans-serif"/>
          <w:b w:val="false"/>
          <w:color w:val="000000"/>
          <w:sz w:val="22"/>
        </w:rPr>
        <w:t>Patriot Act    </w:t>
      </w:r>
      <w:r>
        <w:rPr>
          <w:rFonts w:ascii="Times New Roman;sans-serif" w:hAnsi="Times New Roman;sans-serif"/>
          <w:b/>
          <w:strike/>
          <w:color w:val="FF0000"/>
          <w:sz w:val="22"/>
        </w:rPr>
        <w:t>112</w:t>
      </w:r>
      <w:r>
        <w:rPr>
          <w:rFonts w:ascii="Times New Roman;sans-serif" w:hAnsi="Times New Roman;sans-serif"/>
          <w:b/>
          <w:color w:val="0000FF"/>
          <w:sz w:val="22"/>
          <w:u w:val="single"/>
        </w:rPr>
        <w:t>109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8.19</w:t>
      </w:r>
      <w:r>
        <w:rPr>
          <w:color w:val="000000"/>
        </w:rPr>
        <w:t>    </w:t>
      </w:r>
      <w:r>
        <w:rPr>
          <w:rFonts w:ascii="Times New Roman;sans-serif" w:hAnsi="Times New Roman;sans-serif"/>
          <w:b w:val="false"/>
          <w:color w:val="000000"/>
          <w:sz w:val="22"/>
        </w:rPr>
        <w:t>Security Interest in Collateral    </w:t>
      </w:r>
      <w:r>
        <w:rPr>
          <w:rFonts w:ascii="Times New Roman;sans-serif" w:hAnsi="Times New Roman;sans-serif"/>
          <w:b/>
          <w:strike/>
          <w:color w:val="FF0000"/>
          <w:sz w:val="22"/>
        </w:rPr>
        <w:t>112</w:t>
      </w:r>
      <w:r>
        <w:rPr>
          <w:rFonts w:ascii="Times New Roman;sans-serif" w:hAnsi="Times New Roman;sans-serif"/>
          <w:b/>
          <w:color w:val="0000FF"/>
          <w:sz w:val="22"/>
          <w:u w:val="single"/>
        </w:rPr>
        <w:t>109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8.20</w:t>
      </w:r>
      <w:r>
        <w:rPr>
          <w:color w:val="000000"/>
        </w:rPr>
        <w:t>    </w:t>
      </w:r>
      <w:r>
        <w:rPr>
          <w:rFonts w:ascii="Times New Roman;sans-serif" w:hAnsi="Times New Roman;sans-serif"/>
          <w:b w:val="false"/>
          <w:color w:val="000000"/>
          <w:sz w:val="22"/>
        </w:rPr>
        <w:t>Insurance    </w:t>
      </w:r>
      <w:r>
        <w:rPr>
          <w:rFonts w:ascii="Times New Roman;sans-serif" w:hAnsi="Times New Roman;sans-serif"/>
          <w:b/>
          <w:strike/>
          <w:color w:val="FF0000"/>
          <w:sz w:val="22"/>
        </w:rPr>
        <w:t>112</w:t>
      </w:r>
      <w:r>
        <w:rPr>
          <w:rFonts w:ascii="Times New Roman;sans-serif" w:hAnsi="Times New Roman;sans-serif"/>
          <w:b/>
          <w:color w:val="0000FF"/>
          <w:sz w:val="22"/>
          <w:u w:val="single"/>
        </w:rPr>
        <w:t>110</w:t>
      </w:r>
    </w:p>
    <w:p>
      <w:pPr>
        <w:pStyle w:val="TextBody"/>
        <w:bidi w:val="0"/>
        <w:spacing w:lineRule="auto" w:line="240" w:before="240" w:after="240"/>
        <w:jc w:val="both"/>
        <w:rPr/>
      </w:pPr>
      <w:r>
        <w:rPr>
          <w:rFonts w:ascii="Times New Roman;sans-serif" w:hAnsi="Times New Roman;sans-serif"/>
          <w:b w:val="false"/>
          <w:color w:val="000000"/>
          <w:sz w:val="22"/>
        </w:rPr>
        <w:t>Section 9.</w:t>
      </w:r>
      <w:r>
        <w:rPr>
          <w:color w:val="000000"/>
        </w:rPr>
        <w:t>    </w:t>
      </w:r>
      <w:r>
        <w:rPr>
          <w:rFonts w:ascii="Times New Roman;sans-serif" w:hAnsi="Times New Roman;sans-serif"/>
          <w:b w:val="false"/>
          <w:color w:val="000000"/>
          <w:sz w:val="22"/>
        </w:rPr>
        <w:t>Affirmative Covenants.    </w:t>
      </w:r>
      <w:r>
        <w:rPr>
          <w:rFonts w:ascii="Times New Roman;sans-serif" w:hAnsi="Times New Roman;sans-serif"/>
          <w:b/>
          <w:strike/>
          <w:color w:val="FF0000"/>
          <w:sz w:val="22"/>
        </w:rPr>
        <w:t>112</w:t>
      </w:r>
      <w:r>
        <w:rPr>
          <w:rFonts w:ascii="Times New Roman;sans-serif" w:hAnsi="Times New Roman;sans-serif"/>
          <w:b/>
          <w:color w:val="0000FF"/>
          <w:sz w:val="22"/>
          <w:u w:val="single"/>
        </w:rPr>
        <w:t>110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w:t>
      </w:r>
      <w:r>
        <w:rPr>
          <w:color w:val="000000"/>
        </w:rPr>
        <w:t>    </w:t>
      </w:r>
      <w:r>
        <w:rPr>
          <w:rFonts w:ascii="Times New Roman;sans-serif" w:hAnsi="Times New Roman;sans-serif"/>
          <w:b w:val="false"/>
          <w:color w:val="000000"/>
          <w:sz w:val="22"/>
        </w:rPr>
        <w:t>Information Covenants    </w:t>
      </w:r>
      <w:r>
        <w:rPr>
          <w:rFonts w:ascii="Times New Roman;sans-serif" w:hAnsi="Times New Roman;sans-serif"/>
          <w:b/>
          <w:strike/>
          <w:color w:val="FF0000"/>
          <w:sz w:val="22"/>
        </w:rPr>
        <w:t>112</w:t>
      </w:r>
      <w:r>
        <w:rPr>
          <w:rFonts w:ascii="Times New Roman;sans-serif" w:hAnsi="Times New Roman;sans-serif"/>
          <w:b/>
          <w:color w:val="0000FF"/>
          <w:sz w:val="22"/>
          <w:u w:val="single"/>
        </w:rPr>
        <w:t>110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9.2</w:t>
      </w:r>
      <w:r>
        <w:rPr>
          <w:color w:val="000000"/>
        </w:rPr>
        <w:t>    </w:t>
      </w:r>
      <w:r>
        <w:rPr>
          <w:rFonts w:ascii="Times New Roman;sans-serif" w:hAnsi="Times New Roman;sans-serif"/>
          <w:b w:val="false"/>
          <w:color w:val="000000"/>
          <w:sz w:val="22"/>
        </w:rPr>
        <w:t>Books, Records, and Inspections    </w:t>
      </w:r>
      <w:r>
        <w:rPr>
          <w:rFonts w:ascii="Times New Roman;sans-serif" w:hAnsi="Times New Roman;sans-serif"/>
          <w:b/>
          <w:strike/>
          <w:color w:val="FF0000"/>
          <w:sz w:val="22"/>
        </w:rPr>
        <w:t>115</w:t>
      </w:r>
      <w:r>
        <w:rPr>
          <w:rFonts w:ascii="Times New Roman;sans-serif" w:hAnsi="Times New Roman;sans-serif"/>
          <w:b/>
          <w:color w:val="0000FF"/>
          <w:sz w:val="22"/>
          <w:u w:val="single"/>
        </w:rPr>
        <w:t>112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9.3</w:t>
      </w:r>
      <w:r>
        <w:rPr>
          <w:color w:val="000000"/>
        </w:rPr>
        <w:t>    </w:t>
      </w:r>
      <w:r>
        <w:rPr>
          <w:rFonts w:ascii="Times New Roman;sans-serif" w:hAnsi="Times New Roman;sans-serif"/>
          <w:b w:val="false"/>
          <w:color w:val="000000"/>
          <w:sz w:val="22"/>
        </w:rPr>
        <w:t>Maintenance of Insurance    </w:t>
      </w:r>
      <w:r>
        <w:rPr>
          <w:rFonts w:ascii="Times New Roman;sans-serif" w:hAnsi="Times New Roman;sans-serif"/>
          <w:b/>
          <w:strike/>
          <w:color w:val="FF0000"/>
          <w:sz w:val="22"/>
        </w:rPr>
        <w:t>115</w:t>
      </w:r>
      <w:r>
        <w:rPr>
          <w:rFonts w:ascii="Times New Roman;sans-serif" w:hAnsi="Times New Roman;sans-serif"/>
          <w:b/>
          <w:color w:val="0000FF"/>
          <w:sz w:val="22"/>
          <w:u w:val="single"/>
        </w:rPr>
        <w:t>113</w:t>
      </w:r>
    </w:p>
    <w:p>
      <w:pPr>
        <w:pStyle w:val="TextBody"/>
        <w:bidi w:val="0"/>
        <w:spacing w:lineRule="auto" w:line="240"/>
        <w:ind w:left="0" w:right="0" w:hanging="900"/>
        <w:jc w:val="both"/>
        <w:rPr/>
      </w:pPr>
      <w:r>
        <w:rPr>
          <w:rFonts w:ascii="Times New Roman;sans-serif" w:hAnsi="Times New Roman;sans-serif"/>
          <w:b w:val="false"/>
          <w:color w:val="000000"/>
          <w:sz w:val="22"/>
        </w:rPr>
        <w:t>9.4</w:t>
      </w:r>
      <w:r>
        <w:rPr>
          <w:color w:val="000000"/>
        </w:rPr>
        <w:t>    </w:t>
      </w:r>
      <w:r>
        <w:rPr>
          <w:rFonts w:ascii="Times New Roman;sans-serif" w:hAnsi="Times New Roman;sans-serif"/>
          <w:b w:val="false"/>
          <w:color w:val="000000"/>
          <w:sz w:val="22"/>
        </w:rPr>
        <w:t>Payment of Taxes    </w:t>
      </w:r>
      <w:r>
        <w:rPr>
          <w:rFonts w:ascii="Times New Roman;sans-serif" w:hAnsi="Times New Roman;sans-serif"/>
          <w:b/>
          <w:strike/>
          <w:color w:val="FF0000"/>
          <w:sz w:val="22"/>
        </w:rPr>
        <w:t>116</w:t>
      </w:r>
      <w:r>
        <w:rPr>
          <w:rFonts w:ascii="Times New Roman;sans-serif" w:hAnsi="Times New Roman;sans-serif"/>
          <w:b/>
          <w:color w:val="0000FF"/>
          <w:sz w:val="22"/>
          <w:u w:val="single"/>
        </w:rPr>
        <w:t>113</w:t>
      </w:r>
    </w:p>
    <w:p>
      <w:pPr>
        <w:pStyle w:val="TextBody"/>
        <w:bidi w:val="0"/>
        <w:spacing w:lineRule="auto" w:line="556"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8"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60.6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9.5</w:t>
      </w:r>
      <w:r>
        <w:rPr>
          <w:color w:val="000000"/>
        </w:rPr>
        <w:t>    </w:t>
      </w:r>
      <w:r>
        <w:rPr>
          <w:rFonts w:ascii="Times New Roman;sans-serif" w:hAnsi="Times New Roman;sans-serif"/>
          <w:b w:val="false"/>
          <w:color w:val="000000"/>
          <w:sz w:val="22"/>
        </w:rPr>
        <w:t>Preservation of Existence; Consolidated Corporate Franchises    </w:t>
      </w:r>
      <w:r>
        <w:rPr>
          <w:rFonts w:ascii="Times New Roman;sans-serif" w:hAnsi="Times New Roman;sans-serif"/>
          <w:b/>
          <w:strike/>
          <w:color w:val="FF0000"/>
          <w:sz w:val="22"/>
        </w:rPr>
        <w:t>116</w:t>
      </w:r>
      <w:r>
        <w:rPr>
          <w:rFonts w:ascii="Times New Roman;sans-serif" w:hAnsi="Times New Roman;sans-serif"/>
          <w:b/>
          <w:color w:val="0000FF"/>
          <w:sz w:val="22"/>
          <w:u w:val="single"/>
        </w:rPr>
        <w:t>113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9.6</w:t>
      </w:r>
      <w:r>
        <w:rPr>
          <w:color w:val="000000"/>
        </w:rPr>
        <w:t>    </w:t>
      </w:r>
      <w:r>
        <w:rPr>
          <w:rFonts w:ascii="Times New Roman;sans-serif" w:hAnsi="Times New Roman;sans-serif"/>
          <w:b w:val="false"/>
          <w:color w:val="000000"/>
          <w:sz w:val="22"/>
        </w:rPr>
        <w:t>Compliance with Statutes, Regulations, Etc.    </w:t>
      </w:r>
      <w:r>
        <w:rPr>
          <w:rFonts w:ascii="Times New Roman;sans-serif" w:hAnsi="Times New Roman;sans-serif"/>
          <w:b/>
          <w:strike/>
          <w:color w:val="FF0000"/>
          <w:sz w:val="22"/>
        </w:rPr>
        <w:t>116</w:t>
      </w:r>
      <w:r>
        <w:rPr>
          <w:rFonts w:ascii="Times New Roman;sans-serif" w:hAnsi="Times New Roman;sans-serif"/>
          <w:b/>
          <w:color w:val="0000FF"/>
          <w:sz w:val="22"/>
          <w:u w:val="single"/>
        </w:rPr>
        <w:t>114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9.7</w:t>
      </w:r>
      <w:r>
        <w:rPr>
          <w:color w:val="000000"/>
        </w:rPr>
        <w:t>    </w:t>
      </w:r>
      <w:r>
        <w:rPr>
          <w:rFonts w:ascii="Times New Roman;sans-serif" w:hAnsi="Times New Roman;sans-serif"/>
          <w:b w:val="false"/>
          <w:color w:val="000000"/>
          <w:sz w:val="22"/>
        </w:rPr>
        <w:t>ERISA    </w:t>
      </w:r>
      <w:r>
        <w:rPr>
          <w:rFonts w:ascii="Times New Roman;sans-serif" w:hAnsi="Times New Roman;sans-serif"/>
          <w:b/>
          <w:strike/>
          <w:color w:val="FF0000"/>
          <w:sz w:val="22"/>
        </w:rPr>
        <w:t>116</w:t>
      </w:r>
      <w:r>
        <w:rPr>
          <w:rFonts w:ascii="Times New Roman;sans-serif" w:hAnsi="Times New Roman;sans-serif"/>
          <w:b/>
          <w:color w:val="0000FF"/>
          <w:sz w:val="22"/>
          <w:u w:val="single"/>
        </w:rPr>
        <w:t>114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9.8</w:t>
      </w:r>
      <w:r>
        <w:rPr>
          <w:color w:val="000000"/>
        </w:rPr>
        <w:t>    </w:t>
      </w:r>
      <w:r>
        <w:rPr>
          <w:rFonts w:ascii="Times New Roman;sans-serif" w:hAnsi="Times New Roman;sans-serif"/>
          <w:b w:val="false"/>
          <w:color w:val="000000"/>
          <w:sz w:val="22"/>
        </w:rPr>
        <w:t>Maintenance of Properties    </w:t>
      </w:r>
      <w:r>
        <w:rPr>
          <w:rFonts w:ascii="Times New Roman;sans-serif" w:hAnsi="Times New Roman;sans-serif"/>
          <w:b/>
          <w:strike/>
          <w:color w:val="FF0000"/>
          <w:sz w:val="22"/>
        </w:rPr>
        <w:t>117</w:t>
      </w:r>
      <w:r>
        <w:rPr>
          <w:rFonts w:ascii="Times New Roman;sans-serif" w:hAnsi="Times New Roman;sans-serif"/>
          <w:b/>
          <w:color w:val="0000FF"/>
          <w:sz w:val="22"/>
          <w:u w:val="single"/>
        </w:rPr>
        <w:t>114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9.9</w:t>
      </w:r>
      <w:r>
        <w:rPr>
          <w:color w:val="000000"/>
        </w:rPr>
        <w:t>    </w:t>
      </w:r>
      <w:r>
        <w:rPr>
          <w:rFonts w:ascii="Times New Roman;sans-serif" w:hAnsi="Times New Roman;sans-serif"/>
          <w:b w:val="false"/>
          <w:color w:val="000000"/>
          <w:sz w:val="22"/>
        </w:rPr>
        <w:t>Transactions with Affiliates    </w:t>
      </w:r>
      <w:r>
        <w:rPr>
          <w:rFonts w:ascii="Times New Roman;sans-serif" w:hAnsi="Times New Roman;sans-serif"/>
          <w:b/>
          <w:strike/>
          <w:color w:val="FF0000"/>
          <w:sz w:val="22"/>
        </w:rPr>
        <w:t>117</w:t>
      </w:r>
      <w:r>
        <w:rPr>
          <w:rFonts w:ascii="Times New Roman;sans-serif" w:hAnsi="Times New Roman;sans-serif"/>
          <w:b/>
          <w:color w:val="0000FF"/>
          <w:sz w:val="22"/>
          <w:u w:val="single"/>
        </w:rPr>
        <w:t>114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9.10</w:t>
      </w:r>
      <w:r>
        <w:rPr>
          <w:color w:val="000000"/>
        </w:rPr>
        <w:t>    </w:t>
      </w:r>
      <w:r>
        <w:rPr>
          <w:rFonts w:ascii="Times New Roman;sans-serif" w:hAnsi="Times New Roman;sans-serif"/>
          <w:b w:val="false"/>
          <w:color w:val="000000"/>
          <w:sz w:val="22"/>
        </w:rPr>
        <w:t>End of Fiscal Years    </w:t>
      </w:r>
      <w:r>
        <w:rPr>
          <w:rFonts w:ascii="Times New Roman;sans-serif" w:hAnsi="Times New Roman;sans-serif"/>
          <w:b/>
          <w:strike/>
          <w:color w:val="FF0000"/>
          <w:sz w:val="22"/>
        </w:rPr>
        <w:t>118</w:t>
      </w:r>
      <w:r>
        <w:rPr>
          <w:rFonts w:ascii="Times New Roman;sans-serif" w:hAnsi="Times New Roman;sans-serif"/>
          <w:b/>
          <w:color w:val="0000FF"/>
          <w:sz w:val="22"/>
          <w:u w:val="single"/>
        </w:rPr>
        <w:t>115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9.11</w:t>
      </w:r>
      <w:r>
        <w:rPr>
          <w:color w:val="000000"/>
        </w:rPr>
        <w:t>    </w:t>
      </w:r>
      <w:r>
        <w:rPr>
          <w:rFonts w:ascii="Times New Roman;sans-serif" w:hAnsi="Times New Roman;sans-serif"/>
          <w:b w:val="false"/>
          <w:color w:val="000000"/>
          <w:sz w:val="22"/>
        </w:rPr>
        <w:t>Additional Guarantors and Grantors    </w:t>
      </w:r>
      <w:r>
        <w:rPr>
          <w:rFonts w:ascii="Times New Roman;sans-serif" w:hAnsi="Times New Roman;sans-serif"/>
          <w:b/>
          <w:strike/>
          <w:color w:val="FF0000"/>
          <w:sz w:val="22"/>
        </w:rPr>
        <w:t>118</w:t>
      </w:r>
      <w:r>
        <w:rPr>
          <w:rFonts w:ascii="Times New Roman;sans-serif" w:hAnsi="Times New Roman;sans-serif"/>
          <w:b/>
          <w:color w:val="0000FF"/>
          <w:sz w:val="22"/>
          <w:u w:val="single"/>
        </w:rPr>
        <w:t>116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9.12</w:t>
      </w:r>
      <w:r>
        <w:rPr>
          <w:color w:val="000000"/>
        </w:rPr>
        <w:t>    </w:t>
      </w:r>
      <w:r>
        <w:rPr>
          <w:rFonts w:ascii="Times New Roman;sans-serif" w:hAnsi="Times New Roman;sans-serif"/>
          <w:b w:val="false"/>
          <w:color w:val="000000"/>
          <w:sz w:val="22"/>
        </w:rPr>
        <w:t>Pledge of Additional Stock and Evidence of Indebtedness    </w:t>
      </w:r>
      <w:r>
        <w:rPr>
          <w:rFonts w:ascii="Times New Roman;sans-serif" w:hAnsi="Times New Roman;sans-serif"/>
          <w:b/>
          <w:strike/>
          <w:color w:val="FF0000"/>
          <w:sz w:val="22"/>
        </w:rPr>
        <w:t>119</w:t>
      </w:r>
      <w:r>
        <w:rPr>
          <w:rFonts w:ascii="Times New Roman;sans-serif" w:hAnsi="Times New Roman;sans-serif"/>
          <w:b/>
          <w:color w:val="0000FF"/>
          <w:sz w:val="22"/>
          <w:u w:val="single"/>
        </w:rPr>
        <w:t>116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9.13</w:t>
      </w:r>
      <w:r>
        <w:rPr>
          <w:color w:val="000000"/>
        </w:rPr>
        <w:t>    </w:t>
      </w:r>
      <w:r>
        <w:rPr>
          <w:rFonts w:ascii="Times New Roman;sans-serif" w:hAnsi="Times New Roman;sans-serif"/>
          <w:b w:val="false"/>
          <w:color w:val="000000"/>
          <w:sz w:val="22"/>
        </w:rPr>
        <w:t>Use of Proceeds    </w:t>
      </w:r>
      <w:r>
        <w:rPr>
          <w:rFonts w:ascii="Times New Roman;sans-serif" w:hAnsi="Times New Roman;sans-serif"/>
          <w:b/>
          <w:strike/>
          <w:color w:val="FF0000"/>
          <w:sz w:val="22"/>
        </w:rPr>
        <w:t>119</w:t>
      </w:r>
      <w:r>
        <w:rPr>
          <w:rFonts w:ascii="Times New Roman;sans-serif" w:hAnsi="Times New Roman;sans-serif"/>
          <w:b/>
          <w:color w:val="0000FF"/>
          <w:sz w:val="22"/>
          <w:u w:val="single"/>
        </w:rPr>
        <w:t>117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9.14</w:t>
      </w:r>
      <w:r>
        <w:rPr>
          <w:color w:val="000000"/>
        </w:rPr>
        <w:t>    </w:t>
      </w:r>
      <w:r>
        <w:rPr>
          <w:rFonts w:ascii="Times New Roman;sans-serif" w:hAnsi="Times New Roman;sans-serif"/>
          <w:b w:val="false"/>
          <w:color w:val="000000"/>
          <w:sz w:val="22"/>
        </w:rPr>
        <w:t>Further Assurances    </w:t>
      </w:r>
      <w:r>
        <w:rPr>
          <w:rFonts w:ascii="Times New Roman;sans-serif" w:hAnsi="Times New Roman;sans-serif"/>
          <w:b/>
          <w:strike/>
          <w:color w:val="FF0000"/>
          <w:sz w:val="22"/>
        </w:rPr>
        <w:t>119</w:t>
      </w:r>
      <w:r>
        <w:rPr>
          <w:rFonts w:ascii="Times New Roman;sans-serif" w:hAnsi="Times New Roman;sans-serif"/>
          <w:b/>
          <w:color w:val="0000FF"/>
          <w:sz w:val="22"/>
          <w:u w:val="single"/>
        </w:rPr>
        <w:t>117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9.15</w:t>
      </w:r>
      <w:r>
        <w:rPr>
          <w:color w:val="000000"/>
        </w:rPr>
        <w:t>    </w:t>
      </w:r>
      <w:r>
        <w:rPr>
          <w:rFonts w:ascii="Times New Roman;sans-serif" w:hAnsi="Times New Roman;sans-serif"/>
          <w:b w:val="false"/>
          <w:color w:val="000000"/>
          <w:sz w:val="22"/>
        </w:rPr>
        <w:t>Maintenance of Ratings    </w:t>
      </w:r>
      <w:r>
        <w:rPr>
          <w:rFonts w:ascii="Times New Roman;sans-serif" w:hAnsi="Times New Roman;sans-serif"/>
          <w:b/>
          <w:strike/>
          <w:color w:val="FF0000"/>
          <w:sz w:val="22"/>
        </w:rPr>
        <w:t>121</w:t>
      </w:r>
      <w:r>
        <w:rPr>
          <w:rFonts w:ascii="Times New Roman;sans-serif" w:hAnsi="Times New Roman;sans-serif"/>
          <w:b/>
          <w:color w:val="0000FF"/>
          <w:sz w:val="22"/>
          <w:u w:val="single"/>
        </w:rPr>
        <w:t>118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9.16</w:t>
      </w:r>
      <w:r>
        <w:rPr>
          <w:color w:val="000000"/>
        </w:rPr>
        <w:t>    </w:t>
      </w:r>
      <w:r>
        <w:rPr>
          <w:rFonts w:ascii="Times New Roman;sans-serif" w:hAnsi="Times New Roman;sans-serif"/>
          <w:b w:val="false"/>
          <w:color w:val="000000"/>
          <w:sz w:val="22"/>
        </w:rPr>
        <w:t>Lines of Business    </w:t>
      </w:r>
      <w:r>
        <w:rPr>
          <w:rFonts w:ascii="Times New Roman;sans-serif" w:hAnsi="Times New Roman;sans-serif"/>
          <w:b/>
          <w:strike/>
          <w:color w:val="FF0000"/>
          <w:sz w:val="22"/>
        </w:rPr>
        <w:t>121</w:t>
      </w:r>
      <w:r>
        <w:rPr>
          <w:rFonts w:ascii="Times New Roman;sans-serif" w:hAnsi="Times New Roman;sans-serif"/>
          <w:b/>
          <w:color w:val="0000FF"/>
          <w:sz w:val="22"/>
          <w:u w:val="single"/>
        </w:rPr>
        <w:t>118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9.17</w:t>
      </w:r>
      <w:r>
        <w:rPr>
          <w:color w:val="000000"/>
        </w:rPr>
        <w:t>    </w:t>
      </w:r>
      <w:r>
        <w:rPr>
          <w:rFonts w:ascii="Times New Roman;sans-serif" w:hAnsi="Times New Roman;sans-serif"/>
          <w:b w:val="false"/>
          <w:color w:val="000000"/>
          <w:sz w:val="22"/>
        </w:rPr>
        <w:t>Patriot Act    </w:t>
      </w:r>
      <w:r>
        <w:rPr>
          <w:rFonts w:ascii="Times New Roman;sans-serif" w:hAnsi="Times New Roman;sans-serif"/>
          <w:b/>
          <w:strike/>
          <w:color w:val="FF0000"/>
          <w:sz w:val="22"/>
        </w:rPr>
        <w:t>121</w:t>
      </w:r>
      <w:r>
        <w:rPr>
          <w:rFonts w:ascii="Times New Roman;sans-serif" w:hAnsi="Times New Roman;sans-serif"/>
          <w:b/>
          <w:color w:val="0000FF"/>
          <w:sz w:val="22"/>
          <w:u w:val="single"/>
        </w:rPr>
        <w:t>118</w:t>
      </w:r>
    </w:p>
    <w:p>
      <w:pPr>
        <w:pStyle w:val="TextBody"/>
        <w:bidi w:val="0"/>
        <w:spacing w:lineRule="auto" w:line="240" w:before="240" w:after="240"/>
        <w:jc w:val="both"/>
        <w:rPr/>
      </w:pPr>
      <w:r>
        <w:rPr>
          <w:rFonts w:ascii="Times New Roman;sans-serif" w:hAnsi="Times New Roman;sans-serif"/>
          <w:b w:val="false"/>
          <w:color w:val="000000"/>
          <w:sz w:val="22"/>
        </w:rPr>
        <w:t>Section 10.</w:t>
      </w:r>
      <w:r>
        <w:rPr>
          <w:color w:val="000000"/>
        </w:rPr>
        <w:t>    </w:t>
      </w:r>
      <w:r>
        <w:rPr>
          <w:rFonts w:ascii="Times New Roman;sans-serif" w:hAnsi="Times New Roman;sans-serif"/>
          <w:b w:val="false"/>
          <w:color w:val="000000"/>
          <w:sz w:val="22"/>
        </w:rPr>
        <w:t>Negative Covenants.    </w:t>
      </w:r>
      <w:r>
        <w:rPr>
          <w:rFonts w:ascii="Times New Roman;sans-serif" w:hAnsi="Times New Roman;sans-serif"/>
          <w:b/>
          <w:strike/>
          <w:color w:val="FF0000"/>
          <w:sz w:val="22"/>
        </w:rPr>
        <w:t>121</w:t>
      </w:r>
      <w:r>
        <w:rPr>
          <w:rFonts w:ascii="Times New Roman;sans-serif" w:hAnsi="Times New Roman;sans-serif"/>
          <w:b/>
          <w:color w:val="0000FF"/>
          <w:sz w:val="22"/>
          <w:u w:val="single"/>
        </w:rPr>
        <w:t>118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10.1</w:t>
      </w:r>
      <w:r>
        <w:rPr>
          <w:color w:val="000000"/>
        </w:rPr>
        <w:t>    </w:t>
      </w:r>
      <w:r>
        <w:rPr>
          <w:rFonts w:ascii="Times New Roman;sans-serif" w:hAnsi="Times New Roman;sans-serif"/>
          <w:b w:val="false"/>
          <w:color w:val="000000"/>
          <w:sz w:val="22"/>
        </w:rPr>
        <w:t>Limitation on Indebtedness    </w:t>
      </w:r>
      <w:r>
        <w:rPr>
          <w:rFonts w:ascii="Times New Roman;sans-serif" w:hAnsi="Times New Roman;sans-serif"/>
          <w:b/>
          <w:strike/>
          <w:color w:val="FF0000"/>
          <w:sz w:val="22"/>
        </w:rPr>
        <w:t>121</w:t>
      </w:r>
      <w:r>
        <w:rPr>
          <w:rFonts w:ascii="Times New Roman;sans-serif" w:hAnsi="Times New Roman;sans-serif"/>
          <w:b/>
          <w:color w:val="0000FF"/>
          <w:sz w:val="22"/>
          <w:u w:val="single"/>
        </w:rPr>
        <w:t>118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10.2</w:t>
      </w:r>
      <w:r>
        <w:rPr>
          <w:color w:val="000000"/>
        </w:rPr>
        <w:t>    </w:t>
      </w:r>
      <w:r>
        <w:rPr>
          <w:rFonts w:ascii="Times New Roman;sans-serif" w:hAnsi="Times New Roman;sans-serif"/>
          <w:b w:val="false"/>
          <w:color w:val="000000"/>
          <w:sz w:val="22"/>
        </w:rPr>
        <w:t>Limitation on Liens    </w:t>
      </w:r>
      <w:r>
        <w:rPr>
          <w:rFonts w:ascii="Times New Roman;sans-serif" w:hAnsi="Times New Roman;sans-serif"/>
          <w:b/>
          <w:strike/>
          <w:color w:val="FF0000"/>
          <w:sz w:val="22"/>
        </w:rPr>
        <w:t>127</w:t>
      </w:r>
      <w:r>
        <w:rPr>
          <w:rFonts w:ascii="Times New Roman;sans-serif" w:hAnsi="Times New Roman;sans-serif"/>
          <w:b/>
          <w:color w:val="0000FF"/>
          <w:sz w:val="22"/>
          <w:u w:val="single"/>
        </w:rPr>
        <w:t>124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10.3</w:t>
      </w:r>
      <w:r>
        <w:rPr>
          <w:color w:val="000000"/>
        </w:rPr>
        <w:t>    </w:t>
      </w:r>
      <w:r>
        <w:rPr>
          <w:rFonts w:ascii="Times New Roman;sans-serif" w:hAnsi="Times New Roman;sans-serif"/>
          <w:b w:val="false"/>
          <w:color w:val="000000"/>
          <w:sz w:val="22"/>
        </w:rPr>
        <w:t>Limitation on Fundamental Changes    </w:t>
      </w:r>
      <w:r>
        <w:rPr>
          <w:rFonts w:ascii="Times New Roman;sans-serif" w:hAnsi="Times New Roman;sans-serif"/>
          <w:b/>
          <w:strike/>
          <w:color w:val="FF0000"/>
          <w:sz w:val="22"/>
        </w:rPr>
        <w:t>127</w:t>
      </w:r>
      <w:r>
        <w:rPr>
          <w:rFonts w:ascii="Times New Roman;sans-serif" w:hAnsi="Times New Roman;sans-serif"/>
          <w:b/>
          <w:color w:val="0000FF"/>
          <w:sz w:val="22"/>
          <w:u w:val="single"/>
        </w:rPr>
        <w:t>125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10.4</w:t>
      </w:r>
      <w:r>
        <w:rPr>
          <w:color w:val="000000"/>
        </w:rPr>
        <w:t>    </w:t>
      </w:r>
      <w:r>
        <w:rPr>
          <w:rFonts w:ascii="Times New Roman;sans-serif" w:hAnsi="Times New Roman;sans-serif"/>
          <w:b w:val="false"/>
          <w:color w:val="000000"/>
          <w:sz w:val="22"/>
        </w:rPr>
        <w:t>Limitation on Sale of Assets    </w:t>
      </w:r>
      <w:r>
        <w:rPr>
          <w:rFonts w:ascii="Times New Roman;sans-serif" w:hAnsi="Times New Roman;sans-serif"/>
          <w:b/>
          <w:strike/>
          <w:color w:val="FF0000"/>
          <w:sz w:val="22"/>
        </w:rPr>
        <w:t>129</w:t>
      </w:r>
      <w:r>
        <w:rPr>
          <w:rFonts w:ascii="Times New Roman;sans-serif" w:hAnsi="Times New Roman;sans-serif"/>
          <w:b/>
          <w:color w:val="0000FF"/>
          <w:sz w:val="22"/>
          <w:u w:val="single"/>
        </w:rPr>
        <w:t>126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10.5</w:t>
      </w:r>
      <w:r>
        <w:rPr>
          <w:color w:val="000000"/>
        </w:rPr>
        <w:t>    </w:t>
      </w:r>
      <w:r>
        <w:rPr>
          <w:rFonts w:ascii="Times New Roman;sans-serif" w:hAnsi="Times New Roman;sans-serif"/>
          <w:b w:val="false"/>
          <w:color w:val="000000"/>
          <w:sz w:val="22"/>
        </w:rPr>
        <w:t>Limitation on Restricted Payments    </w:t>
      </w:r>
      <w:r>
        <w:rPr>
          <w:rFonts w:ascii="Times New Roman;sans-serif" w:hAnsi="Times New Roman;sans-serif"/>
          <w:b/>
          <w:strike/>
          <w:color w:val="FF0000"/>
          <w:sz w:val="22"/>
        </w:rPr>
        <w:t>130</w:t>
      </w:r>
      <w:r>
        <w:rPr>
          <w:rFonts w:ascii="Times New Roman;sans-serif" w:hAnsi="Times New Roman;sans-serif"/>
          <w:b/>
          <w:color w:val="0000FF"/>
          <w:sz w:val="22"/>
          <w:u w:val="single"/>
        </w:rPr>
        <w:t>127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10.6</w:t>
      </w:r>
      <w:r>
        <w:rPr>
          <w:color w:val="000000"/>
        </w:rPr>
        <w:t>    </w:t>
      </w:r>
      <w:r>
        <w:rPr>
          <w:rFonts w:ascii="Times New Roman;sans-serif" w:hAnsi="Times New Roman;sans-serif"/>
          <w:b w:val="false"/>
          <w:color w:val="000000"/>
          <w:sz w:val="22"/>
        </w:rPr>
        <w:t>Limitation on Subsidiary Distributions    </w:t>
      </w:r>
      <w:r>
        <w:rPr>
          <w:rFonts w:ascii="Times New Roman;sans-serif" w:hAnsi="Times New Roman;sans-serif"/>
          <w:b/>
          <w:strike/>
          <w:color w:val="FF0000"/>
          <w:sz w:val="22"/>
        </w:rPr>
        <w:t>138</w:t>
      </w:r>
      <w:r>
        <w:rPr>
          <w:rFonts w:ascii="Times New Roman;sans-serif" w:hAnsi="Times New Roman;sans-serif"/>
          <w:b/>
          <w:color w:val="0000FF"/>
          <w:sz w:val="22"/>
          <w:u w:val="single"/>
        </w:rPr>
        <w:t>135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10.7</w:t>
      </w:r>
      <w:r>
        <w:rPr>
          <w:color w:val="000000"/>
        </w:rPr>
        <w:t>    </w:t>
      </w:r>
      <w:r>
        <w:rPr>
          <w:rFonts w:ascii="Times New Roman;sans-serif" w:hAnsi="Times New Roman;sans-serif"/>
          <w:b w:val="false"/>
          <w:color w:val="000000"/>
          <w:sz w:val="22"/>
        </w:rPr>
        <w:t>Permitted Activities    </w:t>
      </w:r>
      <w:r>
        <w:rPr>
          <w:rFonts w:ascii="Times New Roman;sans-serif" w:hAnsi="Times New Roman;sans-serif"/>
          <w:b/>
          <w:strike/>
          <w:color w:val="FF0000"/>
          <w:sz w:val="22"/>
        </w:rPr>
        <w:t>140</w:t>
      </w:r>
      <w:r>
        <w:rPr>
          <w:rFonts w:ascii="Times New Roman;sans-serif" w:hAnsi="Times New Roman;sans-serif"/>
          <w:b/>
          <w:color w:val="0000FF"/>
          <w:sz w:val="22"/>
          <w:u w:val="single"/>
        </w:rPr>
        <w:t>137</w:t>
      </w:r>
    </w:p>
    <w:p>
      <w:pPr>
        <w:pStyle w:val="TextBody"/>
        <w:bidi w:val="0"/>
        <w:spacing w:lineRule="auto" w:line="240" w:before="240" w:after="240"/>
        <w:jc w:val="both"/>
        <w:rPr/>
      </w:pPr>
      <w:r>
        <w:rPr>
          <w:rFonts w:ascii="Times New Roman;sans-serif" w:hAnsi="Times New Roman;sans-serif"/>
          <w:b w:val="false"/>
          <w:color w:val="000000"/>
          <w:sz w:val="22"/>
        </w:rPr>
        <w:t>Section 11.</w:t>
      </w:r>
      <w:r>
        <w:rPr>
          <w:color w:val="000000"/>
        </w:rPr>
        <w:t>    </w:t>
      </w:r>
      <w:r>
        <w:rPr>
          <w:rFonts w:ascii="Times New Roman;sans-serif" w:hAnsi="Times New Roman;sans-serif"/>
          <w:b w:val="false"/>
          <w:color w:val="000000"/>
          <w:sz w:val="22"/>
        </w:rPr>
        <w:t>Events of Default.    </w:t>
      </w:r>
      <w:r>
        <w:rPr>
          <w:rFonts w:ascii="Times New Roman;sans-serif" w:hAnsi="Times New Roman;sans-serif"/>
          <w:b/>
          <w:strike/>
          <w:color w:val="FF0000"/>
          <w:sz w:val="22"/>
        </w:rPr>
        <w:t>140</w:t>
      </w:r>
      <w:r>
        <w:rPr>
          <w:rFonts w:ascii="Times New Roman;sans-serif" w:hAnsi="Times New Roman;sans-serif"/>
          <w:b/>
          <w:color w:val="0000FF"/>
          <w:sz w:val="22"/>
          <w:u w:val="single"/>
        </w:rPr>
        <w:t>137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11.1</w:t>
      </w:r>
      <w:r>
        <w:rPr>
          <w:color w:val="000000"/>
        </w:rPr>
        <w:t>    </w:t>
      </w:r>
      <w:r>
        <w:rPr>
          <w:rFonts w:ascii="Times New Roman;sans-serif" w:hAnsi="Times New Roman;sans-serif"/>
          <w:b w:val="false"/>
          <w:color w:val="000000"/>
          <w:sz w:val="22"/>
        </w:rPr>
        <w:t>Payments    </w:t>
      </w:r>
      <w:r>
        <w:rPr>
          <w:rFonts w:ascii="Times New Roman;sans-serif" w:hAnsi="Times New Roman;sans-serif"/>
          <w:b/>
          <w:strike/>
          <w:color w:val="FF0000"/>
          <w:sz w:val="22"/>
        </w:rPr>
        <w:t>140</w:t>
      </w:r>
      <w:r>
        <w:rPr>
          <w:rFonts w:ascii="Times New Roman;sans-serif" w:hAnsi="Times New Roman;sans-serif"/>
          <w:b/>
          <w:color w:val="0000FF"/>
          <w:sz w:val="22"/>
          <w:u w:val="single"/>
        </w:rPr>
        <w:t>137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11.2</w:t>
      </w:r>
      <w:r>
        <w:rPr>
          <w:color w:val="000000"/>
        </w:rPr>
        <w:t>    </w:t>
      </w:r>
      <w:r>
        <w:rPr>
          <w:rFonts w:ascii="Times New Roman;sans-serif" w:hAnsi="Times New Roman;sans-serif"/>
          <w:b w:val="false"/>
          <w:color w:val="000000"/>
          <w:sz w:val="22"/>
        </w:rPr>
        <w:t>Representations, Etc.    </w:t>
      </w:r>
      <w:r>
        <w:rPr>
          <w:rFonts w:ascii="Times New Roman;sans-serif" w:hAnsi="Times New Roman;sans-serif"/>
          <w:b/>
          <w:strike/>
          <w:color w:val="FF0000"/>
          <w:sz w:val="22"/>
        </w:rPr>
        <w:t>140</w:t>
      </w:r>
      <w:r>
        <w:rPr>
          <w:rFonts w:ascii="Times New Roman;sans-serif" w:hAnsi="Times New Roman;sans-serif"/>
          <w:b/>
          <w:color w:val="0000FF"/>
          <w:sz w:val="22"/>
          <w:u w:val="single"/>
        </w:rPr>
        <w:t>137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11.3</w:t>
      </w:r>
      <w:r>
        <w:rPr>
          <w:color w:val="000000"/>
        </w:rPr>
        <w:t>    </w:t>
      </w:r>
      <w:r>
        <w:rPr>
          <w:rFonts w:ascii="Times New Roman;sans-serif" w:hAnsi="Times New Roman;sans-serif"/>
          <w:b w:val="false"/>
          <w:color w:val="000000"/>
          <w:sz w:val="22"/>
        </w:rPr>
        <w:t>Covenants    </w:t>
      </w:r>
      <w:r>
        <w:rPr>
          <w:rFonts w:ascii="Times New Roman;sans-serif" w:hAnsi="Times New Roman;sans-serif"/>
          <w:b/>
          <w:strike/>
          <w:color w:val="FF0000"/>
          <w:sz w:val="22"/>
        </w:rPr>
        <w:t>140</w:t>
      </w:r>
      <w:r>
        <w:rPr>
          <w:rFonts w:ascii="Times New Roman;sans-serif" w:hAnsi="Times New Roman;sans-serif"/>
          <w:b/>
          <w:color w:val="0000FF"/>
          <w:sz w:val="22"/>
          <w:u w:val="single"/>
        </w:rPr>
        <w:t>137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11.4</w:t>
      </w:r>
      <w:r>
        <w:rPr>
          <w:color w:val="000000"/>
        </w:rPr>
        <w:t>    </w:t>
      </w:r>
      <w:r>
        <w:rPr>
          <w:rFonts w:ascii="Times New Roman;sans-serif" w:hAnsi="Times New Roman;sans-serif"/>
          <w:b w:val="false"/>
          <w:color w:val="000000"/>
          <w:sz w:val="22"/>
        </w:rPr>
        <w:t>Default Under Other Agreements    </w:t>
      </w:r>
      <w:r>
        <w:rPr>
          <w:rFonts w:ascii="Times New Roman;sans-serif" w:hAnsi="Times New Roman;sans-serif"/>
          <w:b/>
          <w:strike/>
          <w:color w:val="FF0000"/>
          <w:sz w:val="22"/>
        </w:rPr>
        <w:t>141</w:t>
      </w:r>
      <w:r>
        <w:rPr>
          <w:rFonts w:ascii="Times New Roman;sans-serif" w:hAnsi="Times New Roman;sans-serif"/>
          <w:b/>
          <w:color w:val="0000FF"/>
          <w:sz w:val="22"/>
          <w:u w:val="single"/>
        </w:rPr>
        <w:t>138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11.5</w:t>
      </w:r>
      <w:r>
        <w:rPr>
          <w:color w:val="000000"/>
        </w:rPr>
        <w:t>    </w:t>
      </w:r>
      <w:r>
        <w:rPr>
          <w:rFonts w:ascii="Times New Roman;sans-serif" w:hAnsi="Times New Roman;sans-serif"/>
          <w:b w:val="false"/>
          <w:color w:val="000000"/>
          <w:sz w:val="22"/>
        </w:rPr>
        <w:t>Bankruptcy, Etc.    </w:t>
      </w:r>
      <w:r>
        <w:rPr>
          <w:rFonts w:ascii="Times New Roman;sans-serif" w:hAnsi="Times New Roman;sans-serif"/>
          <w:b/>
          <w:strike/>
          <w:color w:val="FF0000"/>
          <w:sz w:val="22"/>
        </w:rPr>
        <w:t>141</w:t>
      </w:r>
      <w:r>
        <w:rPr>
          <w:rFonts w:ascii="Times New Roman;sans-serif" w:hAnsi="Times New Roman;sans-serif"/>
          <w:b/>
          <w:color w:val="0000FF"/>
          <w:sz w:val="22"/>
          <w:u w:val="single"/>
        </w:rPr>
        <w:t>138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11.6</w:t>
      </w:r>
      <w:r>
        <w:rPr>
          <w:color w:val="000000"/>
        </w:rPr>
        <w:t>    </w:t>
      </w:r>
      <w:r>
        <w:rPr>
          <w:rFonts w:ascii="Times New Roman;sans-serif" w:hAnsi="Times New Roman;sans-serif"/>
          <w:b w:val="false"/>
          <w:color w:val="000000"/>
          <w:sz w:val="22"/>
        </w:rPr>
        <w:t>ERISA    </w:t>
      </w:r>
      <w:r>
        <w:rPr>
          <w:rFonts w:ascii="Times New Roman;sans-serif" w:hAnsi="Times New Roman;sans-serif"/>
          <w:b/>
          <w:strike/>
          <w:color w:val="FF0000"/>
          <w:sz w:val="22"/>
        </w:rPr>
        <w:t>142</w:t>
      </w:r>
      <w:r>
        <w:rPr>
          <w:rFonts w:ascii="Times New Roman;sans-serif" w:hAnsi="Times New Roman;sans-serif"/>
          <w:b/>
          <w:color w:val="0000FF"/>
          <w:sz w:val="22"/>
          <w:u w:val="single"/>
        </w:rPr>
        <w:t>139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11.7</w:t>
      </w:r>
      <w:r>
        <w:rPr>
          <w:color w:val="000000"/>
        </w:rPr>
        <w:t>    </w:t>
      </w:r>
      <w:r>
        <w:rPr>
          <w:rFonts w:ascii="Times New Roman;sans-serif" w:hAnsi="Times New Roman;sans-serif"/>
          <w:b w:val="false"/>
          <w:color w:val="000000"/>
          <w:sz w:val="22"/>
        </w:rPr>
        <w:t>Guarantee    </w:t>
      </w:r>
      <w:r>
        <w:rPr>
          <w:rFonts w:ascii="Times New Roman;sans-serif" w:hAnsi="Times New Roman;sans-serif"/>
          <w:b/>
          <w:strike/>
          <w:color w:val="FF0000"/>
          <w:sz w:val="22"/>
        </w:rPr>
        <w:t>142</w:t>
      </w:r>
      <w:r>
        <w:rPr>
          <w:rFonts w:ascii="Times New Roman;sans-serif" w:hAnsi="Times New Roman;sans-serif"/>
          <w:b/>
          <w:color w:val="0000FF"/>
          <w:sz w:val="22"/>
          <w:u w:val="single"/>
        </w:rPr>
        <w:t>139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11.8</w:t>
      </w:r>
      <w:r>
        <w:rPr>
          <w:color w:val="000000"/>
        </w:rPr>
        <w:t>    </w:t>
      </w:r>
      <w:r>
        <w:rPr>
          <w:rFonts w:ascii="Times New Roman;sans-serif" w:hAnsi="Times New Roman;sans-serif"/>
          <w:b w:val="false"/>
          <w:color w:val="000000"/>
          <w:sz w:val="22"/>
        </w:rPr>
        <w:t>Pledge Agreement    </w:t>
      </w:r>
      <w:r>
        <w:rPr>
          <w:rFonts w:ascii="Times New Roman;sans-serif" w:hAnsi="Times New Roman;sans-serif"/>
          <w:b/>
          <w:strike/>
          <w:color w:val="FF0000"/>
          <w:sz w:val="22"/>
        </w:rPr>
        <w:t>142</w:t>
      </w:r>
      <w:r>
        <w:rPr>
          <w:rFonts w:ascii="Times New Roman;sans-serif" w:hAnsi="Times New Roman;sans-serif"/>
          <w:b/>
          <w:color w:val="0000FF"/>
          <w:sz w:val="22"/>
          <w:u w:val="single"/>
        </w:rPr>
        <w:t>139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11.9</w:t>
      </w:r>
      <w:r>
        <w:rPr>
          <w:color w:val="000000"/>
        </w:rPr>
        <w:t>    </w:t>
      </w:r>
      <w:r>
        <w:rPr>
          <w:rFonts w:ascii="Times New Roman;sans-serif" w:hAnsi="Times New Roman;sans-serif"/>
          <w:b w:val="false"/>
          <w:color w:val="000000"/>
          <w:sz w:val="22"/>
        </w:rPr>
        <w:t>Security Agreement    </w:t>
      </w:r>
      <w:r>
        <w:rPr>
          <w:rFonts w:ascii="Times New Roman;sans-serif" w:hAnsi="Times New Roman;sans-serif"/>
          <w:b/>
          <w:strike/>
          <w:color w:val="FF0000"/>
          <w:sz w:val="22"/>
        </w:rPr>
        <w:t>142</w:t>
      </w:r>
      <w:r>
        <w:rPr>
          <w:rFonts w:ascii="Times New Roman;sans-serif" w:hAnsi="Times New Roman;sans-serif"/>
          <w:b/>
          <w:color w:val="0000FF"/>
          <w:sz w:val="22"/>
          <w:u w:val="single"/>
        </w:rPr>
        <w:t>139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11.10</w:t>
      </w:r>
      <w:r>
        <w:rPr>
          <w:color w:val="000000"/>
        </w:rPr>
        <w:t>    </w:t>
      </w:r>
      <w:r>
        <w:rPr>
          <w:rFonts w:ascii="Times New Roman;sans-serif" w:hAnsi="Times New Roman;sans-serif"/>
          <w:b w:val="false"/>
          <w:color w:val="000000"/>
          <w:sz w:val="22"/>
        </w:rPr>
        <w:t>Judgments    </w:t>
      </w:r>
      <w:r>
        <w:rPr>
          <w:rFonts w:ascii="Times New Roman;sans-serif" w:hAnsi="Times New Roman;sans-serif"/>
          <w:b/>
          <w:strike/>
          <w:color w:val="FF0000"/>
          <w:sz w:val="22"/>
        </w:rPr>
        <w:t>143</w:t>
      </w:r>
      <w:r>
        <w:rPr>
          <w:rFonts w:ascii="Times New Roman;sans-serif" w:hAnsi="Times New Roman;sans-serif"/>
          <w:b/>
          <w:color w:val="0000FF"/>
          <w:sz w:val="22"/>
          <w:u w:val="single"/>
        </w:rPr>
        <w:t>139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11.11</w:t>
      </w:r>
      <w:r>
        <w:rPr>
          <w:color w:val="000000"/>
        </w:rPr>
        <w:t>    </w:t>
      </w:r>
      <w:r>
        <w:rPr>
          <w:rFonts w:ascii="Times New Roman;sans-serif" w:hAnsi="Times New Roman;sans-serif"/>
          <w:b w:val="false"/>
          <w:color w:val="000000"/>
          <w:sz w:val="22"/>
        </w:rPr>
        <w:t>Change of Control    </w:t>
      </w:r>
      <w:r>
        <w:rPr>
          <w:rFonts w:ascii="Times New Roman;sans-serif" w:hAnsi="Times New Roman;sans-serif"/>
          <w:b/>
          <w:strike/>
          <w:color w:val="FF0000"/>
          <w:sz w:val="22"/>
        </w:rPr>
        <w:t>143</w:t>
      </w:r>
      <w:r>
        <w:rPr>
          <w:rFonts w:ascii="Times New Roman;sans-serif" w:hAnsi="Times New Roman;sans-serif"/>
          <w:b/>
          <w:color w:val="0000FF"/>
          <w:sz w:val="22"/>
          <w:u w:val="single"/>
        </w:rPr>
        <w:t>140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11.12</w:t>
      </w:r>
      <w:r>
        <w:rPr>
          <w:color w:val="000000"/>
        </w:rPr>
        <w:t>    </w:t>
      </w:r>
      <w:r>
        <w:rPr>
          <w:rFonts w:ascii="Times New Roman;sans-serif" w:hAnsi="Times New Roman;sans-serif"/>
          <w:b w:val="false"/>
          <w:color w:val="000000"/>
          <w:sz w:val="22"/>
        </w:rPr>
        <w:t>Application of Proceeds    </w:t>
      </w:r>
      <w:r>
        <w:rPr>
          <w:rFonts w:ascii="Times New Roman;sans-serif" w:hAnsi="Times New Roman;sans-serif"/>
          <w:b/>
          <w:strike/>
          <w:color w:val="FF0000"/>
          <w:sz w:val="22"/>
        </w:rPr>
        <w:t>143</w:t>
      </w:r>
      <w:r>
        <w:rPr>
          <w:rFonts w:ascii="Times New Roman;sans-serif" w:hAnsi="Times New Roman;sans-serif"/>
          <w:b/>
          <w:color w:val="0000FF"/>
          <w:sz w:val="22"/>
          <w:u w:val="single"/>
        </w:rPr>
        <w:t>140</w:t>
      </w:r>
    </w:p>
    <w:p>
      <w:pPr>
        <w:pStyle w:val="TextBody"/>
        <w:bidi w:val="0"/>
        <w:spacing w:lineRule="auto" w:line="240" w:before="240" w:after="240"/>
        <w:jc w:val="both"/>
        <w:rPr/>
      </w:pPr>
      <w:r>
        <w:rPr>
          <w:rFonts w:ascii="Times New Roman;sans-serif" w:hAnsi="Times New Roman;sans-serif"/>
          <w:b w:val="false"/>
          <w:color w:val="000000"/>
          <w:sz w:val="22"/>
        </w:rPr>
        <w:t>Section 12.</w:t>
      </w:r>
      <w:r>
        <w:rPr>
          <w:color w:val="000000"/>
        </w:rPr>
        <w:t>    </w:t>
      </w:r>
      <w:r>
        <w:rPr>
          <w:rFonts w:ascii="Times New Roman;sans-serif" w:hAnsi="Times New Roman;sans-serif"/>
          <w:b w:val="false"/>
          <w:color w:val="000000"/>
          <w:sz w:val="22"/>
        </w:rPr>
        <w:t>The Agents.    </w:t>
      </w:r>
      <w:r>
        <w:rPr>
          <w:rFonts w:ascii="Times New Roman;sans-serif" w:hAnsi="Times New Roman;sans-serif"/>
          <w:b/>
          <w:strike/>
          <w:color w:val="FF0000"/>
          <w:sz w:val="22"/>
        </w:rPr>
        <w:t>144</w:t>
      </w:r>
      <w:r>
        <w:rPr>
          <w:rFonts w:ascii="Times New Roman;sans-serif" w:hAnsi="Times New Roman;sans-serif"/>
          <w:b/>
          <w:color w:val="0000FF"/>
          <w:sz w:val="22"/>
          <w:u w:val="single"/>
        </w:rPr>
        <w:t>141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12.1</w:t>
      </w:r>
      <w:r>
        <w:rPr>
          <w:color w:val="000000"/>
        </w:rPr>
        <w:t>    </w:t>
      </w:r>
      <w:r>
        <w:rPr>
          <w:rFonts w:ascii="Times New Roman;sans-serif" w:hAnsi="Times New Roman;sans-serif"/>
          <w:b w:val="false"/>
          <w:color w:val="000000"/>
          <w:sz w:val="22"/>
        </w:rPr>
        <w:t>Appointment    </w:t>
      </w:r>
      <w:r>
        <w:rPr>
          <w:rFonts w:ascii="Times New Roman;sans-serif" w:hAnsi="Times New Roman;sans-serif"/>
          <w:b/>
          <w:strike/>
          <w:color w:val="FF0000"/>
          <w:sz w:val="22"/>
        </w:rPr>
        <w:t>144</w:t>
      </w:r>
      <w:r>
        <w:rPr>
          <w:rFonts w:ascii="Times New Roman;sans-serif" w:hAnsi="Times New Roman;sans-serif"/>
          <w:b/>
          <w:color w:val="0000FF"/>
          <w:sz w:val="22"/>
          <w:u w:val="single"/>
        </w:rPr>
        <w:t>141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12.2</w:t>
      </w:r>
      <w:r>
        <w:rPr>
          <w:color w:val="000000"/>
        </w:rPr>
        <w:t>    </w:t>
      </w:r>
      <w:r>
        <w:rPr>
          <w:rFonts w:ascii="Times New Roman;sans-serif" w:hAnsi="Times New Roman;sans-serif"/>
          <w:b w:val="false"/>
          <w:color w:val="000000"/>
          <w:sz w:val="22"/>
        </w:rPr>
        <w:t>Delegation of Duties    </w:t>
      </w:r>
      <w:r>
        <w:rPr>
          <w:rFonts w:ascii="Times New Roman;sans-serif" w:hAnsi="Times New Roman;sans-serif"/>
          <w:b/>
          <w:strike/>
          <w:color w:val="FF0000"/>
          <w:sz w:val="22"/>
        </w:rPr>
        <w:t>144</w:t>
      </w:r>
      <w:r>
        <w:rPr>
          <w:rFonts w:ascii="Times New Roman;sans-serif" w:hAnsi="Times New Roman;sans-serif"/>
          <w:b/>
          <w:color w:val="0000FF"/>
          <w:sz w:val="22"/>
          <w:u w:val="single"/>
        </w:rPr>
        <w:t>141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12.3</w:t>
      </w:r>
      <w:r>
        <w:rPr>
          <w:color w:val="000000"/>
        </w:rPr>
        <w:t>    </w:t>
      </w:r>
      <w:r>
        <w:rPr>
          <w:rFonts w:ascii="Times New Roman;sans-serif" w:hAnsi="Times New Roman;sans-serif"/>
          <w:b w:val="false"/>
          <w:color w:val="000000"/>
          <w:sz w:val="22"/>
        </w:rPr>
        <w:t>Exculpatory Provisions    </w:t>
      </w:r>
      <w:r>
        <w:rPr>
          <w:rFonts w:ascii="Times New Roman;sans-serif" w:hAnsi="Times New Roman;sans-serif"/>
          <w:b/>
          <w:strike/>
          <w:color w:val="FF0000"/>
          <w:sz w:val="22"/>
        </w:rPr>
        <w:t>145</w:t>
      </w:r>
      <w:r>
        <w:rPr>
          <w:rFonts w:ascii="Times New Roman;sans-serif" w:hAnsi="Times New Roman;sans-serif"/>
          <w:b/>
          <w:color w:val="0000FF"/>
          <w:sz w:val="22"/>
          <w:u w:val="single"/>
        </w:rPr>
        <w:t>141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12.4</w:t>
      </w:r>
      <w:r>
        <w:rPr>
          <w:color w:val="000000"/>
        </w:rPr>
        <w:t>    </w:t>
      </w:r>
      <w:r>
        <w:rPr>
          <w:rFonts w:ascii="Times New Roman;sans-serif" w:hAnsi="Times New Roman;sans-serif"/>
          <w:b w:val="false"/>
          <w:color w:val="000000"/>
          <w:sz w:val="22"/>
        </w:rPr>
        <w:t>Reliance by Agents    </w:t>
      </w:r>
      <w:r>
        <w:rPr>
          <w:rFonts w:ascii="Times New Roman;sans-serif" w:hAnsi="Times New Roman;sans-serif"/>
          <w:b/>
          <w:strike/>
          <w:color w:val="FF0000"/>
          <w:sz w:val="22"/>
        </w:rPr>
        <w:t>145</w:t>
      </w:r>
      <w:r>
        <w:rPr>
          <w:rFonts w:ascii="Times New Roman;sans-serif" w:hAnsi="Times New Roman;sans-serif"/>
          <w:b/>
          <w:color w:val="0000FF"/>
          <w:sz w:val="22"/>
          <w:u w:val="single"/>
        </w:rPr>
        <w:t>142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12.5</w:t>
      </w:r>
      <w:r>
        <w:rPr>
          <w:color w:val="000000"/>
        </w:rPr>
        <w:t>    </w:t>
      </w:r>
      <w:r>
        <w:rPr>
          <w:rFonts w:ascii="Times New Roman;sans-serif" w:hAnsi="Times New Roman;sans-serif"/>
          <w:b w:val="false"/>
          <w:color w:val="000000"/>
          <w:sz w:val="22"/>
        </w:rPr>
        <w:t>Notice of Default    </w:t>
      </w:r>
      <w:r>
        <w:rPr>
          <w:rFonts w:ascii="Times New Roman;sans-serif" w:hAnsi="Times New Roman;sans-serif"/>
          <w:b/>
          <w:strike/>
          <w:color w:val="FF0000"/>
          <w:sz w:val="22"/>
        </w:rPr>
        <w:t>146</w:t>
      </w:r>
      <w:r>
        <w:rPr>
          <w:rFonts w:ascii="Times New Roman;sans-serif" w:hAnsi="Times New Roman;sans-serif"/>
          <w:b/>
          <w:color w:val="0000FF"/>
          <w:sz w:val="22"/>
          <w:u w:val="single"/>
        </w:rPr>
        <w:t>142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12.6</w:t>
      </w:r>
      <w:r>
        <w:rPr>
          <w:color w:val="000000"/>
        </w:rPr>
        <w:t>    </w:t>
      </w:r>
      <w:r>
        <w:rPr>
          <w:rFonts w:ascii="Times New Roman;sans-serif" w:hAnsi="Times New Roman;sans-serif"/>
          <w:b w:val="false"/>
          <w:color w:val="000000"/>
          <w:sz w:val="22"/>
        </w:rPr>
        <w:t>Non-Reliance on Administrative Agent, Collateral Agent, and Other Lenders    </w:t>
      </w:r>
      <w:r>
        <w:rPr>
          <w:rFonts w:ascii="Times New Roman;sans-serif" w:hAnsi="Times New Roman;sans-serif"/>
          <w:b/>
          <w:strike/>
          <w:color w:val="FF0000"/>
          <w:sz w:val="22"/>
        </w:rPr>
        <w:t>146</w:t>
      </w:r>
      <w:r>
        <w:rPr>
          <w:rFonts w:ascii="Times New Roman;sans-serif" w:hAnsi="Times New Roman;sans-serif"/>
          <w:b/>
          <w:color w:val="0000FF"/>
          <w:sz w:val="22"/>
          <w:u w:val="single"/>
        </w:rPr>
        <w:t>143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12.7</w:t>
      </w:r>
      <w:r>
        <w:rPr>
          <w:color w:val="000000"/>
        </w:rPr>
        <w:t>    </w:t>
      </w:r>
      <w:r>
        <w:rPr>
          <w:rFonts w:ascii="Times New Roman;sans-serif" w:hAnsi="Times New Roman;sans-serif"/>
          <w:b w:val="false"/>
          <w:color w:val="000000"/>
          <w:sz w:val="22"/>
        </w:rPr>
        <w:t>Indemnification    </w:t>
      </w:r>
      <w:r>
        <w:rPr>
          <w:rFonts w:ascii="Times New Roman;sans-serif" w:hAnsi="Times New Roman;sans-serif"/>
          <w:b/>
          <w:strike/>
          <w:color w:val="FF0000"/>
          <w:sz w:val="22"/>
        </w:rPr>
        <w:t>146</w:t>
      </w:r>
      <w:r>
        <w:rPr>
          <w:rFonts w:ascii="Times New Roman;sans-serif" w:hAnsi="Times New Roman;sans-serif"/>
          <w:b/>
          <w:color w:val="0000FF"/>
          <w:sz w:val="22"/>
          <w:u w:val="single"/>
        </w:rPr>
        <w:t>143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12.8</w:t>
      </w:r>
      <w:r>
        <w:rPr>
          <w:color w:val="000000"/>
        </w:rPr>
        <w:t>    </w:t>
      </w:r>
      <w:r>
        <w:rPr>
          <w:rFonts w:ascii="Times New Roman;sans-serif" w:hAnsi="Times New Roman;sans-serif"/>
          <w:b w:val="false"/>
          <w:color w:val="000000"/>
          <w:sz w:val="22"/>
        </w:rPr>
        <w:t>Agents in Their Individual Capacities    </w:t>
      </w:r>
      <w:r>
        <w:rPr>
          <w:rFonts w:ascii="Times New Roman;sans-serif" w:hAnsi="Times New Roman;sans-serif"/>
          <w:b/>
          <w:strike/>
          <w:color w:val="FF0000"/>
          <w:sz w:val="22"/>
        </w:rPr>
        <w:t>147</w:t>
      </w:r>
      <w:r>
        <w:rPr>
          <w:rFonts w:ascii="Times New Roman;sans-serif" w:hAnsi="Times New Roman;sans-serif"/>
          <w:b/>
          <w:color w:val="0000FF"/>
          <w:sz w:val="22"/>
          <w:u w:val="single"/>
        </w:rPr>
        <w:t>144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12.9</w:t>
      </w:r>
      <w:r>
        <w:rPr>
          <w:color w:val="000000"/>
        </w:rPr>
        <w:t>    </w:t>
      </w:r>
      <w:r>
        <w:rPr>
          <w:rFonts w:ascii="Times New Roman;sans-serif" w:hAnsi="Times New Roman;sans-serif"/>
          <w:b w:val="false"/>
          <w:color w:val="000000"/>
          <w:sz w:val="22"/>
        </w:rPr>
        <w:t>Successor Agents    </w:t>
      </w:r>
      <w:r>
        <w:rPr>
          <w:rFonts w:ascii="Times New Roman;sans-serif" w:hAnsi="Times New Roman;sans-serif"/>
          <w:b/>
          <w:strike/>
          <w:color w:val="FF0000"/>
          <w:sz w:val="22"/>
        </w:rPr>
        <w:t>147</w:t>
      </w:r>
      <w:r>
        <w:rPr>
          <w:rFonts w:ascii="Times New Roman;sans-serif" w:hAnsi="Times New Roman;sans-serif"/>
          <w:b/>
          <w:color w:val="0000FF"/>
          <w:sz w:val="22"/>
          <w:u w:val="single"/>
        </w:rPr>
        <w:t>144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12.10</w:t>
      </w:r>
      <w:r>
        <w:rPr>
          <w:color w:val="000000"/>
        </w:rPr>
        <w:t>    </w:t>
      </w:r>
      <w:r>
        <w:rPr>
          <w:rFonts w:ascii="Times New Roman;sans-serif" w:hAnsi="Times New Roman;sans-serif"/>
          <w:b w:val="false"/>
          <w:color w:val="000000"/>
          <w:sz w:val="22"/>
        </w:rPr>
        <w:t>Withholding Tax    </w:t>
      </w:r>
      <w:r>
        <w:rPr>
          <w:rFonts w:ascii="Times New Roman;sans-serif" w:hAnsi="Times New Roman;sans-serif"/>
          <w:b/>
          <w:strike/>
          <w:color w:val="FF0000"/>
          <w:sz w:val="22"/>
        </w:rPr>
        <w:t>149</w:t>
      </w:r>
      <w:r>
        <w:rPr>
          <w:rFonts w:ascii="Times New Roman;sans-serif" w:hAnsi="Times New Roman;sans-serif"/>
          <w:b/>
          <w:color w:val="0000FF"/>
          <w:sz w:val="22"/>
          <w:u w:val="single"/>
        </w:rPr>
        <w:t>145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12.11</w:t>
      </w:r>
      <w:r>
        <w:rPr>
          <w:color w:val="000000"/>
        </w:rPr>
        <w:t>    </w:t>
      </w:r>
      <w:r>
        <w:rPr>
          <w:rFonts w:ascii="Times New Roman;sans-serif" w:hAnsi="Times New Roman;sans-serif"/>
          <w:b w:val="false"/>
          <w:color w:val="000000"/>
          <w:sz w:val="22"/>
        </w:rPr>
        <w:t>Agents Under Security Documents and Guarantee    </w:t>
      </w:r>
      <w:r>
        <w:rPr>
          <w:rFonts w:ascii="Times New Roman;sans-serif" w:hAnsi="Times New Roman;sans-serif"/>
          <w:b/>
          <w:strike/>
          <w:color w:val="FF0000"/>
          <w:sz w:val="22"/>
        </w:rPr>
        <w:t>149</w:t>
      </w:r>
      <w:r>
        <w:rPr>
          <w:rFonts w:ascii="Times New Roman;sans-serif" w:hAnsi="Times New Roman;sans-serif"/>
          <w:b/>
          <w:color w:val="0000FF"/>
          <w:sz w:val="22"/>
          <w:u w:val="single"/>
        </w:rPr>
        <w:t>146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12.12</w:t>
      </w:r>
      <w:r>
        <w:rPr>
          <w:color w:val="000000"/>
        </w:rPr>
        <w:t>    </w:t>
      </w:r>
      <w:r>
        <w:rPr>
          <w:rFonts w:ascii="Times New Roman;sans-serif" w:hAnsi="Times New Roman;sans-serif"/>
          <w:b w:val="false"/>
          <w:color w:val="000000"/>
          <w:sz w:val="22"/>
        </w:rPr>
        <w:t>Right to Realize on Collateral and Enforce Guarantee    </w:t>
      </w:r>
      <w:r>
        <w:rPr>
          <w:rFonts w:ascii="Times New Roman;sans-serif" w:hAnsi="Times New Roman;sans-serif"/>
          <w:b/>
          <w:strike/>
          <w:color w:val="FF0000"/>
          <w:sz w:val="22"/>
        </w:rPr>
        <w:t>150</w:t>
      </w:r>
      <w:r>
        <w:rPr>
          <w:rFonts w:ascii="Times New Roman;sans-serif" w:hAnsi="Times New Roman;sans-serif"/>
          <w:b/>
          <w:color w:val="0000FF"/>
          <w:sz w:val="22"/>
          <w:u w:val="single"/>
        </w:rPr>
        <w:t>147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12.13</w:t>
      </w:r>
      <w:r>
        <w:rPr>
          <w:color w:val="000000"/>
        </w:rPr>
        <w:t>    </w:t>
      </w:r>
      <w:r>
        <w:rPr>
          <w:rFonts w:ascii="Times New Roman;sans-serif" w:hAnsi="Times New Roman;sans-serif"/>
          <w:b w:val="false"/>
          <w:color w:val="000000"/>
          <w:sz w:val="22"/>
        </w:rPr>
        <w:t>Intercreditor Agreement Governs    </w:t>
      </w:r>
      <w:r>
        <w:rPr>
          <w:rFonts w:ascii="Times New Roman;sans-serif" w:hAnsi="Times New Roman;sans-serif"/>
          <w:b/>
          <w:strike/>
          <w:color w:val="FF0000"/>
          <w:sz w:val="22"/>
        </w:rPr>
        <w:t>150</w:t>
      </w:r>
      <w:r>
        <w:rPr>
          <w:rFonts w:ascii="Times New Roman;sans-serif" w:hAnsi="Times New Roman;sans-serif"/>
          <w:b/>
          <w:color w:val="0000FF"/>
          <w:sz w:val="22"/>
          <w:u w:val="single"/>
        </w:rPr>
        <w:t>147</w:t>
      </w:r>
    </w:p>
    <w:p>
      <w:pPr>
        <w:pStyle w:val="TextBody"/>
        <w:bidi w:val="0"/>
        <w:spacing w:lineRule="auto" w:line="240"/>
        <w:ind w:left="0" w:right="0" w:hanging="900"/>
        <w:jc w:val="both"/>
        <w:rPr/>
      </w:pPr>
      <w:r>
        <w:rPr>
          <w:rFonts w:ascii="Times New Roman;sans-serif" w:hAnsi="Times New Roman;sans-serif"/>
          <w:b w:val="false"/>
          <w:color w:val="000000"/>
          <w:sz w:val="22"/>
        </w:rPr>
        <w:t>12.14</w:t>
      </w:r>
      <w:r>
        <w:rPr>
          <w:color w:val="000000"/>
        </w:rPr>
        <w:t>    </w:t>
      </w:r>
      <w:r>
        <w:rPr>
          <w:rFonts w:ascii="Times New Roman;sans-serif" w:hAnsi="Times New Roman;sans-serif"/>
          <w:b w:val="false"/>
          <w:color w:val="000000"/>
          <w:sz w:val="22"/>
        </w:rPr>
        <w:t>Erroneous Payments    </w:t>
      </w:r>
      <w:r>
        <w:rPr>
          <w:rFonts w:ascii="Times New Roman;sans-serif" w:hAnsi="Times New Roman;sans-serif"/>
          <w:b/>
          <w:strike/>
          <w:color w:val="FF0000"/>
          <w:sz w:val="22"/>
        </w:rPr>
        <w:t>151</w:t>
      </w:r>
      <w:r>
        <w:rPr>
          <w:rFonts w:ascii="Times New Roman;sans-serif" w:hAnsi="Times New Roman;sans-serif"/>
          <w:b/>
          <w:color w:val="0000FF"/>
          <w:sz w:val="22"/>
          <w:u w:val="single"/>
        </w:rPr>
        <w:t>147</w:t>
      </w:r>
    </w:p>
    <w:p>
      <w:pPr>
        <w:pStyle w:val="TextBody"/>
        <w:bidi w:val="0"/>
        <w:spacing w:lineRule="auto" w:line="556"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49"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60.6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ans-serif" w:hAnsi="Times New Roman;sans-serif"/>
          <w:b w:val="false"/>
          <w:color w:val="000000"/>
          <w:sz w:val="22"/>
        </w:rPr>
        <w:t>Section 13.</w:t>
      </w:r>
      <w:r>
        <w:rPr>
          <w:color w:val="000000"/>
        </w:rPr>
        <w:t>    </w:t>
      </w:r>
      <w:r>
        <w:rPr>
          <w:rFonts w:ascii="Times New Roman;sans-serif" w:hAnsi="Times New Roman;sans-serif"/>
          <w:b w:val="false"/>
          <w:color w:val="000000"/>
          <w:sz w:val="22"/>
        </w:rPr>
        <w:t>Miscellaneous.    </w:t>
      </w:r>
      <w:r>
        <w:rPr>
          <w:rFonts w:ascii="Times New Roman;sans-serif" w:hAnsi="Times New Roman;sans-serif"/>
          <w:b/>
          <w:strike/>
          <w:color w:val="FF0000"/>
          <w:sz w:val="22"/>
        </w:rPr>
        <w:t>152</w:t>
      </w:r>
      <w:r>
        <w:rPr>
          <w:rFonts w:ascii="Times New Roman;sans-serif" w:hAnsi="Times New Roman;sans-serif"/>
          <w:b/>
          <w:color w:val="0000FF"/>
          <w:sz w:val="22"/>
          <w:u w:val="single"/>
        </w:rPr>
        <w:t>149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w:t>
      </w:r>
      <w:r>
        <w:rPr>
          <w:color w:val="000000"/>
        </w:rPr>
        <w:t>    </w:t>
      </w:r>
      <w:r>
        <w:rPr>
          <w:rFonts w:ascii="Times New Roman;sans-serif" w:hAnsi="Times New Roman;sans-serif"/>
          <w:b w:val="false"/>
          <w:color w:val="000000"/>
          <w:sz w:val="22"/>
        </w:rPr>
        <w:t>Amendments, Waivers, and Releases    </w:t>
      </w:r>
      <w:r>
        <w:rPr>
          <w:rFonts w:ascii="Times New Roman;sans-serif" w:hAnsi="Times New Roman;sans-serif"/>
          <w:b/>
          <w:strike/>
          <w:color w:val="FF0000"/>
          <w:sz w:val="22"/>
        </w:rPr>
        <w:t>152</w:t>
      </w:r>
      <w:r>
        <w:rPr>
          <w:rFonts w:ascii="Times New Roman;sans-serif" w:hAnsi="Times New Roman;sans-serif"/>
          <w:b/>
          <w:color w:val="0000FF"/>
          <w:sz w:val="22"/>
          <w:u w:val="single"/>
        </w:rPr>
        <w:t>149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13.2</w:t>
      </w:r>
      <w:r>
        <w:rPr>
          <w:color w:val="000000"/>
        </w:rPr>
        <w:t>    </w:t>
      </w:r>
      <w:r>
        <w:rPr>
          <w:rFonts w:ascii="Times New Roman;sans-serif" w:hAnsi="Times New Roman;sans-serif"/>
          <w:b w:val="false"/>
          <w:color w:val="000000"/>
          <w:sz w:val="22"/>
        </w:rPr>
        <w:t>Notices    </w:t>
      </w:r>
      <w:r>
        <w:rPr>
          <w:rFonts w:ascii="Times New Roman;sans-serif" w:hAnsi="Times New Roman;sans-serif"/>
          <w:b/>
          <w:strike/>
          <w:color w:val="FF0000"/>
          <w:sz w:val="22"/>
        </w:rPr>
        <w:t>157</w:t>
      </w:r>
      <w:r>
        <w:rPr>
          <w:rFonts w:ascii="Times New Roman;sans-serif" w:hAnsi="Times New Roman;sans-serif"/>
          <w:b/>
          <w:color w:val="0000FF"/>
          <w:sz w:val="22"/>
          <w:u w:val="single"/>
        </w:rPr>
        <w:t>153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13.3</w:t>
      </w:r>
      <w:r>
        <w:rPr>
          <w:color w:val="000000"/>
        </w:rPr>
        <w:t>    </w:t>
      </w:r>
      <w:r>
        <w:rPr>
          <w:rFonts w:ascii="Times New Roman;sans-serif" w:hAnsi="Times New Roman;sans-serif"/>
          <w:b w:val="false"/>
          <w:color w:val="000000"/>
          <w:sz w:val="22"/>
        </w:rPr>
        <w:t>No Waiver; Cumulative Remedies    </w:t>
      </w:r>
      <w:r>
        <w:rPr>
          <w:rFonts w:ascii="Times New Roman;sans-serif" w:hAnsi="Times New Roman;sans-serif"/>
          <w:b/>
          <w:strike/>
          <w:color w:val="FF0000"/>
          <w:sz w:val="22"/>
        </w:rPr>
        <w:t>157</w:t>
      </w:r>
      <w:r>
        <w:rPr>
          <w:rFonts w:ascii="Times New Roman;sans-serif" w:hAnsi="Times New Roman;sans-serif"/>
          <w:b/>
          <w:color w:val="0000FF"/>
          <w:sz w:val="22"/>
          <w:u w:val="single"/>
        </w:rPr>
        <w:t>154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13.4</w:t>
      </w:r>
      <w:r>
        <w:rPr>
          <w:color w:val="000000"/>
        </w:rPr>
        <w:t>    </w:t>
      </w:r>
      <w:r>
        <w:rPr>
          <w:rFonts w:ascii="Times New Roman;sans-serif" w:hAnsi="Times New Roman;sans-serif"/>
          <w:b w:val="false"/>
          <w:color w:val="000000"/>
          <w:sz w:val="22"/>
        </w:rPr>
        <w:t>Survival of Representations and Warranties    </w:t>
      </w:r>
      <w:r>
        <w:rPr>
          <w:rFonts w:ascii="Times New Roman;sans-serif" w:hAnsi="Times New Roman;sans-serif"/>
          <w:b/>
          <w:strike/>
          <w:color w:val="FF0000"/>
          <w:sz w:val="22"/>
        </w:rPr>
        <w:t>157</w:t>
      </w:r>
      <w:r>
        <w:rPr>
          <w:rFonts w:ascii="Times New Roman;sans-serif" w:hAnsi="Times New Roman;sans-serif"/>
          <w:b/>
          <w:color w:val="0000FF"/>
          <w:sz w:val="22"/>
          <w:u w:val="single"/>
        </w:rPr>
        <w:t>154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13.5</w:t>
      </w:r>
      <w:r>
        <w:rPr>
          <w:color w:val="000000"/>
        </w:rPr>
        <w:t>    </w:t>
      </w:r>
      <w:r>
        <w:rPr>
          <w:rFonts w:ascii="Times New Roman;sans-serif" w:hAnsi="Times New Roman;sans-serif"/>
          <w:b w:val="false"/>
          <w:color w:val="000000"/>
          <w:sz w:val="22"/>
        </w:rPr>
        <w:t>Payment of Expenses; Indemnification    </w:t>
      </w:r>
      <w:r>
        <w:rPr>
          <w:rFonts w:ascii="Times New Roman;sans-serif" w:hAnsi="Times New Roman;sans-serif"/>
          <w:b/>
          <w:strike/>
          <w:color w:val="FF0000"/>
          <w:sz w:val="22"/>
        </w:rPr>
        <w:t>158</w:t>
      </w:r>
      <w:r>
        <w:rPr>
          <w:rFonts w:ascii="Times New Roman;sans-serif" w:hAnsi="Times New Roman;sans-serif"/>
          <w:b/>
          <w:color w:val="0000FF"/>
          <w:sz w:val="22"/>
          <w:u w:val="single"/>
        </w:rPr>
        <w:t>154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13.6</w:t>
      </w:r>
      <w:r>
        <w:rPr>
          <w:color w:val="000000"/>
        </w:rPr>
        <w:t>    </w:t>
      </w:r>
      <w:r>
        <w:rPr>
          <w:rFonts w:ascii="Times New Roman;sans-serif" w:hAnsi="Times New Roman;sans-serif"/>
          <w:b w:val="false"/>
          <w:color w:val="000000"/>
          <w:sz w:val="22"/>
        </w:rPr>
        <w:t>Successors and Assigns; Participations and Assignments    </w:t>
      </w:r>
      <w:r>
        <w:rPr>
          <w:rFonts w:ascii="Times New Roman;sans-serif" w:hAnsi="Times New Roman;sans-serif"/>
          <w:b/>
          <w:strike/>
          <w:color w:val="FF0000"/>
          <w:sz w:val="22"/>
        </w:rPr>
        <w:t>159</w:t>
      </w:r>
      <w:r>
        <w:rPr>
          <w:rFonts w:ascii="Times New Roman;sans-serif" w:hAnsi="Times New Roman;sans-serif"/>
          <w:b/>
          <w:color w:val="0000FF"/>
          <w:sz w:val="22"/>
          <w:u w:val="single"/>
        </w:rPr>
        <w:t>155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13.7</w:t>
      </w:r>
      <w:r>
        <w:rPr>
          <w:color w:val="000000"/>
        </w:rPr>
        <w:t>    </w:t>
      </w:r>
      <w:r>
        <w:rPr>
          <w:rFonts w:ascii="Times New Roman;sans-serif" w:hAnsi="Times New Roman;sans-serif"/>
          <w:b w:val="false"/>
          <w:color w:val="000000"/>
          <w:sz w:val="22"/>
        </w:rPr>
        <w:t>Replacements of Lenders Under Certain Circumstances    </w:t>
      </w:r>
      <w:r>
        <w:rPr>
          <w:rFonts w:ascii="Times New Roman;sans-serif" w:hAnsi="Times New Roman;sans-serif"/>
          <w:b/>
          <w:strike/>
          <w:color w:val="FF0000"/>
          <w:sz w:val="22"/>
        </w:rPr>
        <w:t>165</w:t>
      </w:r>
      <w:r>
        <w:rPr>
          <w:rFonts w:ascii="Times New Roman;sans-serif" w:hAnsi="Times New Roman;sans-serif"/>
          <w:b/>
          <w:color w:val="0000FF"/>
          <w:sz w:val="22"/>
          <w:u w:val="single"/>
        </w:rPr>
        <w:t>161</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13.8</w:t>
      </w:r>
      <w:r>
        <w:rPr>
          <w:color w:val="000000"/>
        </w:rPr>
        <w:t>    </w:t>
      </w:r>
      <w:r>
        <w:rPr>
          <w:rFonts w:ascii="Times New Roman;sans-serif" w:hAnsi="Times New Roman;sans-serif"/>
          <w:b w:val="false"/>
          <w:color w:val="000000"/>
          <w:sz w:val="22"/>
        </w:rPr>
        <w:t>Adjustments; Set-off    </w:t>
      </w:r>
      <w:r>
        <w:rPr>
          <w:rFonts w:ascii="Times New Roman;sans-serif" w:hAnsi="Times New Roman;sans-serif"/>
          <w:b/>
          <w:strike/>
          <w:color w:val="FF0000"/>
          <w:sz w:val="22"/>
        </w:rPr>
        <w:t>165</w:t>
      </w:r>
      <w:r>
        <w:rPr>
          <w:rFonts w:ascii="Times New Roman;sans-serif" w:hAnsi="Times New Roman;sans-serif"/>
          <w:b/>
          <w:color w:val="0000FF"/>
          <w:sz w:val="22"/>
          <w:u w:val="single"/>
        </w:rPr>
        <w:t>162</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13.9</w:t>
      </w:r>
      <w:r>
        <w:rPr>
          <w:color w:val="000000"/>
        </w:rPr>
        <w:t>    </w:t>
      </w:r>
      <w:r>
        <w:rPr>
          <w:rFonts w:ascii="Times New Roman;sans-serif" w:hAnsi="Times New Roman;sans-serif"/>
          <w:b w:val="false"/>
          <w:color w:val="000000"/>
          <w:sz w:val="22"/>
        </w:rPr>
        <w:t>Counterparts    </w:t>
      </w:r>
      <w:r>
        <w:rPr>
          <w:rFonts w:ascii="Times New Roman;sans-serif" w:hAnsi="Times New Roman;sans-serif"/>
          <w:b/>
          <w:strike/>
          <w:color w:val="FF0000"/>
          <w:sz w:val="22"/>
        </w:rPr>
        <w:t>166</w:t>
      </w:r>
      <w:r>
        <w:rPr>
          <w:rFonts w:ascii="Times New Roman;sans-serif" w:hAnsi="Times New Roman;sans-serif"/>
          <w:b/>
          <w:color w:val="0000FF"/>
          <w:sz w:val="22"/>
          <w:u w:val="single"/>
        </w:rPr>
        <w:t>163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13.10</w:t>
      </w:r>
      <w:r>
        <w:rPr>
          <w:color w:val="000000"/>
        </w:rPr>
        <w:t>    </w:t>
      </w:r>
      <w:r>
        <w:rPr>
          <w:rFonts w:ascii="Times New Roman;sans-serif" w:hAnsi="Times New Roman;sans-serif"/>
          <w:b w:val="false"/>
          <w:color w:val="000000"/>
          <w:sz w:val="22"/>
        </w:rPr>
        <w:t>Severability    </w:t>
      </w:r>
      <w:r>
        <w:rPr>
          <w:rFonts w:ascii="Times New Roman;sans-serif" w:hAnsi="Times New Roman;sans-serif"/>
          <w:b/>
          <w:strike/>
          <w:color w:val="FF0000"/>
          <w:sz w:val="22"/>
        </w:rPr>
        <w:t>166</w:t>
      </w:r>
      <w:r>
        <w:rPr>
          <w:rFonts w:ascii="Times New Roman;sans-serif" w:hAnsi="Times New Roman;sans-serif"/>
          <w:b/>
          <w:color w:val="0000FF"/>
          <w:sz w:val="22"/>
          <w:u w:val="single"/>
        </w:rPr>
        <w:t>163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13.11</w:t>
      </w:r>
      <w:r>
        <w:rPr>
          <w:color w:val="000000"/>
        </w:rPr>
        <w:t>    </w:t>
      </w:r>
      <w:r>
        <w:rPr>
          <w:rFonts w:ascii="Times New Roman;sans-serif" w:hAnsi="Times New Roman;sans-serif"/>
          <w:b w:val="false"/>
          <w:color w:val="000000"/>
          <w:sz w:val="22"/>
        </w:rPr>
        <w:t>Integration    </w:t>
      </w:r>
      <w:r>
        <w:rPr>
          <w:rFonts w:ascii="Times New Roman;sans-serif" w:hAnsi="Times New Roman;sans-serif"/>
          <w:b/>
          <w:strike/>
          <w:color w:val="FF0000"/>
          <w:sz w:val="22"/>
        </w:rPr>
        <w:t>166</w:t>
      </w:r>
      <w:r>
        <w:rPr>
          <w:rFonts w:ascii="Times New Roman;sans-serif" w:hAnsi="Times New Roman;sans-serif"/>
          <w:b/>
          <w:color w:val="0000FF"/>
          <w:sz w:val="22"/>
          <w:u w:val="single"/>
        </w:rPr>
        <w:t>163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13.12</w:t>
      </w:r>
      <w:r>
        <w:rPr>
          <w:color w:val="000000"/>
        </w:rPr>
        <w:t>    </w:t>
      </w:r>
      <w:r>
        <w:rPr>
          <w:rFonts w:ascii="Times New Roman;sans-serif" w:hAnsi="Times New Roman;sans-serif"/>
          <w:b w:val="false"/>
          <w:color w:val="000000"/>
          <w:sz w:val="22"/>
        </w:rPr>
        <w:t>GOVERNING LAW    </w:t>
      </w:r>
      <w:r>
        <w:rPr>
          <w:rFonts w:ascii="Times New Roman;sans-serif" w:hAnsi="Times New Roman;sans-serif"/>
          <w:b/>
          <w:strike/>
          <w:color w:val="FF0000"/>
          <w:sz w:val="22"/>
        </w:rPr>
        <w:t>167</w:t>
      </w:r>
      <w:r>
        <w:rPr>
          <w:rFonts w:ascii="Times New Roman;sans-serif" w:hAnsi="Times New Roman;sans-serif"/>
          <w:b/>
          <w:color w:val="0000FF"/>
          <w:sz w:val="22"/>
          <w:u w:val="single"/>
        </w:rPr>
        <w:t>163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13.13</w:t>
      </w:r>
      <w:r>
        <w:rPr>
          <w:color w:val="000000"/>
        </w:rPr>
        <w:t>    </w:t>
      </w:r>
      <w:r>
        <w:rPr>
          <w:rFonts w:ascii="Times New Roman;sans-serif" w:hAnsi="Times New Roman;sans-serif"/>
          <w:b w:val="false"/>
          <w:color w:val="000000"/>
          <w:sz w:val="22"/>
        </w:rPr>
        <w:t>Submission to Jurisdiction; Waivers    </w:t>
      </w:r>
      <w:r>
        <w:rPr>
          <w:rFonts w:ascii="Times New Roman;sans-serif" w:hAnsi="Times New Roman;sans-serif"/>
          <w:b/>
          <w:strike/>
          <w:color w:val="FF0000"/>
          <w:sz w:val="22"/>
        </w:rPr>
        <w:t>167</w:t>
      </w:r>
      <w:r>
        <w:rPr>
          <w:rFonts w:ascii="Times New Roman;sans-serif" w:hAnsi="Times New Roman;sans-serif"/>
          <w:b/>
          <w:color w:val="0000FF"/>
          <w:sz w:val="22"/>
          <w:u w:val="single"/>
        </w:rPr>
        <w:t>163</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13.14</w:t>
      </w:r>
      <w:r>
        <w:rPr>
          <w:color w:val="000000"/>
        </w:rPr>
        <w:t>    </w:t>
      </w:r>
      <w:r>
        <w:rPr>
          <w:rFonts w:ascii="Times New Roman;sans-serif" w:hAnsi="Times New Roman;sans-serif"/>
          <w:b w:val="false"/>
          <w:color w:val="000000"/>
          <w:sz w:val="22"/>
        </w:rPr>
        <w:t>Acknowledgments    </w:t>
      </w:r>
      <w:r>
        <w:rPr>
          <w:rFonts w:ascii="Times New Roman;sans-serif" w:hAnsi="Times New Roman;sans-serif"/>
          <w:b/>
          <w:strike/>
          <w:color w:val="FF0000"/>
          <w:sz w:val="22"/>
        </w:rPr>
        <w:t>167</w:t>
      </w:r>
      <w:r>
        <w:rPr>
          <w:rFonts w:ascii="Times New Roman;sans-serif" w:hAnsi="Times New Roman;sans-serif"/>
          <w:b/>
          <w:color w:val="0000FF"/>
          <w:sz w:val="22"/>
          <w:u w:val="single"/>
        </w:rPr>
        <w:t>164</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13.15</w:t>
      </w:r>
      <w:r>
        <w:rPr>
          <w:color w:val="000000"/>
        </w:rPr>
        <w:t>    </w:t>
      </w:r>
      <w:r>
        <w:rPr>
          <w:rFonts w:ascii="Times New Roman;sans-serif" w:hAnsi="Times New Roman;sans-serif"/>
          <w:b w:val="false"/>
          <w:color w:val="000000"/>
          <w:sz w:val="22"/>
        </w:rPr>
        <w:t>WAIVERS OF JURY TRIAL    </w:t>
      </w:r>
      <w:r>
        <w:rPr>
          <w:rFonts w:ascii="Times New Roman;sans-serif" w:hAnsi="Times New Roman;sans-serif"/>
          <w:b/>
          <w:strike/>
          <w:color w:val="FF0000"/>
          <w:sz w:val="22"/>
        </w:rPr>
        <w:t>168</w:t>
      </w:r>
      <w:r>
        <w:rPr>
          <w:rFonts w:ascii="Times New Roman;sans-serif" w:hAnsi="Times New Roman;sans-serif"/>
          <w:b/>
          <w:color w:val="0000FF"/>
          <w:sz w:val="22"/>
          <w:u w:val="single"/>
        </w:rPr>
        <w:t>165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13.16</w:t>
      </w:r>
      <w:r>
        <w:rPr>
          <w:color w:val="000000"/>
        </w:rPr>
        <w:t>    </w:t>
      </w:r>
      <w:r>
        <w:rPr>
          <w:rFonts w:ascii="Times New Roman;sans-serif" w:hAnsi="Times New Roman;sans-serif"/>
          <w:b w:val="false"/>
          <w:color w:val="000000"/>
          <w:sz w:val="22"/>
        </w:rPr>
        <w:t>Confidentiality    </w:t>
      </w:r>
      <w:r>
        <w:rPr>
          <w:rFonts w:ascii="Times New Roman;sans-serif" w:hAnsi="Times New Roman;sans-serif"/>
          <w:b/>
          <w:strike/>
          <w:color w:val="FF0000"/>
          <w:sz w:val="22"/>
        </w:rPr>
        <w:t>168</w:t>
      </w:r>
      <w:r>
        <w:rPr>
          <w:rFonts w:ascii="Times New Roman;sans-serif" w:hAnsi="Times New Roman;sans-serif"/>
          <w:b/>
          <w:color w:val="0000FF"/>
          <w:sz w:val="22"/>
          <w:u w:val="single"/>
        </w:rPr>
        <w:t>165</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13.17</w:t>
      </w:r>
      <w:r>
        <w:rPr>
          <w:color w:val="000000"/>
        </w:rPr>
        <w:t>    </w:t>
      </w:r>
      <w:r>
        <w:rPr>
          <w:rFonts w:ascii="Times New Roman;sans-serif" w:hAnsi="Times New Roman;sans-serif"/>
          <w:b w:val="false"/>
          <w:color w:val="000000"/>
          <w:sz w:val="22"/>
        </w:rPr>
        <w:t>Direct Website Communications    </w:t>
      </w:r>
      <w:r>
        <w:rPr>
          <w:rFonts w:ascii="Times New Roman;sans-serif" w:hAnsi="Times New Roman;sans-serif"/>
          <w:b/>
          <w:strike/>
          <w:color w:val="FF0000"/>
          <w:sz w:val="22"/>
        </w:rPr>
        <w:t>170</w:t>
      </w:r>
      <w:r>
        <w:rPr>
          <w:rFonts w:ascii="Times New Roman;sans-serif" w:hAnsi="Times New Roman;sans-serif"/>
          <w:b/>
          <w:color w:val="0000FF"/>
          <w:sz w:val="22"/>
          <w:u w:val="single"/>
        </w:rPr>
        <w:t>166</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13.18</w:t>
      </w:r>
      <w:r>
        <w:rPr>
          <w:color w:val="000000"/>
        </w:rPr>
        <w:t>    </w:t>
      </w:r>
      <w:r>
        <w:rPr>
          <w:rFonts w:ascii="Times New Roman;sans-serif" w:hAnsi="Times New Roman;sans-serif"/>
          <w:b w:val="false"/>
          <w:color w:val="000000"/>
          <w:sz w:val="22"/>
        </w:rPr>
        <w:t>USA PATRIOT Act    </w:t>
      </w:r>
      <w:r>
        <w:rPr>
          <w:rFonts w:ascii="Times New Roman;sans-serif" w:hAnsi="Times New Roman;sans-serif"/>
          <w:b/>
          <w:strike/>
          <w:color w:val="FF0000"/>
          <w:sz w:val="22"/>
        </w:rPr>
        <w:t>171</w:t>
      </w:r>
      <w:r>
        <w:rPr>
          <w:rFonts w:ascii="Times New Roman;sans-serif" w:hAnsi="Times New Roman;sans-serif"/>
          <w:b/>
          <w:color w:val="0000FF"/>
          <w:sz w:val="22"/>
          <w:u w:val="single"/>
        </w:rPr>
        <w:t>167</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13.19</w:t>
      </w:r>
      <w:r>
        <w:rPr>
          <w:color w:val="000000"/>
        </w:rPr>
        <w:t>    </w:t>
      </w:r>
      <w:r>
        <w:rPr>
          <w:rFonts w:ascii="Times New Roman;sans-serif" w:hAnsi="Times New Roman;sans-serif"/>
          <w:b w:val="false"/>
          <w:color w:val="000000"/>
          <w:sz w:val="22"/>
        </w:rPr>
        <w:t>Cashless Settlement    </w:t>
      </w:r>
      <w:r>
        <w:rPr>
          <w:rFonts w:ascii="Times New Roman;sans-serif" w:hAnsi="Times New Roman;sans-serif"/>
          <w:b/>
          <w:strike/>
          <w:color w:val="FF0000"/>
          <w:sz w:val="22"/>
        </w:rPr>
        <w:t>171</w:t>
      </w:r>
      <w:r>
        <w:rPr>
          <w:rFonts w:ascii="Times New Roman;sans-serif" w:hAnsi="Times New Roman;sans-serif"/>
          <w:b/>
          <w:color w:val="0000FF"/>
          <w:sz w:val="22"/>
          <w:u w:val="single"/>
        </w:rPr>
        <w:t>168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13.20</w:t>
      </w:r>
      <w:r>
        <w:rPr>
          <w:color w:val="000000"/>
        </w:rPr>
        <w:t>    </w:t>
      </w:r>
      <w:r>
        <w:rPr>
          <w:rFonts w:ascii="Times New Roman;sans-serif" w:hAnsi="Times New Roman;sans-serif"/>
          <w:b w:val="false"/>
          <w:color w:val="000000"/>
          <w:sz w:val="22"/>
        </w:rPr>
        <w:t>Payments Set Aside    </w:t>
      </w:r>
      <w:r>
        <w:rPr>
          <w:rFonts w:ascii="Times New Roman;sans-serif" w:hAnsi="Times New Roman;sans-serif"/>
          <w:b/>
          <w:strike/>
          <w:color w:val="FF0000"/>
          <w:sz w:val="22"/>
        </w:rPr>
        <w:t>171</w:t>
      </w:r>
      <w:r>
        <w:rPr>
          <w:rFonts w:ascii="Times New Roman;sans-serif" w:hAnsi="Times New Roman;sans-serif"/>
          <w:b/>
          <w:color w:val="0000FF"/>
          <w:sz w:val="22"/>
          <w:u w:val="single"/>
        </w:rPr>
        <w:t>168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13.21</w:t>
      </w:r>
      <w:r>
        <w:rPr>
          <w:color w:val="000000"/>
        </w:rPr>
        <w:t>    </w:t>
      </w:r>
      <w:r>
        <w:rPr>
          <w:rFonts w:ascii="Times New Roman;sans-serif" w:hAnsi="Times New Roman;sans-serif"/>
          <w:b w:val="false"/>
          <w:color w:val="000000"/>
          <w:sz w:val="22"/>
        </w:rPr>
        <w:t>No Fiduciary Duty    </w:t>
      </w:r>
      <w:r>
        <w:rPr>
          <w:rFonts w:ascii="Times New Roman;sans-serif" w:hAnsi="Times New Roman;sans-serif"/>
          <w:b/>
          <w:strike/>
          <w:color w:val="FF0000"/>
          <w:sz w:val="22"/>
        </w:rPr>
        <w:t>172</w:t>
      </w:r>
      <w:r>
        <w:rPr>
          <w:rFonts w:ascii="Times New Roman;sans-serif" w:hAnsi="Times New Roman;sans-serif"/>
          <w:b/>
          <w:color w:val="0000FF"/>
          <w:sz w:val="22"/>
          <w:u w:val="single"/>
        </w:rPr>
        <w:t>168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13.22</w:t>
      </w:r>
      <w:r>
        <w:rPr>
          <w:color w:val="000000"/>
        </w:rPr>
        <w:t>    </w:t>
      </w:r>
      <w:r>
        <w:rPr>
          <w:rFonts w:ascii="Times New Roman;sans-serif" w:hAnsi="Times New Roman;sans-serif"/>
          <w:b w:val="false"/>
          <w:color w:val="000000"/>
          <w:sz w:val="22"/>
        </w:rPr>
        <w:t>Nature of Borrower Obligations    </w:t>
      </w:r>
      <w:r>
        <w:rPr>
          <w:rFonts w:ascii="Times New Roman;sans-serif" w:hAnsi="Times New Roman;sans-serif"/>
          <w:b/>
          <w:strike/>
          <w:color w:val="FF0000"/>
          <w:sz w:val="22"/>
        </w:rPr>
        <w:t>172</w:t>
      </w:r>
      <w:r>
        <w:rPr>
          <w:rFonts w:ascii="Times New Roman;sans-serif" w:hAnsi="Times New Roman;sans-serif"/>
          <w:b/>
          <w:color w:val="0000FF"/>
          <w:sz w:val="22"/>
          <w:u w:val="single"/>
        </w:rPr>
        <w:t>168</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13.23</w:t>
      </w:r>
      <w:r>
        <w:rPr>
          <w:color w:val="000000"/>
        </w:rPr>
        <w:t>    </w:t>
      </w:r>
      <w:r>
        <w:rPr>
          <w:rFonts w:ascii="Times New Roman;sans-serif" w:hAnsi="Times New Roman;sans-serif"/>
          <w:b w:val="false"/>
          <w:color w:val="000000"/>
          <w:sz w:val="22"/>
        </w:rPr>
        <w:t>Amendment and Restatement.    </w:t>
      </w:r>
      <w:r>
        <w:rPr>
          <w:rFonts w:ascii="Times New Roman;sans-serif" w:hAnsi="Times New Roman;sans-serif"/>
          <w:b/>
          <w:strike/>
          <w:color w:val="FF0000"/>
          <w:sz w:val="22"/>
        </w:rPr>
        <w:t>173</w:t>
      </w:r>
      <w:r>
        <w:rPr>
          <w:rFonts w:ascii="Times New Roman;sans-serif" w:hAnsi="Times New Roman;sans-serif"/>
          <w:b/>
          <w:color w:val="0000FF"/>
          <w:sz w:val="22"/>
          <w:u w:val="single"/>
        </w:rPr>
        <w:t>169</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13.24</w:t>
      </w:r>
      <w:r>
        <w:rPr>
          <w:color w:val="000000"/>
        </w:rPr>
        <w:t>    </w:t>
      </w:r>
      <w:r>
        <w:rPr>
          <w:rFonts w:ascii="Times New Roman;sans-serif" w:hAnsi="Times New Roman;sans-serif"/>
          <w:b w:val="false"/>
          <w:color w:val="000000"/>
          <w:sz w:val="22"/>
        </w:rPr>
        <w:t>Acknowledgement and Consent to Bail-In of Affected Financial Institutions    </w:t>
      </w:r>
      <w:r>
        <w:rPr>
          <w:rFonts w:ascii="Times New Roman;sans-serif" w:hAnsi="Times New Roman;sans-serif"/>
          <w:b/>
          <w:strike/>
          <w:color w:val="FF0000"/>
          <w:sz w:val="22"/>
        </w:rPr>
        <w:t>174</w:t>
      </w:r>
      <w:r>
        <w:rPr>
          <w:rFonts w:ascii="Times New Roman;sans-serif" w:hAnsi="Times New Roman;sans-serif"/>
          <w:b/>
          <w:color w:val="0000FF"/>
          <w:sz w:val="22"/>
          <w:u w:val="single"/>
        </w:rPr>
        <w:t>170</w:t>
      </w:r>
    </w:p>
    <w:p>
      <w:pPr>
        <w:pStyle w:val="TextBody"/>
        <w:bidi w:val="0"/>
        <w:spacing w:lineRule="auto" w:line="240" w:before="0" w:after="0"/>
        <w:ind w:left="0" w:right="0" w:hanging="900"/>
        <w:jc w:val="both"/>
        <w:rPr/>
      </w:pPr>
      <w:r>
        <w:rPr>
          <w:rFonts w:ascii="Times New Roman;sans-serif" w:hAnsi="Times New Roman;sans-serif"/>
          <w:b w:val="false"/>
          <w:color w:val="000000"/>
          <w:sz w:val="22"/>
        </w:rPr>
        <w:t>13.25</w:t>
      </w:r>
      <w:r>
        <w:rPr>
          <w:color w:val="000000"/>
        </w:rPr>
        <w:t>    </w:t>
      </w:r>
      <w:r>
        <w:rPr>
          <w:rFonts w:ascii="Times New Roman;sans-serif" w:hAnsi="Times New Roman;sans-serif"/>
          <w:b w:val="false"/>
          <w:color w:val="000000"/>
          <w:sz w:val="22"/>
        </w:rPr>
        <w:t>Certain ERISA Matters.    </w:t>
      </w:r>
      <w:r>
        <w:rPr>
          <w:rFonts w:ascii="Times New Roman;sans-serif" w:hAnsi="Times New Roman;sans-serif"/>
          <w:b/>
          <w:strike/>
          <w:color w:val="FF0000"/>
          <w:sz w:val="22"/>
        </w:rPr>
        <w:t>174</w:t>
      </w:r>
      <w:r>
        <w:rPr>
          <w:rFonts w:ascii="Times New Roman;sans-serif" w:hAnsi="Times New Roman;sans-serif"/>
          <w:b/>
          <w:color w:val="0000FF"/>
          <w:sz w:val="22"/>
          <w:u w:val="single"/>
        </w:rPr>
        <w:t>170</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0"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SCHEDULES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1.1(a)    Mortgaged Properties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1.1(b)    Additional Initial Term Commitments of Additional Initial Term Lenders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8.13    Subsidiaries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8.15    Environmental</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9.14    Post-Closing Actions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10.1    Restatement Effective Date Indebtedness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10.2    Restatement Effective Date Liens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10.5    Restatement Effective Date Investments</w:t>
      </w:r>
    </w:p>
    <w:p>
      <w:pPr>
        <w:pStyle w:val="TextBody"/>
        <w:bidi w:val="0"/>
        <w:spacing w:lineRule="auto" w:line="240" w:before="0" w:after="24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Schedule 13.2    Notice Addresses</w:t>
      </w:r>
    </w:p>
    <w:p>
      <w:pPr>
        <w:pStyle w:val="TextBody"/>
        <w:bidi w:val="0"/>
        <w:spacing w:lineRule="auto" w:line="240" w:before="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A    Form of Joinder Agreement</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B-1    Form of Holdings Guarantee</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B-2    Form of Subsidiary Guarantee</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C    Form of Pledge Agreement</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D    Form of Security Agreement</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E    Form of Credit Party Closing Certificate</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F    Form of Assignment and Acceptance</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G    Form of Promissory Note </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H    Form of ABL Intercreditor Agreement</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I-1    Form of First Lien Intercreditor Agreement</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I-2    Form of Second Lien Intercreditor Agreement</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J-1    Form of Non-Bank Tax Certificate </w:t>
        <w:br/>
        <w:t>(For Non-U.S. Lenders That Are Not Partnerships For U.S. Federal Income Tax Purposes)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J-2    Form of Non-Bank Tax Certificate </w:t>
        <w:br/>
        <w:t>(For Non-U.S. Lenders That Are Partnerships For U.S. Federal Income Tax Purposes)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J-3    Form of Non-Bank Tax Certificate </w:t>
        <w:br/>
        <w:t>(For Non-U.S. Participants That Are Not Partnerships For U.S. Federal Income Tax Purposes)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J-4    Form of Non-Bank Tax Certificate </w:t>
        <w:br/>
        <w:t>(For Non-U.S. Participants That Are Partnerships For U.S. Federal Income Tax Purposes)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K    Form of Notice of Borrowing or Continuation or Conversion</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L-1    Form of Hedge Bank Designation</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L-2    Form of Cash Management Bank Designation</w:t>
      </w:r>
    </w:p>
    <w:p>
      <w:pPr>
        <w:pStyle w:val="TextBody"/>
        <w:bidi w:val="0"/>
        <w:spacing w:before="0" w:after="0"/>
        <w:ind w:left="0" w:right="0" w:hanging="2160"/>
        <w:jc w:val="left"/>
        <w:rPr/>
      </w:pPr>
      <w:r>
        <w:rPr/>
      </w:r>
    </w:p>
    <w:p>
      <w:pPr>
        <w:pStyle w:val="TextBody"/>
        <w:bidi w:val="0"/>
        <w:spacing w:before="0" w:after="0"/>
        <w:ind w:left="0" w:right="0" w:hanging="2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780"/>
                <wp:effectExtent l="0" t="0" r="0" b="0"/>
                <wp:wrapNone/>
                <wp:docPr id="51"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-v-</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-v-</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SECOND AMENDED AND RESTATED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SECOND AMENDED AND RESTATED CREDIT AGREEMENT, dated as of November 6, 2020, among ACADEMY, LTD., a Texas limited partnership (the “</w:t>
      </w:r>
      <w:r>
        <w:rPr>
          <w:rFonts w:ascii="Times New Roman;sans-serif" w:hAnsi="Times New Roman;sans-serif"/>
          <w:b/>
          <w:color w:val="000000"/>
          <w:sz w:val="22"/>
        </w:rPr>
        <w:t>Borrower</w:t>
      </w:r>
      <w:r>
        <w:rPr>
          <w:color w:val="000000"/>
        </w:rPr>
        <w:t>”</w:t>
      </w:r>
      <w:r>
        <w:rPr>
          <w:rFonts w:ascii="Times New Roman;sans-serif" w:hAnsi="Times New Roman;sans-serif"/>
          <w:b w:val="false"/>
          <w:color w:val="000000"/>
          <w:sz w:val="22"/>
        </w:rPr>
        <w:t>), NEW ACADEMY HOLDING COMPANY, LLC, a Delaware limited liability company, and ASSOCIATED INVESTORS L.L.C. and ACADEMY MANAGING CO., L.L.C., as Texas Intermediate Holdcos, the lending institutions from time to time parties hereto (each a “</w:t>
      </w:r>
      <w:r>
        <w:rPr>
          <w:rFonts w:ascii="Times New Roman;sans-serif" w:hAnsi="Times New Roman;sans-serif"/>
          <w:b/>
          <w:color w:val="000000"/>
          <w:sz w:val="22"/>
        </w:rPr>
        <w:t>Lender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color w:val="000000"/>
          <w:sz w:val="22"/>
        </w:rPr>
        <w:t>Lenders</w:t>
      </w:r>
      <w:r>
        <w:rPr>
          <w:color w:val="000000"/>
        </w:rPr>
        <w:t>”</w:t>
      </w:r>
      <w:r>
        <w:rPr>
          <w:rFonts w:ascii="Times New Roman;sans-serif" w:hAnsi="Times New Roman;sans-serif"/>
          <w:b w:val="false"/>
          <w:color w:val="000000"/>
          <w:sz w:val="22"/>
        </w:rPr>
        <w:t xml:space="preserve">) and CREDIT SUISSE AG, CAYMAN ISLANDS BRANCH, as the Administrative Agent and the Collateral Agent (such terms and each other capitalized term used but not defined in this preamble having the meaning provided in </w:t>
      </w:r>
      <w:r>
        <w:rPr>
          <w:rFonts w:ascii="Times New Roman;sans-serif" w:hAnsi="Times New Roman;sans-serif"/>
          <w:b w:val="false"/>
          <w:color w:val="000000"/>
          <w:sz w:val="22"/>
          <w:u w:val="single"/>
        </w:rPr>
        <w:t>Section 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Borrower, certain of the Lenders and Credit Suisse AG, Cayman Islands Branch, as administrative agent for such lenders, were parties to the Existing Term Loan Facility (as defined in the Existing Restated Credit Agreement) pursuant to which certain term loans have been made available to the Borrower and the Borrower had requested to amend and restate the Existing Term Loan Facility (as defined in the Existing Restated Credit Agreement) in its entirety;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in connection with the foregoing, the Borrower had requested that the Lenders extend credit in the form of Initial Term Loans (as defined in the Existing Restated Credit Agreement (as defined below)) to the Borrower on the Restatement Effective Date, in an aggregate principal amount of $400,000,000;</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each Converting Term Lender (as defined in the Existing Restated Credit Agreement) had agreed to have its Converting Term Loans (as defined in the Existing Restated Credit Agreement) converted and continued into Initial Term Loans (as defined in the Existing Restated Credit Agreement) on the Closing Date pursuant to and in accordance with the terms of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contemporaneously with the borrowing under the Initial Term Loan Facility (as defined in the Existing Restated Credit Agreement) on the Closing Date, the Borrower issued and sold pursuant to Rule 144A and/or Regulation S of the Securities Act, $400,000,000 in aggregate principal amount of Senior Secured Notes (the “</w:t>
      </w:r>
      <w:r>
        <w:rPr>
          <w:rFonts w:ascii="Times New Roman;sans-serif" w:hAnsi="Times New Roman;sans-serif"/>
          <w:b/>
          <w:color w:val="000000"/>
          <w:sz w:val="22"/>
        </w:rPr>
        <w:t>New Senior Notes</w:t>
      </w:r>
      <w:r>
        <w:rPr>
          <w:color w:val="000000"/>
        </w:rPr>
        <w:t>”</w:t>
      </w:r>
      <w:r>
        <w:rPr>
          <w:rFonts w:ascii="Times New Roman;sans-serif" w:hAnsi="Times New Roman;sans-serif"/>
          <w:b w:val="false"/>
          <w:color w:val="000000"/>
          <w:sz w:val="22"/>
        </w:rPr>
        <w:t>) pursuant to the Senior Secured Notes Indenture (as defined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the Borrower entered into an amendment to the asset-based revolving credit facility established pursuant to the ABL Credit Documents (the “</w:t>
      </w:r>
      <w:r>
        <w:rPr>
          <w:rFonts w:ascii="Times New Roman;sans-serif" w:hAnsi="Times New Roman;sans-serif"/>
          <w:b/>
          <w:color w:val="000000"/>
          <w:sz w:val="22"/>
        </w:rPr>
        <w:t>ABL Facility</w:t>
      </w:r>
      <w:r>
        <w:rPr>
          <w:color w:val="000000"/>
        </w:rPr>
        <w:t>”</w:t>
      </w:r>
      <w:r>
        <w:rPr>
          <w:rFonts w:ascii="Times New Roman;sans-serif" w:hAnsi="Times New Roman;sans-serif"/>
          <w:b w:val="false"/>
          <w:color w:val="000000"/>
          <w:sz w:val="22"/>
        </w:rPr>
        <w:t>) which extended the maturity date of such ABL Facility;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proceeds of the Initial Term Loans (as defined in the Existing Restated Credit Agreement) were used, together with net proceeds of the issuance of the New Senior Notes and any borrowings by the Borrower under the ABL Facility on the Restatement Effective Date, to consummate the Restatement Effective Date Refinancing and to pay Transaction Expenses (as defined in the Existing Restated Credit Agreement);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Borrower has requested that the Lenders extend credit in the form of Initial Term Loans (as defined below) to the Borrower on the Amendment No. 4 Effective Date (as defined below), in an aggregate principal amount of $300,000,000;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each Converting Term Lender (as defined below) has agreed to have its Converting Term Loans (as defined below) converted and continued into Initial Term Loans on the Amendment No. 4 Effective Date pursuant to and in accordance with the terms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on the Amendment No. 4 Effective Date, the proceeds of the Initial Term Loans, together with cash on hand of the Borrower, will be used to consummate the Amendment No. 4 Refinancing (as defined below) and to pay Transaction Expenses (as defined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the Lenders are willing to make available to the Borrower such term loan upon the terms and subject to the conditions set forth herein;</w:t>
      </w:r>
      <w:r>
        <w:rPr>
          <w:color w:val="0000FF"/>
          <w:u w:val="single"/>
        </w:rPr>
        <w:t xml:space="preserve"> </w:t>
      </w:r>
      <w:r>
        <w:rPr>
          <w:rFonts w:ascii="Times New Roman;sans-serif" w:hAnsi="Times New Roman;sans-serif"/>
          <w:b/>
          <w:color w:val="0000FF"/>
          <w:sz w:val="22"/>
          <w:u w:val="single"/>
        </w:rPr>
        <w:t>and</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color w:val="0000FF"/>
          <w:sz w:val="22"/>
          <w:u w:val="single"/>
        </w:rPr>
      </w:pPr>
      <w:r>
        <w:rPr>
          <w:rFonts w:ascii="Times New Roman;sans-serif" w:hAnsi="Times New Roman;sans-serif"/>
          <w:b/>
          <w:color w:val="0000FF"/>
          <w:sz w:val="22"/>
          <w:u w:val="single"/>
        </w:rPr>
        <w:t>WHEREAS, pursuant to that certain Conforming Changes Amendment, the Administrative Agent determined that certain Benchmark Replacement Conforming Changes were appropriate, effective as of July 1, 2023.</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the covenants and agreements contained herein, the parties hereto hereby agree as follows: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1.    </w:t>
      </w:r>
      <w:r>
        <w:rPr>
          <w:rFonts w:ascii="Times New Roman;sans-serif" w:hAnsi="Times New Roman;sans-serif"/>
          <w:b w:val="false"/>
          <w:color w:val="000000"/>
          <w:sz w:val="22"/>
        </w:rPr>
        <w:t>Definitions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1.1    </w:t>
      </w:r>
      <w:r>
        <w:rPr>
          <w:rFonts w:ascii="Times New Roman;sans-serif" w:hAnsi="Times New Roman;sans-serif"/>
          <w:b w:val="false"/>
          <w:color w:val="000000"/>
          <w:sz w:val="22"/>
        </w:rPr>
        <w:t xml:space="preserve">Defined Terms. As used herein, the following terms shall have the meanings specified in this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unless the context otherwise requires (it being understood that defined terms in this Agreement shall include in the singular number the plural and in the plural the singular):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Administrative Agent</w:t>
      </w:r>
      <w:r>
        <w:rPr>
          <w:color w:val="000000"/>
        </w:rPr>
        <w:t xml:space="preserve">” </w:t>
      </w:r>
      <w:r>
        <w:rPr>
          <w:rFonts w:ascii="Times New Roman;sans-serif" w:hAnsi="Times New Roman;sans-serif"/>
          <w:b w:val="false"/>
          <w:color w:val="000000"/>
          <w:sz w:val="22"/>
        </w:rPr>
        <w:t>shall have the meaning assigned to the term “Administrative Agent” in the ABL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Credit Agreement</w:t>
      </w:r>
      <w:r>
        <w:rPr>
          <w:color w:val="000000"/>
        </w:rPr>
        <w:t xml:space="preserve">” </w:t>
      </w:r>
      <w:r>
        <w:rPr>
          <w:rFonts w:ascii="Times New Roman;sans-serif" w:hAnsi="Times New Roman;sans-serif"/>
          <w:b w:val="false"/>
          <w:color w:val="000000"/>
          <w:sz w:val="22"/>
        </w:rPr>
        <w:t>shall mean the Credit Agreement, dated as of the Restatement Effective Date, among the Borrower, the other borrowers party thereto, the lenders party thereto and the ABL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Credit Documents</w:t>
      </w:r>
      <w:r>
        <w:rPr>
          <w:color w:val="000000"/>
        </w:rPr>
        <w:t xml:space="preserve">” </w:t>
      </w:r>
      <w:r>
        <w:rPr>
          <w:rFonts w:ascii="Times New Roman;sans-serif" w:hAnsi="Times New Roman;sans-serif"/>
          <w:b w:val="false"/>
          <w:color w:val="000000"/>
          <w:sz w:val="22"/>
        </w:rPr>
        <w:t>shall mean the ABL Credit Agreement and each other document executed in connection therewith or pursuant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Cure Amount</w:t>
      </w:r>
      <w:r>
        <w:rPr>
          <w:color w:val="000000"/>
        </w:rPr>
        <w:t xml:space="preserve">” </w:t>
      </w:r>
      <w:r>
        <w:rPr>
          <w:rFonts w:ascii="Times New Roman;sans-serif" w:hAnsi="Times New Roman;sans-serif"/>
          <w:b w:val="false"/>
          <w:color w:val="000000"/>
          <w:sz w:val="22"/>
        </w:rPr>
        <w:t>shall have the meaning assigned to the term “Cure Amount” in the ABL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Facility</w:t>
      </w:r>
      <w:r>
        <w:rPr>
          <w:color w:val="000000"/>
        </w:rPr>
        <w:t xml:space="preserve">” </w:t>
      </w:r>
      <w:r>
        <w:rPr>
          <w:rFonts w:ascii="Times New Roman;sans-serif" w:hAnsi="Times New Roman;sans-serif"/>
          <w:b w:val="false"/>
          <w:color w:val="000000"/>
          <w:sz w:val="22"/>
        </w:rPr>
        <w:t>shall have the meaning provided in the recitals to this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color w:val="000000"/>
          <w:sz w:val="22"/>
        </w:rPr>
        <w:t>ABL Financial Covenant Default</w:t>
      </w:r>
      <w:r>
        <w:rPr>
          <w:color w:val="000000"/>
        </w:rPr>
        <w:t xml:space="preserve">” </w:t>
      </w:r>
      <w:r>
        <w:rPr>
          <w:rFonts w:ascii="Times New Roman;sans-serif" w:hAnsi="Times New Roman;sans-serif"/>
          <w:b w:val="false"/>
          <w:color w:val="000000"/>
          <w:sz w:val="22"/>
        </w:rPr>
        <w:t>shall mean any breach or violation of any financial maintenance covenant in the ABL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w:t>
      </w:r>
      <w:r>
        <w:rPr>
          <w:color w:val="000000"/>
        </w:rPr>
        <w:t xml:space="preserve"> </w:t>
      </w:r>
      <w:r>
        <w:rPr>
          <w:rFonts w:ascii="Times New Roman;sans-serif" w:hAnsi="Times New Roman;sans-serif"/>
          <w:b/>
          <w:color w:val="000000"/>
          <w:sz w:val="22"/>
        </w:rPr>
        <w:t>Intercreditor Agreement</w:t>
      </w:r>
      <w:r>
        <w:rPr>
          <w:color w:val="000000"/>
        </w:rPr>
        <w:t xml:space="preserve">” </w:t>
      </w:r>
      <w:r>
        <w:rPr>
          <w:rFonts w:ascii="Times New Roman;sans-serif" w:hAnsi="Times New Roman;sans-serif"/>
          <w:b w:val="false"/>
          <w:color w:val="000000"/>
          <w:sz w:val="22"/>
        </w:rPr>
        <w:t xml:space="preserve">shall mean an Intercreditor Agreement substantially in the form of </w:t>
      </w:r>
      <w:r>
        <w:rPr>
          <w:rFonts w:ascii="Times New Roman;sans-serif" w:hAnsi="Times New Roman;sans-serif"/>
          <w:b w:val="false"/>
          <w:color w:val="000000"/>
          <w:sz w:val="22"/>
          <w:u w:val="single"/>
        </w:rPr>
        <w:t>Exhibit H</w:t>
      </w:r>
      <w:r>
        <w:rPr>
          <w:color w:val="000000"/>
        </w:rPr>
        <w:t xml:space="preserve"> </w:t>
      </w:r>
      <w:r>
        <w:rPr>
          <w:rFonts w:ascii="Times New Roman;sans-serif" w:hAnsi="Times New Roman;sans-serif"/>
          <w:b w:val="false"/>
          <w:color w:val="000000"/>
          <w:sz w:val="22"/>
        </w:rPr>
        <w:t>(with such changes to such form as may be reasonably acceptable to the Administrative Agent and the Borrower) between the Collateral Agent and the collateral agent under the ABL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ABL Loans</w:t>
      </w:r>
      <w:r>
        <w:rPr>
          <w:color w:val="000000"/>
        </w:rPr>
        <w:t xml:space="preserve">” </w:t>
      </w:r>
      <w:r>
        <w:rPr>
          <w:rFonts w:ascii="Times New Roman;sans-serif" w:hAnsi="Times New Roman;sans-serif"/>
          <w:b w:val="false"/>
          <w:color w:val="000000"/>
          <w:sz w:val="22"/>
        </w:rPr>
        <w:t>shall have the meaning provided to the term “Loans” in the ABL Credit Agreement and any modification, replacement, refinancing, refunding, renewal, or extension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ABR</w:t>
      </w:r>
      <w:r>
        <w:rPr>
          <w:color w:val="000000"/>
        </w:rPr>
        <w:t xml:space="preserve">” </w:t>
      </w:r>
      <w:r>
        <w:rPr>
          <w:rFonts w:ascii="Times New Roman;sans-serif" w:hAnsi="Times New Roman;sans-serif"/>
          <w:b w:val="false"/>
          <w:color w:val="000000"/>
          <w:sz w:val="22"/>
        </w:rPr>
        <w:t xml:space="preserve">shall mean for any day a fluctuating rate per annum equal to the highest of (i) the Federal Funds Effective Rate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1/2 of 1%, (ii) the rate of interest announced or determined from time to time by the Administrative Agent as the U.S. “Prime Rate”, and (iii) </w:t>
      </w:r>
      <w:r>
        <w:rPr>
          <w:rFonts w:ascii="Times New Roman;sans-serif" w:hAnsi="Times New Roman;sans-serif"/>
          <w:b/>
          <w:strike/>
          <w:color w:val="FF0000"/>
          <w:sz w:val="22"/>
        </w:rPr>
        <w:t>the Adjusted LIBOR Rate (which rate shall be calculated based on an Interest Period of one month determined on such date)</w:t>
      </w:r>
      <w:r>
        <w:rPr>
          <w:rFonts w:ascii="Times New Roman;sans-serif" w:hAnsi="Times New Roman;sans-serif"/>
          <w:b/>
          <w:color w:val="0000FF"/>
          <w:sz w:val="22"/>
          <w:u w:val="single"/>
        </w:rPr>
        <w:t>Adjusted Term SOFR for a one-month tenor in effect on such day</w:t>
      </w:r>
      <w:r>
        <w:rPr>
          <w:color w:val="000000"/>
        </w:rPr>
        <w:t xml:space="preserv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1.00% per annum;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ABR shall not be less than 1.75% per annum. Any change in the ABR due to a change in such rate determined by the Administrative Agent or in the Federal Funds Effective Rate</w:t>
      </w:r>
      <w:r>
        <w:rPr>
          <w:rFonts w:ascii="Times New Roman;sans-serif" w:hAnsi="Times New Roman;sans-serif"/>
          <w:b/>
          <w:color w:val="0000FF"/>
          <w:sz w:val="22"/>
          <w:u w:val="single"/>
        </w:rPr>
        <w:t>, the Prime Rate</w:t>
      </w:r>
      <w:r>
        <w:rPr>
          <w:color w:val="000000"/>
        </w:rPr>
        <w:t xml:space="preserve"> </w:t>
      </w:r>
      <w:r>
        <w:rPr>
          <w:rFonts w:ascii="Times New Roman;sans-serif" w:hAnsi="Times New Roman;sans-serif"/>
          <w:b w:val="false"/>
          <w:color w:val="000000"/>
          <w:sz w:val="22"/>
        </w:rPr>
        <w:t xml:space="preserve">or Adjusted </w:t>
      </w:r>
      <w:r>
        <w:rPr>
          <w:rFonts w:ascii="Times New Roman;sans-serif" w:hAnsi="Times New Roman;sans-serif"/>
          <w:b/>
          <w:strike/>
          <w:color w:val="FF0000"/>
          <w:sz w:val="22"/>
        </w:rPr>
        <w:t>LIBOR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shall take effect at the opening of business on the day of such change.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ABR Loan</w:t>
      </w:r>
      <w:r>
        <w:rPr>
          <w:color w:val="000000"/>
        </w:rPr>
        <w:t xml:space="preserve">” </w:t>
      </w:r>
      <w:r>
        <w:rPr>
          <w:rFonts w:ascii="Times New Roman;sans-serif" w:hAnsi="Times New Roman;sans-serif"/>
          <w:b w:val="false"/>
          <w:color w:val="000000"/>
          <w:sz w:val="22"/>
        </w:rPr>
        <w:t>shall mean each Loan bearing interest based on the ABR.</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ABR Term SOFR Determination Day” shall have the meaning specified in the definition of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Acquired EBITDA</w:t>
      </w:r>
      <w:r>
        <w:rPr>
          <w:color w:val="000000"/>
        </w:rPr>
        <w:t xml:space="preserve">” </w:t>
      </w:r>
      <w:r>
        <w:rPr>
          <w:rFonts w:ascii="Times New Roman;sans-serif" w:hAnsi="Times New Roman;sans-serif"/>
          <w:b w:val="false"/>
          <w:color w:val="000000"/>
          <w:sz w:val="22"/>
        </w:rPr>
        <w:t>shall mean, with respect to any Acquired Entity or Business or any Converted Restricted Subsidiary (any of the foregoing, a “</w:t>
      </w:r>
      <w:r>
        <w:rPr>
          <w:rFonts w:ascii="Times New Roman;sans-serif" w:hAnsi="Times New Roman;sans-serif"/>
          <w:b/>
          <w:color w:val="000000"/>
          <w:sz w:val="22"/>
        </w:rPr>
        <w:t>Pro Forma Entity</w:t>
      </w:r>
      <w:r>
        <w:rPr>
          <w:color w:val="000000"/>
        </w:rPr>
        <w:t>”</w:t>
      </w:r>
      <w:r>
        <w:rPr>
          <w:rFonts w:ascii="Times New Roman;sans-serif" w:hAnsi="Times New Roman;sans-serif"/>
          <w:b w:val="false"/>
          <w:color w:val="000000"/>
          <w:sz w:val="22"/>
        </w:rPr>
        <w:t xml:space="preserve">) for any period, the amount for such period of Consolidated EBITDA of such Pro Forma Entity (determined using such definitions as if references to the Borrower and the Restricted Subsidiaries therein were to such Pro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Forma Entity and its Restricted Subsidiaries), all as determined on a consolidated basis for such Pro Forma Entity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Acquired Entity or Business</w:t>
      </w:r>
      <w:r>
        <w:rPr>
          <w:color w:val="000000"/>
        </w:rPr>
        <w:t xml:space="preserve">” </w:t>
      </w:r>
      <w:r>
        <w:rPr>
          <w:rFonts w:ascii="Times New Roman;sans-serif" w:hAnsi="Times New Roman;sans-serif"/>
          <w:b w:val="false"/>
          <w:color w:val="000000"/>
          <w:sz w:val="22"/>
        </w:rPr>
        <w:t>shall have the meaning provided in the definition of the term Consolidated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Acquired Indebtedness</w:t>
      </w:r>
      <w:r>
        <w:rPr>
          <w:color w:val="000000"/>
        </w:rPr>
        <w:t xml:space="preserve">” </w:t>
      </w:r>
      <w:r>
        <w:rPr>
          <w:rFonts w:ascii="Times New Roman;sans-serif" w:hAnsi="Times New Roman;sans-serif"/>
          <w:b w:val="false"/>
          <w:color w:val="000000"/>
          <w:sz w:val="22"/>
        </w:rPr>
        <w:t>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Initial Term Commitment</w:t>
      </w:r>
      <w:r>
        <w:rPr>
          <w:color w:val="000000"/>
        </w:rPr>
        <w:t xml:space="preserve">” </w:t>
      </w:r>
      <w:r>
        <w:rPr>
          <w:rFonts w:ascii="Times New Roman;sans-serif" w:hAnsi="Times New Roman;sans-serif"/>
          <w:b w:val="false"/>
          <w:color w:val="000000"/>
          <w:sz w:val="22"/>
        </w:rPr>
        <w:t xml:space="preserve">means, with respect to an Additional Initial Term Lender, the commitment of such Additional Initial Term Lender to make an Additional Initial Term Loan on the Amendment No. 4 Effective Date in the aggregate principal amount set forth on </w:t>
      </w:r>
      <w:r>
        <w:rPr>
          <w:rFonts w:ascii="Times New Roman;sans-serif" w:hAnsi="Times New Roman;sans-serif"/>
          <w:b w:val="false"/>
          <w:color w:val="000000"/>
          <w:sz w:val="22"/>
          <w:u w:val="single"/>
        </w:rPr>
        <w:t>Schedule 1.1(b)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Initial Term Lender</w:t>
      </w:r>
      <w:r>
        <w:rPr>
          <w:color w:val="000000"/>
        </w:rPr>
        <w:t xml:space="preserve">” </w:t>
      </w:r>
      <w:r>
        <w:rPr>
          <w:rFonts w:ascii="Times New Roman;sans-serif" w:hAnsi="Times New Roman;sans-serif"/>
          <w:b w:val="false"/>
          <w:color w:val="000000"/>
          <w:sz w:val="22"/>
        </w:rPr>
        <w:t xml:space="preserve">means each Lender set forth on </w:t>
      </w:r>
      <w:r>
        <w:rPr>
          <w:rFonts w:ascii="Times New Roman;sans-serif" w:hAnsi="Times New Roman;sans-serif"/>
          <w:b w:val="false"/>
          <w:color w:val="000000"/>
          <w:sz w:val="22"/>
          <w:u w:val="single"/>
        </w:rPr>
        <w:t>Schedule 1.1(b)</w:t>
      </w:r>
      <w:r>
        <w:rPr>
          <w:color w:val="000000"/>
        </w:rPr>
        <w:t xml:space="preserve"> </w:t>
      </w:r>
      <w:r>
        <w:rPr>
          <w:rFonts w:ascii="Times New Roman;sans-serif" w:hAnsi="Times New Roman;sans-serif"/>
          <w:b w:val="false"/>
          <w:color w:val="000000"/>
          <w:sz w:val="22"/>
        </w:rPr>
        <w:t>with an Additional Initial Term Commitment to make Additional Initial Term Loans to the Borrower on the Amendment No. 4 Effective Date and which shall constitute a “Lender” under the Credit Agreement as of the Amendment No. 4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Additional Initial Term Loan</w:t>
      </w:r>
      <w:r>
        <w:rPr>
          <w:color w:val="000000"/>
        </w:rPr>
        <w:t xml:space="preserve">” </w:t>
      </w:r>
      <w:r>
        <w:rPr>
          <w:rFonts w:ascii="Times New Roman;sans-serif" w:hAnsi="Times New Roman;sans-serif"/>
          <w:b w:val="false"/>
          <w:color w:val="000000"/>
          <w:sz w:val="22"/>
        </w:rPr>
        <w:t xml:space="preserve">means a Loan that is made in respect of an Additional Initial Term Commitment pursuant to </w:t>
      </w:r>
      <w:r>
        <w:rPr>
          <w:rFonts w:ascii="Times New Roman;sans-serif" w:hAnsi="Times New Roman;sans-serif"/>
          <w:b w:val="false"/>
          <w:color w:val="000000"/>
          <w:sz w:val="22"/>
          <w:u w:val="single"/>
        </w:rPr>
        <w:t>Section 2.01(b)</w:t>
      </w:r>
      <w:r>
        <w:rPr>
          <w:color w:val="000000"/>
        </w:rPr>
        <w:t xml:space="preserve"> </w:t>
      </w:r>
      <w:r>
        <w:rPr>
          <w:rFonts w:ascii="Times New Roman;sans-serif" w:hAnsi="Times New Roman;sans-serif"/>
          <w:b w:val="false"/>
          <w:color w:val="000000"/>
          <w:sz w:val="22"/>
        </w:rPr>
        <w:t>on the Amendment No. 4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 xml:space="preserve">Adjusted </w:t>
      </w:r>
      <w:r>
        <w:rPr>
          <w:rFonts w:ascii="Times New Roman;sans-serif" w:hAnsi="Times New Roman;sans-serif"/>
          <w:b/>
          <w:strike/>
          <w:color w:val="FF0000"/>
          <w:sz w:val="22"/>
        </w:rPr>
        <w:t>LIBOR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shall mean, </w:t>
      </w:r>
      <w:r>
        <w:rPr>
          <w:rFonts w:ascii="Times New Roman;sans-serif" w:hAnsi="Times New Roman;sans-serif"/>
          <w:b/>
          <w:strike/>
          <w:color w:val="FF0000"/>
          <w:sz w:val="22"/>
        </w:rPr>
        <w:t>with respect to any LIBOR Rate Borrowing for any Interest Period, an interest</w:t>
      </w:r>
      <w:r>
        <w:rPr>
          <w:rFonts w:ascii="Times New Roman;sans-serif" w:hAnsi="Times New Roman;sans-serif"/>
          <w:b/>
          <w:color w:val="0000FF"/>
          <w:sz w:val="22"/>
          <w:u w:val="single"/>
        </w:rPr>
        <w:t>for purposes of any calculation, the</w:t>
      </w:r>
      <w:r>
        <w:rPr>
          <w:color w:val="000000"/>
        </w:rPr>
        <w:t xml:space="preserve"> </w:t>
      </w:r>
      <w:r>
        <w:rPr>
          <w:rFonts w:ascii="Times New Roman;sans-serif" w:hAnsi="Times New Roman;sans-serif"/>
          <w:b w:val="false"/>
          <w:color w:val="000000"/>
          <w:sz w:val="22"/>
        </w:rPr>
        <w:t xml:space="preserve">rate per annum equal to </w:t>
      </w:r>
      <w:r>
        <w:rPr>
          <w:rFonts w:ascii="Times New Roman;sans-serif" w:hAnsi="Times New Roman;sans-serif"/>
          <w:b/>
          <w:strike/>
          <w:color w:val="FF0000"/>
          <w:sz w:val="22"/>
        </w:rPr>
        <w:t xml:space="preserve">the product of (i) the LIBOR Rate in effect for such Interest Period and (ii) Statutory Reserves; </w:t>
      </w:r>
      <w:r>
        <w:rPr>
          <w:rFonts w:ascii="Times New Roman;sans-serif" w:hAnsi="Times New Roman;sans-serif"/>
          <w:b/>
          <w:strike/>
          <w:color w:val="FF0000"/>
          <w:sz w:val="22"/>
          <w:u w:val="single"/>
        </w:rPr>
        <w:t>provided</w:t>
      </w:r>
      <w:r>
        <w:rPr>
          <w:rFonts w:ascii="Times New Roman;sans-serif" w:hAnsi="Times New Roman;sans-serif"/>
          <w:b/>
          <w:strike/>
          <w:color w:val="FF0000"/>
          <w:sz w:val="22"/>
        </w:rPr>
        <w:t>, that the Adjusted LIBOR Rate shall not be less than 0.75% per annum.</w:t>
      </w:r>
      <w:r>
        <w:rPr>
          <w:rFonts w:ascii="Times New Roman;sans-serif" w:hAnsi="Times New Roman;sans-serif"/>
          <w:b/>
          <w:color w:val="0000FF"/>
          <w:sz w:val="22"/>
          <w:u w:val="single"/>
        </w:rPr>
        <w:t>(a) Term SOFR for such calculation plus (b) the Term SOFR Adjustment; provided that if Adjusted Term SOFR as so determined shall ever be less than the Floor, then Adjusted Term SOFR shall be deemed to be the Floor.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Adjusted Total Term Loan Commitment</w:t>
      </w:r>
      <w:r>
        <w:rPr>
          <w:color w:val="000000"/>
        </w:rPr>
        <w:t xml:space="preserve">” </w:t>
      </w:r>
      <w:r>
        <w:rPr>
          <w:rFonts w:ascii="Times New Roman;sans-serif" w:hAnsi="Times New Roman;sans-serif"/>
          <w:b w:val="false"/>
          <w:color w:val="000000"/>
          <w:sz w:val="22"/>
        </w:rPr>
        <w:t>shall mean at any time the Total Term Loan Commitment less the Term Loan Commitments of all Defaulting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Administrative Agent</w:t>
      </w:r>
      <w:r>
        <w:rPr>
          <w:color w:val="000000"/>
        </w:rPr>
        <w:t xml:space="preserve">” </w:t>
      </w:r>
      <w:r>
        <w:rPr>
          <w:rFonts w:ascii="Times New Roman;sans-serif" w:hAnsi="Times New Roman;sans-serif"/>
          <w:b w:val="false"/>
          <w:color w:val="000000"/>
          <w:sz w:val="22"/>
        </w:rPr>
        <w:t xml:space="preserve">shall mean Credit Suisse AG, Cayman Islands Branch, as the administrative agent for the Lenders under this Agreement and the other Credit Documents, or any successor administrative agent pursuant to </w:t>
      </w:r>
      <w:r>
        <w:rPr>
          <w:rFonts w:ascii="Times New Roman;sans-serif" w:hAnsi="Times New Roman;sans-serif"/>
          <w:b w:val="false"/>
          <w:color w:val="000000"/>
          <w:sz w:val="22"/>
          <w:u w:val="single"/>
        </w:rPr>
        <w:t>Section 12.9</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Administrative Agent’s Office</w:t>
      </w:r>
      <w:r>
        <w:rPr>
          <w:color w:val="000000"/>
        </w:rPr>
        <w:t xml:space="preserve">” </w:t>
      </w:r>
      <w:r>
        <w:rPr>
          <w:rFonts w:ascii="Times New Roman;sans-serif" w:hAnsi="Times New Roman;sans-serif"/>
          <w:b w:val="false"/>
          <w:color w:val="000000"/>
          <w:sz w:val="22"/>
        </w:rPr>
        <w:t xml:space="preserve">shall mean the Administrative Agent’s address and, as appropriate, account as set forth on </w:t>
      </w:r>
      <w:r>
        <w:rPr>
          <w:rFonts w:ascii="Times New Roman;sans-serif" w:hAnsi="Times New Roman;sans-serif"/>
          <w:b w:val="false"/>
          <w:color w:val="000000"/>
          <w:sz w:val="22"/>
          <w:u w:val="single"/>
        </w:rPr>
        <w:t>Schedule 13.2</w:t>
      </w:r>
      <w:r>
        <w:rPr>
          <w:color w:val="000000"/>
        </w:rPr>
        <w:t xml:space="preserve"> </w:t>
      </w:r>
      <w:r>
        <w:rPr>
          <w:rFonts w:ascii="Times New Roman;sans-serif" w:hAnsi="Times New Roman;sans-serif"/>
          <w:b w:val="false"/>
          <w:color w:val="000000"/>
          <w:sz w:val="22"/>
        </w:rPr>
        <w:t>or such other address or account as the Administrative Agent may from time to time notify the Borrower and the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Administrative Questionnaire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13.6(b)(ii)(D)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Affiliated Institutional Lender</w:t>
      </w:r>
      <w:r>
        <w:rPr>
          <w:color w:val="000000"/>
        </w:rPr>
        <w:t xml:space="preserve">” </w:t>
      </w:r>
      <w:r>
        <w:rPr>
          <w:rFonts w:ascii="Times New Roman;sans-serif" w:hAnsi="Times New Roman;sans-serif"/>
          <w:b w:val="false"/>
          <w:color w:val="000000"/>
          <w:sz w:val="22"/>
        </w:rPr>
        <w:t xml:space="preserve">shall mean (i) any Affiliate of the Sponsor that is either a bona fide debt fund or such Affiliate extends credit or buys loans in the ordinary course of business, (ii) KKR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Corporate Lending LLC, KKR Capital Markets LLC, MCS Corporate Lending LLC and MCS Capital Markets LLC and (ii) any successor each of the Persons set forth in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Affiliated Lender</w:t>
      </w:r>
      <w:r>
        <w:rPr>
          <w:color w:val="000000"/>
        </w:rPr>
        <w:t xml:space="preserve">” </w:t>
      </w:r>
      <w:r>
        <w:rPr>
          <w:rFonts w:ascii="Times New Roman;sans-serif" w:hAnsi="Times New Roman;sans-serif"/>
          <w:b w:val="false"/>
          <w:color w:val="000000"/>
          <w:sz w:val="22"/>
        </w:rPr>
        <w:t>shall mean a Lender that is the Sponsor or any Affiliate thereof (other than Holdings, the Borrower, any Subsidiary of Holdings, or any Affiliated Institutional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Agent Parties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13.17(b)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Agents</w:t>
      </w:r>
      <w:r>
        <w:rPr>
          <w:color w:val="000000"/>
        </w:rPr>
        <w:t xml:space="preserve">” </w:t>
      </w:r>
      <w:r>
        <w:rPr>
          <w:rFonts w:ascii="Times New Roman;sans-serif" w:hAnsi="Times New Roman;sans-serif"/>
          <w:b w:val="false"/>
          <w:color w:val="000000"/>
          <w:sz w:val="22"/>
        </w:rPr>
        <w:t>shall mean the Administrative Agent, the Collateral Agent, each Joint Lead Arranger and Bookrunner and each Amendment No. 4 Arranger.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Agreement</w:t>
      </w:r>
      <w:r>
        <w:rPr>
          <w:color w:val="000000"/>
        </w:rPr>
        <w:t xml:space="preserve">” </w:t>
      </w:r>
      <w:r>
        <w:rPr>
          <w:rFonts w:ascii="Times New Roman;sans-serif" w:hAnsi="Times New Roman;sans-serif"/>
          <w:b w:val="false"/>
          <w:color w:val="000000"/>
          <w:sz w:val="22"/>
        </w:rPr>
        <w:t>shall mean this Second Amended and Restated Credit Agreement</w:t>
      </w:r>
      <w:r>
        <w:rPr>
          <w:rFonts w:ascii="Times New Roman;sans-serif" w:hAnsi="Times New Roman;sans-serif"/>
          <w:b/>
          <w:strike/>
          <w:color w:val="FF0000"/>
          <w:sz w:val="22"/>
        </w:rPr>
        <w:t>, as amended by Amendment No. 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Amendment No. 3</w:t>
      </w:r>
      <w:r>
        <w:rPr>
          <w:color w:val="000000"/>
        </w:rPr>
        <w:t xml:space="preserve">” </w:t>
      </w:r>
      <w:r>
        <w:rPr>
          <w:rFonts w:ascii="Times New Roman;sans-serif" w:hAnsi="Times New Roman;sans-serif"/>
          <w:b w:val="false"/>
          <w:color w:val="000000"/>
          <w:sz w:val="22"/>
        </w:rPr>
        <w:t>shall mean Amendment No. 3 to this Agreement, dated as of November 6, 2020.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Amendment No. 4</w:t>
      </w:r>
      <w:r>
        <w:rPr>
          <w:color w:val="000000"/>
        </w:rPr>
        <w:t xml:space="preserve">” </w:t>
      </w:r>
      <w:r>
        <w:rPr>
          <w:rFonts w:ascii="Times New Roman;sans-serif" w:hAnsi="Times New Roman;sans-serif"/>
          <w:b w:val="false"/>
          <w:color w:val="000000"/>
          <w:sz w:val="22"/>
        </w:rPr>
        <w:t>shall mean Amendment No. 4 to this Agreement, dated as of May 25, 2021.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Amendment No. 4 Arrangers</w:t>
      </w:r>
      <w:r>
        <w:rPr>
          <w:color w:val="000000"/>
        </w:rPr>
        <w:t xml:space="preserve">” </w:t>
      </w:r>
      <w:r>
        <w:rPr>
          <w:rFonts w:ascii="Times New Roman;sans-serif" w:hAnsi="Times New Roman;sans-serif"/>
          <w:b w:val="false"/>
          <w:color w:val="000000"/>
          <w:sz w:val="22"/>
        </w:rPr>
        <w:t>shall mean Credit Suisse Loan Funding LLC and KKR Capital Markets LLC.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Amendment No. 4 Effective Date</w:t>
      </w:r>
      <w:r>
        <w:rPr>
          <w:color w:val="000000"/>
        </w:rPr>
        <w:t xml:space="preserve">” </w:t>
      </w:r>
      <w:r>
        <w:rPr>
          <w:rFonts w:ascii="Times New Roman;sans-serif" w:hAnsi="Times New Roman;sans-serif"/>
          <w:b w:val="false"/>
          <w:color w:val="000000"/>
          <w:sz w:val="22"/>
        </w:rPr>
        <w:t>shall have the meaning provided in Amendment No. 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Amendment No. 4 Refinancing</w:t>
      </w:r>
      <w:r>
        <w:rPr>
          <w:color w:val="000000"/>
        </w:rPr>
        <w:t xml:space="preserve">” </w:t>
      </w:r>
      <w:r>
        <w:rPr>
          <w:rFonts w:ascii="Times New Roman;sans-serif" w:hAnsi="Times New Roman;sans-serif"/>
          <w:b w:val="false"/>
          <w:color w:val="000000"/>
          <w:sz w:val="22"/>
        </w:rPr>
        <w:t>shall have the meaning provided in Amendment No. 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Anti-Corruption Laws</w:t>
      </w:r>
      <w:r>
        <w:rPr>
          <w:color w:val="000000"/>
        </w:rPr>
        <w:t xml:space="preserve">” </w:t>
      </w:r>
      <w:r>
        <w:rPr>
          <w:rFonts w:ascii="Times New Roman;sans-serif" w:hAnsi="Times New Roman;sans-serif"/>
          <w:b w:val="false"/>
          <w:color w:val="000000"/>
          <w:sz w:val="22"/>
        </w:rPr>
        <w:t>means the (i) United States Foreign Corrupt Practices Act of 1977, as amended and (iv) any applicable related provisions and/or anti-bribery, and corruption and/or anti-money laundering laws, rules, or regulations of any jurisdiction in which a Borrower conducts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Anti-Terrorism and Anti-Money Laundering Laws</w:t>
      </w:r>
      <w:r>
        <w:rPr>
          <w:color w:val="000000"/>
        </w:rPr>
        <w:t xml:space="preserve">” </w:t>
      </w:r>
      <w:r>
        <w:rPr>
          <w:rFonts w:ascii="Times New Roman;sans-serif" w:hAnsi="Times New Roman;sans-serif"/>
          <w:b w:val="false"/>
          <w:color w:val="000000"/>
          <w:sz w:val="22"/>
        </w:rPr>
        <w:t>means any laws or regulations relating to terrorism or money laundering, including the Bank Secrecy Act of 1990, as amended by the Patriot Act, the laws administered by the United States Treasury Department’s Office of Foreign Assets Control (as any of the foregoing laws may from time to time be amended, renewed, extended, or replaced), the U.S. Uniting and Strengthening America by Providing Appropriate Tools Required to Intercept and Obstruct Terrorism Act of 2001, Public Law 107-56, the U.S. Currency and Foreign Transaction Reporting Act of 1970, as amended, the U.S. Money Laundering Control Act of 1986,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Applicable Margin</w:t>
      </w:r>
      <w:r>
        <w:rPr>
          <w:color w:val="000000"/>
        </w:rPr>
        <w:t xml:space="preserve">” </w:t>
      </w:r>
      <w:r>
        <w:rPr>
          <w:rFonts w:ascii="Times New Roman;sans-serif" w:hAnsi="Times New Roman;sans-serif"/>
          <w:b w:val="false"/>
          <w:color w:val="000000"/>
          <w:sz w:val="22"/>
        </w:rPr>
        <w:t xml:space="preserve">shall mean a percentage per annum equal to: (1) for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that are Initial Term Loans, 3.75% and (2) for ABR Loans that are Initial Term Loans, 2.75%.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the foregoing, (a) the Applicable Margin in respect of any Class of Extended Term Loans shall be the applicable percentages per annum set forth in the relevant Extension Amendment, (b) the Applicable Margin in respect of any Class of Incremental Term Loans shall be the applicable percentages per annum set forth in the relevant Incremental Amendment, (c) the Applicable Margin in respect of any Class of Replacement Term Loans shall be the applicable percentages per annum set forth in the relevant agreement and (d) in the case of the Term Loans and any Class of Incremental Term Loans, the Applicable Margin shall be increased as, and to the extent, necessary to either (i) comply with the provisions of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or (ii) ensure technical compliance with fungibility with any other existing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Approved Fund</w:t>
      </w:r>
      <w:r>
        <w:rPr>
          <w:color w:val="000000"/>
        </w:rPr>
        <w:t xml:space="preserve">” </w:t>
      </w:r>
      <w:r>
        <w:rPr>
          <w:rFonts w:ascii="Times New Roman;sans-serif" w:hAnsi="Times New Roman;sans-serif"/>
          <w:b w:val="false"/>
          <w:color w:val="000000"/>
          <w:sz w:val="22"/>
        </w:rPr>
        <w:t>shall mean any Fund that is administered or managed by (i) a Lender, (ii) an Affiliate of a Lender, or (iii) an entity or an Affiliate of an entity that administers, advises or manages a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Asset Sale</w:t>
      </w:r>
      <w:r>
        <w:rPr>
          <w:color w:val="000000"/>
        </w:rPr>
        <w:t xml:space="preserve">” </w:t>
      </w:r>
      <w:r>
        <w:rPr>
          <w:rFonts w:ascii="Times New Roman;sans-serif" w:hAnsi="Times New Roman;sans-serif"/>
          <w:b w:val="false"/>
          <w:color w:val="000000"/>
          <w:sz w:val="22"/>
        </w:rPr>
        <w:t>shall mean:</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    the sale, conveyance, transfer, or other disposition, whether in a single transaction or a series of related transactions, of property or assets (including by way of a Sale Leaseback (other than a Permitted Sale Leaseback)) (each a “</w:t>
      </w:r>
      <w:r>
        <w:rPr>
          <w:rFonts w:ascii="Times New Roman;sans-serif" w:hAnsi="Times New Roman;sans-serif"/>
          <w:b/>
          <w:color w:val="000000"/>
          <w:sz w:val="22"/>
        </w:rPr>
        <w:t>disposition</w:t>
      </w:r>
      <w:r>
        <w:rPr>
          <w:color w:val="000000"/>
        </w:rPr>
        <w:t>”</w:t>
      </w:r>
      <w:r>
        <w:rPr>
          <w:rFonts w:ascii="Times New Roman;sans-serif" w:hAnsi="Times New Roman;sans-serif"/>
          <w:b w:val="false"/>
          <w:color w:val="000000"/>
          <w:sz w:val="22"/>
        </w:rPr>
        <w:t>) of the Borrower or any Restricted Subsidiary,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    the issuance or sale of Equity Interests of any Restricted Subsidiary (other than preferred stock of Restricted Subsidiaries issued in compliance with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whether in a single transaction or a series of related transactions,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each case, other than: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the disposition of all or substantially all of the assets of the Borrower in a manner permitted pursuant to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    the incurrence of Liens that are permitted to be incurred pursuant to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 xml:space="preserve">or the making of any Restricted Payment or Permitted Investment (other than pursuant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of the definition thereof) that is permitted to be made, and is made, pursuant to </w:t>
      </w:r>
      <w:r>
        <w:rPr>
          <w:rFonts w:ascii="Times New Roman;sans-serif" w:hAnsi="Times New Roman;sans-serif"/>
          <w:b w:val="false"/>
          <w:color w:val="000000"/>
          <w:sz w:val="22"/>
          <w:u w:val="single"/>
        </w:rPr>
        <w:t>Section 10.5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any disposition of assets or issuance or sale of Equity Interests of any Restricted Subsidiary in any transaction or series of transactions with an aggregate Fair Market Value of less than the greater of (a) $48,000,000 and (b) 10% of Consolidated EBITDA for the most recently ended Test Period (calculated on a Pro Forma Basis) at the time of such disposition;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any disposition of property or assets or issuance of securities by (1) a Restricted Subsidiary to the Borrower or (2) the Borrower or a Restricted Subsidiary to another Restricted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to the extent allowable under Section 1031 of the Code, or any comparable or successor provision, any exchange of like property (excluding any boot thereon) for use in a Similar Business;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any issuance, sale or pledge of Equity Interests in, or Indebtedness, or other securities of, an Unrestricted Subsidiary;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foreclosures, condemnation, casualty or any similar action on assets (including dispositions in connection therewith);</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sales of accounts receivable, or participations therein, and related assets in connection with any Receivables Facility;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any financing transaction with respect to property built or acquired by the Borrower or any Restricted Subsidiary after the Restatement Effective Date, including Sale Leasebacks and asset securitizations permitted by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    (1) any surrender or waiver of contractual rights or the settlement, release, or surrender of contractual rights or other litigation claims, (2) the termination or collapse of cost sharing agreements with the Borrower or any Subsidiary and the settlement of any crossing payments in connection therewith, or (3) the settlement, discount, write off, forgiveness, or cancellation of any Indebtedness owing by any present or former consultants, directors, officers,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employees of the Borrower (or any direct or indirect parent company of the Borrower) or any Subsidiary or any of their successors or assigns;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    the disposition or discount of inventory, accounts receivable, or notes receivable in the ordinary course of business or the conversion of accounts receivable to notes receivable;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    the licensing, cross-licensing or sub-licensing of Intellectual Property or other general intangibles (whether pursuant to franchise agreements or otherwise)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    the unwinding of any Hedging Obligations or obligations in respect of Cash Management Services;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    sales, transfers, and other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    the lapse or abandonment of Intellectual Property rights, which in the reasonable business judgment of the Borrower is not material to the conduct of the business of the Borrower and the Restricted Subsidiaries taken as a whole;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(q)    the issuance of directors’ qualifying shares and shares issued to foreign nationals as required by applicable law;</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    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    leases, assignments, subleases, licenses, or sublicenses, in each case in the ordinary course of business and which do not materially interfere with the business of the Borrower and the Restricted Subsidiaries, taken as a whole;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    dispositions of non-core assets acquired in connection with any Permitted Acquisition or Investment permitted hereunder;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    the lease, assignment, sub-lease, license or sub-license of, or any transfer related to a “reverse build to suit” or similar transaction in respect of, any real or personal property in the ordinary course of business;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to the extent constituting a disposition, Restricted Payments permitted pursuant to Section 10.5;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(w)    other dispositions with a Fair Market Value (or for assets with a Fair Market Value) in the aggregate less than or equal to the greater of (x) $168,000,000 and (y) 35% of Consolidated EBITDA for the most recently ended Test Period (calculated on a Pro Forma Basis) (this </w:t>
      </w:r>
      <w:r>
        <w:rPr>
          <w:rFonts w:ascii="Times New Roman;sans-serif" w:hAnsi="Times New Roman;sans-serif"/>
          <w:b w:val="false"/>
          <w:color w:val="000000"/>
          <w:sz w:val="22"/>
          <w:u w:val="single"/>
        </w:rPr>
        <w:t>clause (v)</w:t>
      </w:r>
      <w:r>
        <w:rPr>
          <w:rFonts w:ascii="Times New Roman;sans-serif" w:hAnsi="Times New Roman;sans-serif"/>
          <w:b w:val="false"/>
          <w:color w:val="000000"/>
          <w:sz w:val="22"/>
        </w:rPr>
        <w:t>, the “</w:t>
      </w:r>
      <w:r>
        <w:rPr>
          <w:rFonts w:ascii="Times New Roman;sans-serif" w:hAnsi="Times New Roman;sans-serif"/>
          <w:b/>
          <w:color w:val="000000"/>
          <w:sz w:val="22"/>
        </w:rPr>
        <w:t>General Asset Sale Exception</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Asset Sale Prepayment Event</w:t>
      </w:r>
      <w:r>
        <w:rPr>
          <w:color w:val="000000"/>
        </w:rPr>
        <w:t xml:space="preserve">” </w:t>
      </w:r>
      <w:r>
        <w:rPr>
          <w:rFonts w:ascii="Times New Roman;sans-serif" w:hAnsi="Times New Roman;sans-serif"/>
          <w:b w:val="false"/>
          <w:color w:val="000000"/>
          <w:sz w:val="22"/>
        </w:rPr>
        <w:t xml:space="preserve">shall mean any Asset Sale of, or with respect to, Collateral, subject to the Reinvestment Period allowed in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with respect to any Asset Sale Prepayment Event, the Borrower shall not be obligated to make any prepayment otherwise required by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unless and until the aggregate amount of Net Cash Proceeds from all such Asset Sale Prepayment Events, after giving effect to the reinvestment rights set forth herein, exceeds the greater of (a) $75,000,000 and (b) 15% of Consolidated EBITDA for the most recently ended Test Period (calculated on a Pro Forma Basis) (the “</w:t>
      </w:r>
      <w:r>
        <w:rPr>
          <w:rFonts w:ascii="Times New Roman;sans-serif" w:hAnsi="Times New Roman;sans-serif"/>
          <w:b/>
          <w:color w:val="000000"/>
          <w:sz w:val="22"/>
        </w:rPr>
        <w:t>Prepayment Trigger</w:t>
      </w:r>
      <w:r>
        <w:rPr>
          <w:color w:val="000000"/>
        </w:rPr>
        <w:t>”</w:t>
      </w:r>
      <w:r>
        <w:rPr>
          <w:rFonts w:ascii="Times New Roman;sans-serif" w:hAnsi="Times New Roman;sans-serif"/>
          <w:b w:val="false"/>
          <w:color w:val="000000"/>
          <w:sz w:val="22"/>
        </w:rPr>
        <w:t>) in any fiscal year of the Borrower, and then from Net Cash Proceeds in excess of the Prepayment Trigger.</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Assignment and Acceptance</w:t>
      </w:r>
      <w:r>
        <w:rPr>
          <w:color w:val="000000"/>
        </w:rPr>
        <w:t xml:space="preserve">” </w:t>
      </w:r>
      <w:r>
        <w:rPr>
          <w:rFonts w:ascii="Times New Roman;sans-serif" w:hAnsi="Times New Roman;sans-serif"/>
          <w:b w:val="false"/>
          <w:color w:val="000000"/>
          <w:sz w:val="22"/>
        </w:rPr>
        <w:t xml:space="preserve">shall mean (i) an assignment and acceptance substantially in the form of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2"/>
        </w:rPr>
        <w:t xml:space="preserve">, or such other form as may be approved by the Administrative Agent and (ii) in the case of any assignment of Term Loans in connection with a Permitted Debt Exchange conducted in accordance with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such form of assignment (if any) as may be agreed by the Administrative Agent and the Borrower in accordance with </w:t>
      </w:r>
      <w:r>
        <w:rPr>
          <w:rFonts w:ascii="Times New Roman;sans-serif" w:hAnsi="Times New Roman;sans-serif"/>
          <w:b w:val="false"/>
          <w:color w:val="000000"/>
          <w:sz w:val="22"/>
          <w:u w:val="single"/>
        </w:rPr>
        <w:t>Section 2.15(a)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Auction Agent</w:t>
      </w:r>
      <w:r>
        <w:rPr>
          <w:color w:val="000000"/>
        </w:rPr>
        <w:t xml:space="preserve">” </w:t>
      </w:r>
      <w:r>
        <w:rPr>
          <w:rFonts w:ascii="Times New Roman;sans-serif" w:hAnsi="Times New Roman;sans-serif"/>
          <w:b w:val="false"/>
          <w:color w:val="000000"/>
          <w:sz w:val="22"/>
        </w:rPr>
        <w:t xml:space="preserve">shall mean (i) the Administrative Agent or (ii) any other financial institution or advisor employed by the Borrower or any Subsidiary (whether or not an Affiliate of the Administrative Agent) to act as an arranger in connection with any Permitted Debt Exchange pursuant to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or Dutch auction pursuant to </w:t>
      </w:r>
      <w:r>
        <w:rPr>
          <w:rFonts w:ascii="Times New Roman;sans-serif" w:hAnsi="Times New Roman;sans-serif"/>
          <w:b w:val="false"/>
          <w:color w:val="000000"/>
          <w:sz w:val="22"/>
          <w:u w:val="single"/>
        </w:rPr>
        <w:t>Section 13.6(h)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neither the Borrower nor any of its Subsidiaries may act as the Auction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Authorized Officer</w:t>
      </w:r>
      <w:r>
        <w:rPr>
          <w:color w:val="000000"/>
        </w:rPr>
        <w:t xml:space="preserve">” </w:t>
      </w:r>
      <w:r>
        <w:rPr>
          <w:rFonts w:ascii="Times New Roman;sans-serif" w:hAnsi="Times New Roman;sans-serif"/>
          <w:b w:val="false"/>
          <w:color w:val="000000"/>
          <w:sz w:val="22"/>
        </w:rPr>
        <w:t>shall mean, with respect to any Person, any individual holding the position of chairman of the board (if an officer), the Chief Executive Officer, President, the Chief Financial Officer, the Treasurer, the Controller, the Vice President-Finance, a Senior Vice President, an Executive Vice President, a Director, a Manager, the Secretary, the Assistant Secretary or any other senior officer or agent with express authority to act on behalf of such Person designated as such by the board of directors or other managing authority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Available Amount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Available Tenor</w:t>
      </w:r>
      <w:r>
        <w:rPr>
          <w:color w:val="000000"/>
        </w:rPr>
        <w:t xml:space="preserve">” </w:t>
      </w:r>
      <w:r>
        <w:rPr>
          <w:rFonts w:ascii="Times New Roman;sans-serif" w:hAnsi="Times New Roman;sans-serif"/>
          <w:b/>
          <w:strike/>
          <w:color w:val="FF0000"/>
          <w:sz w:val="22"/>
        </w:rPr>
        <w:t>means</w:t>
      </w:r>
      <w:r>
        <w:rPr>
          <w:rFonts w:ascii="Times New Roman;sans-serif" w:hAnsi="Times New Roman;sans-serif"/>
          <w:b/>
          <w:color w:val="0000FF"/>
          <w:sz w:val="22"/>
          <w:u w:val="single"/>
        </w:rPr>
        <w:t>shall</w:t>
      </w:r>
      <w:r>
        <w:rPr>
          <w:color w:val="0000FF"/>
          <w:u w:val="single"/>
        </w:rPr>
        <w:t xml:space="preserve"> </w:t>
      </w:r>
      <w:r>
        <w:rPr>
          <w:rFonts w:ascii="Times New Roman;sans-serif" w:hAnsi="Times New Roman;sans-serif"/>
          <w:b/>
          <w:color w:val="0000FF"/>
          <w:sz w:val="22"/>
          <w:u w:val="single"/>
        </w:rPr>
        <w:t>mean</w:t>
      </w:r>
      <w:r>
        <w:rPr>
          <w:rFonts w:ascii="Times New Roman;sans-serif" w:hAnsi="Times New Roman;sans-serif"/>
          <w:b w:val="false"/>
          <w:color w:val="000000"/>
          <w:sz w:val="22"/>
        </w:rPr>
        <w:t xml:space="preserve">, as of any date of determination and with respect to the then current Benchmark, as applicable, </w:t>
      </w:r>
      <w:r>
        <w:rPr>
          <w:rFonts w:ascii="Times New Roman;sans-serif" w:hAnsi="Times New Roman;sans-serif"/>
          <w:b/>
          <w:color w:val="0000FF"/>
          <w:sz w:val="22"/>
          <w:u w:val="single"/>
        </w:rPr>
        <w:t xml:space="preserve">if such Benchmark is a term rate, </w:t>
      </w:r>
      <w:r>
        <w:rPr>
          <w:rFonts w:ascii="Times New Roman;sans-serif" w:hAnsi="Times New Roman;sans-serif"/>
          <w:b w:val="false"/>
          <w:color w:val="000000"/>
          <w:sz w:val="22"/>
        </w:rPr>
        <w:t xml:space="preserve">any tenor for such Benchmark </w:t>
      </w:r>
      <w:r>
        <w:rPr>
          <w:rFonts w:ascii="Times New Roman;sans-serif" w:hAnsi="Times New Roman;sans-serif"/>
          <w:b/>
          <w:color w:val="0000FF"/>
          <w:sz w:val="22"/>
          <w:u w:val="single"/>
        </w:rPr>
        <w:t>(</w:t>
      </w:r>
      <w:r>
        <w:rPr>
          <w:rFonts w:ascii="Times New Roman;sans-serif" w:hAnsi="Times New Roman;sans-serif"/>
          <w:b w:val="false"/>
          <w:color w:val="000000"/>
          <w:sz w:val="22"/>
        </w:rPr>
        <w:t xml:space="preserve">or </w:t>
      </w:r>
      <w:r>
        <w:rPr>
          <w:rFonts w:ascii="Times New Roman;sans-serif" w:hAnsi="Times New Roman;sans-serif"/>
          <w:b/>
          <w:strike/>
          <w:color w:val="FF0000"/>
          <w:sz w:val="22"/>
        </w:rPr>
        <w:t>payment period for interest calculated with reference to such Benchmark, as applicable,</w:t>
      </w:r>
      <w:r>
        <w:rPr>
          <w:rFonts w:ascii="Times New Roman;sans-serif" w:hAnsi="Times New Roman;sans-serif"/>
          <w:b/>
          <w:color w:val="0000FF"/>
          <w:sz w:val="22"/>
          <w:u w:val="single"/>
        </w:rPr>
        <w:t>component thereof)</w:t>
      </w:r>
      <w:r>
        <w:rPr>
          <w:color w:val="000000"/>
        </w:rPr>
        <w:t xml:space="preserve"> </w:t>
      </w:r>
      <w:r>
        <w:rPr>
          <w:rFonts w:ascii="Times New Roman;sans-serif" w:hAnsi="Times New Roman;sans-serif"/>
          <w:b w:val="false"/>
          <w:color w:val="000000"/>
          <w:sz w:val="22"/>
        </w:rPr>
        <w:t xml:space="preserve">that is or may be used for determining the length of an </w:t>
      </w:r>
      <w:r>
        <w:rPr>
          <w:rFonts w:ascii="Times New Roman;sans-serif" w:hAnsi="Times New Roman;sans-serif"/>
          <w:b/>
          <w:strike/>
          <w:color w:val="FF0000"/>
          <w:sz w:val="22"/>
        </w:rPr>
        <w:t>Interest Period</w:t>
      </w:r>
      <w:r>
        <w:rPr>
          <w:rFonts w:ascii="Times New Roman;sans-serif" w:hAnsi="Times New Roman;sans-serif"/>
          <w:b/>
          <w:color w:val="0000FF"/>
          <w:sz w:val="22"/>
          <w:u w:val="single"/>
        </w:rPr>
        <w:t>interest period</w:t>
      </w:r>
      <w:r>
        <w:rPr>
          <w:color w:val="000000"/>
        </w:rPr>
        <w:t xml:space="preserve"> </w:t>
      </w:r>
      <w:r>
        <w:rPr>
          <w:rFonts w:ascii="Times New Roman;sans-serif" w:hAnsi="Times New Roman;sans-serif"/>
          <w:b w:val="false"/>
          <w:color w:val="000000"/>
          <w:sz w:val="22"/>
        </w:rPr>
        <w:t xml:space="preserve">pursuant to this Agreement as of such date and not including, for the avoidance of doubt, any tenor for such Benchmark that is then-removed from the definition of “Interest Period” pursuant to </w:t>
      </w:r>
      <w:r>
        <w:rPr>
          <w:rFonts w:ascii="Times New Roman;sans-serif" w:hAnsi="Times New Roman;sans-serif"/>
          <w:b w:val="false"/>
          <w:color w:val="000000"/>
          <w:sz w:val="22"/>
          <w:u w:val="single"/>
        </w:rPr>
        <w:t>Section 3.4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Bankruptcy Code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11.5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Benchmark</w:t>
      </w:r>
      <w:r>
        <w:rPr>
          <w:color w:val="000000"/>
        </w:rPr>
        <w:t xml:space="preserve">” </w:t>
      </w:r>
      <w:r>
        <w:rPr>
          <w:rFonts w:ascii="Times New Roman;sans-serif" w:hAnsi="Times New Roman;sans-serif"/>
          <w:b/>
          <w:strike/>
          <w:color w:val="FF0000"/>
          <w:sz w:val="22"/>
        </w:rPr>
        <w:t>means</w:t>
      </w:r>
      <w:r>
        <w:rPr>
          <w:rFonts w:ascii="Times New Roman;sans-serif" w:hAnsi="Times New Roman;sans-serif"/>
          <w:b/>
          <w:color w:val="0000FF"/>
          <w:sz w:val="22"/>
          <w:u w:val="single"/>
        </w:rPr>
        <w:t>shall mean</w:t>
      </w:r>
      <w:r>
        <w:rPr>
          <w:rFonts w:ascii="Times New Roman;sans-serif" w:hAnsi="Times New Roman;sans-serif"/>
          <w:b w:val="false"/>
          <w:color w:val="000000"/>
          <w:sz w:val="22"/>
        </w:rPr>
        <w:t xml:space="preserve">, initially, </w:t>
      </w:r>
      <w:r>
        <w:rPr>
          <w:rFonts w:ascii="Times New Roman;sans-serif" w:hAnsi="Times New Roman;sans-serif"/>
          <w:b/>
          <w:strike/>
          <w:color w:val="FF0000"/>
          <w:sz w:val="22"/>
        </w:rPr>
        <w:t>LIBOR</w:t>
      </w:r>
      <w:r>
        <w:rPr>
          <w:rFonts w:ascii="Times New Roman;sans-serif" w:hAnsi="Times New Roman;sans-serif"/>
          <w:b/>
          <w:color w:val="0000FF"/>
          <w:sz w:val="22"/>
          <w:u w:val="single"/>
        </w:rPr>
        <w:t>the Term SOFR Reference</w:t>
      </w:r>
      <w:r>
        <w:rPr>
          <w:color w:val="000000"/>
        </w:rPr>
        <w:t xml:space="preserve"> </w:t>
      </w:r>
      <w:r>
        <w:rPr>
          <w:rFonts w:ascii="Times New Roman;sans-serif" w:hAnsi="Times New Roman;sans-serif"/>
          <w:b w:val="false"/>
          <w:color w:val="000000"/>
          <w:sz w:val="22"/>
        </w:rPr>
        <w:t xml:space="preserve">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 Benchmark Transition Event </w:t>
      </w:r>
      <w:r>
        <w:rPr>
          <w:rFonts w:ascii="Times New Roman;sans-serif" w:hAnsi="Times New Roman;sans-serif"/>
          <w:b/>
          <w:strike/>
          <w:color w:val="FF0000"/>
          <w:sz w:val="22"/>
        </w:rPr>
        <w:t>or an Early Opt-in Election, as applicable, and its related Benchmark Replacement Date have</w:t>
      </w:r>
      <w:r>
        <w:rPr>
          <w:rFonts w:ascii="Times New Roman;sans-serif" w:hAnsi="Times New Roman;sans-serif"/>
          <w:b/>
          <w:color w:val="0000FF"/>
          <w:sz w:val="22"/>
          <w:u w:val="single"/>
        </w:rPr>
        <w:t>has</w:t>
      </w:r>
      <w:r>
        <w:rPr>
          <w:color w:val="000000"/>
        </w:rPr>
        <w:t xml:space="preserve"> </w:t>
      </w:r>
      <w:r>
        <w:rPr>
          <w:rFonts w:ascii="Times New Roman;sans-serif" w:hAnsi="Times New Roman;sans-serif"/>
          <w:b w:val="false"/>
          <w:color w:val="000000"/>
          <w:sz w:val="22"/>
        </w:rPr>
        <w:t xml:space="preserve">occurred with respect to </w:t>
      </w:r>
      <w:r>
        <w:rPr>
          <w:rFonts w:ascii="Times New Roman;sans-serif" w:hAnsi="Times New Roman;sans-serif"/>
          <w:b/>
          <w:strike/>
          <w:color w:val="FF0000"/>
          <w:sz w:val="22"/>
        </w:rPr>
        <w:t>LIBOR</w:t>
      </w:r>
      <w:r>
        <w:rPr>
          <w:rFonts w:ascii="Times New Roman;sans-serif" w:hAnsi="Times New Roman;sans-serif"/>
          <w:b/>
          <w:color w:val="0000FF"/>
          <w:sz w:val="22"/>
          <w:u w:val="single"/>
        </w:rPr>
        <w:t>the Term SOFR Reference</w:t>
      </w:r>
      <w:r>
        <w:rPr>
          <w:color w:val="000000"/>
        </w:rPr>
        <w:t xml:space="preserve"> </w:t>
      </w:r>
      <w:r>
        <w:rPr>
          <w:rFonts w:ascii="Times New Roman;sans-serif" w:hAnsi="Times New Roman;sans-serif"/>
          <w:b w:val="false"/>
          <w:color w:val="000000"/>
          <w:sz w:val="22"/>
        </w:rPr>
        <w:t xml:space="preserve">Rate or the then-current Benchmark, then “Benchmark” shall mean the applicable Benchmark Replacement to the extent that such Benchmark Replacement has replaced such prior benchmark rate pursuant to </w:t>
      </w:r>
      <w:r>
        <w:rPr>
          <w:rFonts w:ascii="Times New Roman;sans-serif" w:hAnsi="Times New Roman;sans-serif"/>
          <w:b w:val="false"/>
          <w:color w:val="000000"/>
          <w:sz w:val="22"/>
          <w:u w:val="single"/>
        </w:rPr>
        <w:t>Section 3.1</w:t>
      </w:r>
      <w:r>
        <w:rPr>
          <w:rFonts w:ascii="Times New Roman;sans-serif" w:hAnsi="Times New Roman;sans-serif"/>
          <w:b w:val="false"/>
          <w:color w:val="000000"/>
          <w:sz w:val="22"/>
        </w:rPr>
        <w:t>.</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Benchmark Replacement</w:t>
      </w:r>
      <w:r>
        <w:rPr>
          <w:color w:val="000000"/>
        </w:rPr>
        <w:t xml:space="preserve">” </w:t>
      </w:r>
      <w:r>
        <w:rPr>
          <w:rFonts w:ascii="Times New Roman;sans-serif" w:hAnsi="Times New Roman;sans-serif"/>
          <w:b/>
          <w:strike/>
          <w:color w:val="FF0000"/>
          <w:sz w:val="22"/>
        </w:rPr>
        <w:t>means, for any Available Tenor, the first alternative set forth in the order below that can be determined by the Administrative Agent in consultation with the Borrower for the applicable Benchmark Replacement Date:</w:t>
      </w:r>
      <w:r>
        <w:rPr>
          <w:rFonts w:ascii="Times New Roman;sans-serif" w:hAnsi="Times New Roman;sans-serif"/>
          <w:b/>
          <w:color w:val="0000FF"/>
          <w:sz w:val="22"/>
          <w:u w:val="single"/>
        </w:rPr>
        <w:t>shall mean with respect to any Benchmark Transition Event:</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167"/>
        <w:ind w:left="0" w:right="0" w:hanging="400"/>
        <w:jc w:val="both"/>
        <w:rPr>
          <w:rFonts w:ascii="Times New Roman;sans-serif" w:hAnsi="Times New Roman;sans-serif"/>
          <w:b/>
          <w:strike/>
          <w:color w:val="FF0000"/>
          <w:sz w:val="22"/>
        </w:rPr>
      </w:pPr>
      <w:r>
        <w:rPr>
          <w:rFonts w:ascii="Times New Roman;sans-serif" w:hAnsi="Times New Roman;sans-serif"/>
          <w:b/>
          <w:strike/>
          <w:color w:val="FF0000"/>
          <w:sz w:val="22"/>
        </w:rPr>
        <w:t xml:space="preserve">(1) the sum of: (a) Term SOFR and (b) the related Benchmark Replacement Adjustment: </w:t>
      </w:r>
    </w:p>
    <w:p>
      <w:pPr>
        <w:pStyle w:val="TextBody"/>
        <w:bidi w:val="0"/>
        <w:spacing w:lineRule="auto" w:line="285" w:before="0" w:after="164"/>
        <w:ind w:left="0" w:right="0" w:hanging="400"/>
        <w:jc w:val="both"/>
        <w:rPr/>
      </w:pPr>
      <w:r>
        <w:rPr>
          <w:rFonts w:ascii="Times New Roman;sans-serif" w:hAnsi="Times New Roman;sans-serif"/>
          <w:b/>
          <w:color w:val="0000FF"/>
          <w:sz w:val="22"/>
          <w:u w:val="single"/>
        </w:rPr>
        <w:t>(1)    </w:t>
      </w:r>
      <w:r>
        <w:rPr>
          <w:rFonts w:ascii="Times New Roman;sans-serif" w:hAnsi="Times New Roman;sans-serif"/>
          <w:b/>
          <w:strike/>
          <w:color w:val="FF0000"/>
          <w:sz w:val="22"/>
        </w:rPr>
        <w:t xml:space="preserve">(2) </w:t>
      </w:r>
      <w:r>
        <w:rPr>
          <w:rFonts w:ascii="Times New Roman;sans-serif" w:hAnsi="Times New Roman;sans-serif"/>
          <w:b w:val="false"/>
          <w:color w:val="000000"/>
          <w:sz w:val="22"/>
        </w:rPr>
        <w:t>the sum of: (a) Daily Simple SOFR and (b) the related Benchmark Replacement Adjustment;</w:t>
      </w:r>
    </w:p>
    <w:p>
      <w:pPr>
        <w:pStyle w:val="TextBody"/>
        <w:bidi w:val="0"/>
        <w:spacing w:lineRule="auto" w:line="285" w:before="0" w:after="164"/>
        <w:ind w:left="0" w:right="0" w:hanging="400"/>
        <w:jc w:val="both"/>
        <w:rPr/>
      </w:pPr>
      <w:r>
        <w:rPr>
          <w:rFonts w:ascii="Times New Roman;sans-serif" w:hAnsi="Times New Roman;sans-serif"/>
          <w:b/>
          <w:color w:val="0000FF"/>
          <w:sz w:val="22"/>
          <w:u w:val="single"/>
        </w:rPr>
        <w:t>(2)    </w:t>
      </w:r>
      <w:r>
        <w:rPr>
          <w:rFonts w:ascii="Times New Roman;sans-serif" w:hAnsi="Times New Roman;sans-serif"/>
          <w:b/>
          <w:strike/>
          <w:color w:val="FF0000"/>
          <w:sz w:val="22"/>
        </w:rPr>
        <w:t xml:space="preserve">(3) </w:t>
      </w:r>
      <w:r>
        <w:rPr>
          <w:rFonts w:ascii="Times New Roman;sans-serif" w:hAnsi="Times New Roman;sans-serif"/>
          <w:b w:val="false"/>
          <w:color w:val="000000"/>
          <w:sz w:val="22"/>
        </w:rPr>
        <w:t xml:space="preserve">the sum of: (a) the alternate benchmark rate that has been selected by the Administrative Agent and the Borrower </w:t>
      </w:r>
      <w:r>
        <w:rPr>
          <w:rFonts w:ascii="Times New Roman;sans-serif" w:hAnsi="Times New Roman;sans-serif"/>
          <w:b/>
          <w:strike/>
          <w:color w:val="FF0000"/>
          <w:sz w:val="22"/>
        </w:rPr>
        <w:t xml:space="preserve">as the replacement for the then-current Benchmark for the applicable Corresponding Tenor </w:t>
      </w:r>
      <w:r>
        <w:rPr>
          <w:rFonts w:ascii="Times New Roman;sans-serif" w:hAnsi="Times New Roman;sans-serif"/>
          <w:b w:val="false"/>
          <w:color w:val="000000"/>
          <w:sz w:val="22"/>
        </w:rPr>
        <w:t>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 denominated syndicated credit facilities at such time and (b) the related Benchmark Replacement Adjustment;</w:t>
      </w:r>
    </w:p>
    <w:p>
      <w:pPr>
        <w:pStyle w:val="TextBody"/>
        <w:bidi w:val="0"/>
        <w:spacing w:lineRule="auto" w:line="240" w:before="0" w:after="240"/>
        <w:jc w:val="both"/>
        <w:rPr/>
      </w:pPr>
      <w:r>
        <w:rPr>
          <w:rFonts w:ascii="Times New Roman;sans-serif" w:hAnsi="Times New Roman;sans-serif"/>
          <w:b/>
          <w:strike/>
          <w:color w:val="FF0000"/>
          <w:sz w:val="22"/>
          <w:u w:val="single"/>
        </w:rPr>
        <w:t>provided</w:t>
      </w:r>
      <w:r>
        <w:rPr>
          <w:strike/>
          <w:color w:val="FF0000"/>
        </w:rPr>
        <w:t xml:space="preserve"> </w:t>
      </w:r>
      <w:r>
        <w:rPr>
          <w:rFonts w:ascii="Times New Roman;sans-serif" w:hAnsi="Times New Roman;sans-serif"/>
          <w:b/>
          <w:strike/>
          <w:color w:val="FF0000"/>
          <w:sz w:val="22"/>
        </w:rPr>
        <w:t xml:space="preserve">that, in the case of clause (1), such Unadjusted Benchmark Replacement is displayed on a screen or other information service that publishes such rate from time to time as selected by the Administrative Agent in its reasonable discretion. </w:t>
      </w:r>
      <w:r>
        <w:rPr>
          <w:rFonts w:ascii="Times New Roman;sans-serif" w:hAnsi="Times New Roman;sans-serif"/>
          <w:b w:val="false"/>
          <w:color w:val="000000"/>
          <w:sz w:val="22"/>
        </w:rPr>
        <w:t>If the Benchmark Replacement as determined pursuant to clause (1)</w:t>
      </w:r>
      <w:r>
        <w:rPr>
          <w:rFonts w:ascii="Times New Roman;sans-serif" w:hAnsi="Times New Roman;sans-serif"/>
          <w:b/>
          <w:strike/>
          <w:color w:val="FF0000"/>
          <w:sz w:val="22"/>
        </w:rPr>
        <w:t>,</w:t>
      </w:r>
      <w:r>
        <w:rPr>
          <w:color w:val="000000"/>
        </w:rPr>
        <w:t xml:space="preserve"> </w:t>
      </w:r>
      <w:r>
        <w:rPr>
          <w:rFonts w:ascii="Times New Roman;sans-serif" w:hAnsi="Times New Roman;sans-serif"/>
          <w:b/>
          <w:color w:val="0000FF"/>
          <w:sz w:val="22"/>
          <w:u w:val="single"/>
        </w:rPr>
        <w:t>or</w:t>
      </w:r>
      <w:r>
        <w:rPr>
          <w:color w:val="000000"/>
        </w:rPr>
        <w:t xml:space="preserve"> </w:t>
      </w:r>
      <w:r>
        <w:rPr>
          <w:rFonts w:ascii="Times New Roman;sans-serif" w:hAnsi="Times New Roman;sans-serif"/>
          <w:b w:val="false"/>
          <w:color w:val="000000"/>
          <w:sz w:val="22"/>
        </w:rPr>
        <w:t>(2</w:t>
      </w:r>
      <w:r>
        <w:rPr>
          <w:rFonts w:ascii="Times New Roman;sans-serif" w:hAnsi="Times New Roman;sans-serif"/>
          <w:b/>
          <w:strike/>
          <w:color w:val="FF0000"/>
          <w:sz w:val="22"/>
        </w:rPr>
        <w:t>) or (3</w:t>
      </w:r>
      <w:r>
        <w:rPr>
          <w:rFonts w:ascii="Times New Roman;sans-serif" w:hAnsi="Times New Roman;sans-serif"/>
          <w:b w:val="false"/>
          <w:color w:val="000000"/>
          <w:sz w:val="22"/>
        </w:rPr>
        <w:t>) above would be less than the Floor, the Benchmark Replacement will be deemed to be the Floor for the purposes of this Agreement and the other Credit Documents.</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Benchmark Replacement Adjustment</w:t>
      </w:r>
      <w:r>
        <w:rPr>
          <w:color w:val="000000"/>
        </w:rPr>
        <w:t xml:space="preserve">” </w:t>
      </w:r>
      <w:r>
        <w:rPr>
          <w:rFonts w:ascii="Times New Roman;sans-serif" w:hAnsi="Times New Roman;sans-serif"/>
          <w:b/>
          <w:strike/>
          <w:color w:val="FF0000"/>
          <w:sz w:val="22"/>
        </w:rPr>
        <w:t>means</w:t>
      </w:r>
      <w:r>
        <w:rPr>
          <w:rFonts w:ascii="Times New Roman;sans-serif" w:hAnsi="Times New Roman;sans-serif"/>
          <w:b/>
          <w:color w:val="0000FF"/>
          <w:sz w:val="22"/>
          <w:u w:val="single"/>
        </w:rPr>
        <w:t>shall mean</w:t>
      </w:r>
      <w:r>
        <w:rPr>
          <w:rFonts w:ascii="Times New Roman;sans-serif" w:hAnsi="Times New Roman;sans-serif"/>
          <w:b w:val="false"/>
          <w:color w:val="000000"/>
          <w:sz w:val="22"/>
        </w:rPr>
        <w:t>, with respect to any replacement of a then-current Benchmark with an Unadjusted Benchmark Replacement</w:t>
      </w:r>
      <w:r>
        <w:rPr>
          <w:strike/>
          <w:color w:val="FF0000"/>
        </w:rPr>
        <w:t xml:space="preserve"> </w:t>
      </w:r>
      <w:r>
        <w:rPr>
          <w:rFonts w:ascii="Times New Roman;sans-serif" w:hAnsi="Times New Roman;sans-serif"/>
          <w:b/>
          <w:strike/>
          <w:color w:val="FF0000"/>
          <w:sz w:val="22"/>
        </w:rPr>
        <w:t>for any applicable Interest Period and Available Tenor for any setting of such Unadjusted Benchmark Replacement</w:t>
      </w:r>
      <w:r>
        <w:rPr>
          <w:rFonts w:ascii="Times New Roman;sans-serif" w:hAnsi="Times New Roman;sans-serif"/>
          <w:b w:val="false"/>
          <w:color w:val="000000"/>
          <w:sz w:val="22"/>
        </w:rPr>
        <w:t>:</w:t>
      </w:r>
    </w:p>
    <w:p>
      <w:pPr>
        <w:pStyle w:val="TextBody"/>
        <w:bidi w:val="0"/>
        <w:spacing w:lineRule="auto" w:line="285" w:before="0" w:after="164"/>
        <w:ind w:left="0" w:right="0" w:hanging="422"/>
        <w:jc w:val="both"/>
        <w:rPr/>
      </w:pPr>
      <w:r>
        <w:rPr>
          <w:rFonts w:ascii="Times New Roman;sans-serif" w:hAnsi="Times New Roman;sans-serif"/>
          <w:b w:val="false"/>
          <w:color w:val="000000"/>
          <w:sz w:val="22"/>
        </w:rPr>
        <w:t xml:space="preserve">(1)    for purposes of </w:t>
      </w:r>
      <w:r>
        <w:rPr>
          <w:rFonts w:ascii="Times New Roman;sans-serif" w:hAnsi="Times New Roman;sans-serif"/>
          <w:b/>
          <w:strike/>
          <w:color w:val="FF0000"/>
          <w:sz w:val="22"/>
        </w:rPr>
        <w:t>clauses</w:t>
      </w:r>
      <w:r>
        <w:rPr>
          <w:rFonts w:ascii="Times New Roman;sans-serif" w:hAnsi="Times New Roman;sans-serif"/>
          <w:b/>
          <w:color w:val="0000FF"/>
          <w:sz w:val="22"/>
          <w:u w:val="single"/>
        </w:rPr>
        <w:t>clause</w:t>
      </w:r>
      <w:r>
        <w:rPr>
          <w:color w:val="000000"/>
        </w:rPr>
        <w:t xml:space="preserve"> </w:t>
      </w:r>
      <w:r>
        <w:rPr>
          <w:rFonts w:ascii="Times New Roman;sans-serif" w:hAnsi="Times New Roman;sans-serif"/>
          <w:b w:val="false"/>
          <w:color w:val="000000"/>
          <w:sz w:val="22"/>
        </w:rPr>
        <w:t>(1</w:t>
      </w:r>
      <w:r>
        <w:rPr>
          <w:rFonts w:ascii="Times New Roman;sans-serif" w:hAnsi="Times New Roman;sans-serif"/>
          <w:b/>
          <w:strike/>
          <w:color w:val="FF0000"/>
          <w:sz w:val="22"/>
        </w:rPr>
        <w:t>) and (2</w:t>
      </w:r>
      <w:r>
        <w:rPr>
          <w:rFonts w:ascii="Times New Roman;sans-serif" w:hAnsi="Times New Roman;sans-serif"/>
          <w:b w:val="false"/>
          <w:color w:val="000000"/>
          <w:sz w:val="22"/>
        </w:rPr>
        <w:t>) of the definition of “Benchmark Replacement,” the first alternative set forth in the order below that can be determined by the Administrative Agent in consultation with the Borrower:</w:t>
      </w:r>
    </w:p>
    <w:p>
      <w:pPr>
        <w:pStyle w:val="TextBody"/>
        <w:bidi w:val="0"/>
        <w:spacing w:lineRule="auto" w:line="285" w:before="0" w:after="164"/>
        <w:jc w:val="both"/>
        <w:rPr>
          <w:rFonts w:ascii="Times New Roman;sans-serif" w:hAnsi="Times New Roman;sans-serif"/>
          <w:b w:val="false"/>
          <w:color w:val="000000"/>
          <w:sz w:val="22"/>
        </w:rPr>
      </w:pPr>
      <w:r>
        <w:rPr>
          <w:rFonts w:ascii="Times New Roman;sans-serif" w:hAnsi="Times New Roman;sans-serif"/>
          <w:b w:val="false"/>
          <w:color w:val="000000"/>
          <w:sz w:val="22"/>
        </w:rPr>
        <w:t>(a)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pStyle w:val="TextBody"/>
        <w:bidi w:val="0"/>
        <w:spacing w:lineRule="auto" w:line="285" w:before="0" w:after="164"/>
        <w:jc w:val="both"/>
        <w:rPr>
          <w:rFonts w:ascii="Times New Roman;sans-serif" w:hAnsi="Times New Roman;sans-serif"/>
          <w:b w:val="false"/>
          <w:color w:val="000000"/>
          <w:sz w:val="22"/>
        </w:rPr>
      </w:pPr>
      <w:r>
        <w:rPr>
          <w:rFonts w:ascii="Times New Roman;sans-serif" w:hAnsi="Times New Roman;sans-serif"/>
          <w:b w:val="false"/>
          <w:color w:val="000000"/>
          <w:sz w:val="22"/>
        </w:rPr>
        <w:t>(b)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pStyle w:val="TextBody"/>
        <w:bidi w:val="0"/>
        <w:spacing w:lineRule="auto" w:line="285" w:before="0" w:after="164"/>
        <w:ind w:left="0" w:right="0" w:hanging="422"/>
        <w:jc w:val="both"/>
        <w:rPr/>
      </w:pPr>
      <w:r>
        <w:rPr>
          <w:rFonts w:ascii="Times New Roman;sans-serif" w:hAnsi="Times New Roman;sans-serif"/>
          <w:b w:val="false"/>
          <w:color w:val="000000"/>
          <w:sz w:val="22"/>
        </w:rPr>
        <w:t>(2)    for purposes of clause (</w:t>
      </w:r>
      <w:r>
        <w:rPr>
          <w:rFonts w:ascii="Times New Roman;sans-serif" w:hAnsi="Times New Roman;sans-serif"/>
          <w:b/>
          <w:strike/>
          <w:color w:val="FF0000"/>
          <w:sz w:val="22"/>
        </w:rPr>
        <w:t>3</w:t>
      </w:r>
      <w:r>
        <w:rPr>
          <w:rFonts w:ascii="Times New Roman;sans-serif" w:hAnsi="Times New Roman;sans-serif"/>
          <w:b/>
          <w:color w:val="0000FF"/>
          <w:sz w:val="22"/>
          <w:u w:val="single"/>
        </w:rPr>
        <w:t>2</w:t>
      </w:r>
      <w:r>
        <w:rPr>
          <w:rFonts w:ascii="Times New Roman;sans-serif" w:hAnsi="Times New Roman;sans-serif"/>
          <w:b w:val="false"/>
          <w:color w:val="000000"/>
          <w:sz w:val="22"/>
        </w:rPr>
        <w:t>) of the definition of “Benchmark Replacement,”</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the spread adjustment</w:t>
      </w:r>
      <w:r>
        <w:rPr>
          <w:rFonts w:ascii="Times New Roman;sans-serif" w:hAnsi="Times New Roman;sans-serif"/>
          <w:b/>
          <w:strike/>
          <w:color w:val="FF0000"/>
          <w:sz w:val="22"/>
        </w:rPr>
        <w:t xml:space="preserve">, </w:t>
      </w:r>
      <w:r>
        <w:rPr>
          <w:rFonts w:ascii="Times New Roman;sans-serif" w:hAnsi="Times New Roman;sans-serif"/>
          <w:b w:val="false"/>
          <w:color w:val="000000"/>
          <w:sz w:val="22"/>
        </w:rPr>
        <w:t xml:space="preserve">or method for calculating or determining such spread adjustment, (which may be a positive or negative value or zero) that has been selected by the Administrative Agent and the Borrower </w:t>
      </w:r>
      <w:r>
        <w:rPr>
          <w:rFonts w:ascii="Times New Roman;sans-serif" w:hAnsi="Times New Roman;sans-serif"/>
          <w:b/>
          <w:strike/>
          <w:color w:val="FF0000"/>
          <w:sz w:val="22"/>
        </w:rPr>
        <w:t xml:space="preserve">for the applicable Corresponding Tenor </w:t>
      </w:r>
      <w:r>
        <w:rPr>
          <w:rFonts w:ascii="Times New Roman;sans-serif" w:hAnsi="Times New Roman;sans-serif"/>
          <w:b w:val="false"/>
          <w:color w:val="000000"/>
          <w:sz w:val="22"/>
        </w:rPr>
        <w:t>giving due consideration to (</w:t>
      </w:r>
      <w:r>
        <w:rPr>
          <w:rFonts w:ascii="Times New Roman;sans-serif" w:hAnsi="Times New Roman;sans-serif"/>
          <w:b/>
          <w:strike/>
          <w:color w:val="FF0000"/>
          <w:sz w:val="22"/>
        </w:rPr>
        <w:t>i</w:t>
      </w:r>
      <w:r>
        <w:rPr>
          <w:rFonts w:ascii="Times New Roman;sans-serif" w:hAnsi="Times New Roman;sans-serif"/>
          <w:b/>
          <w:color w:val="0000FF"/>
          <w:sz w:val="22"/>
          <w:u w:val="single"/>
        </w:rPr>
        <w:t>a</w:t>
      </w:r>
      <w:r>
        <w:rPr>
          <w:rFonts w:ascii="Times New Roman;sans-serif" w:hAnsi="Times New Roman;sans-serif"/>
          <w:b w:val="false"/>
          <w:color w:val="000000"/>
          <w:sz w:val="22"/>
        </w:rPr>
        <w:t xml:space="preserve">) any selection or recommendation of a spread adjustment, or method for calculating or determining such spread adjustment, for the replacement of such Benchmark with the applicable Unadjusted Benchmark Replacement by the Relevant Governmental Body </w:t>
      </w:r>
      <w:r>
        <w:rPr>
          <w:rFonts w:ascii="Times New Roman;sans-serif" w:hAnsi="Times New Roman;sans-serif"/>
          <w:b/>
          <w:strike/>
          <w:color w:val="FF0000"/>
          <w:sz w:val="22"/>
        </w:rPr>
        <w:t xml:space="preserve">on the applicable Benchmark Replacement Date </w:t>
      </w:r>
      <w:r>
        <w:rPr>
          <w:rFonts w:ascii="Times New Roman;sans-serif" w:hAnsi="Times New Roman;sans-serif"/>
          <w:b w:val="false"/>
          <w:color w:val="000000"/>
          <w:sz w:val="22"/>
        </w:rPr>
        <w:t>or (</w:t>
      </w:r>
      <w:r>
        <w:rPr>
          <w:rFonts w:ascii="Times New Roman;sans-serif" w:hAnsi="Times New Roman;sans-serif"/>
          <w:b/>
          <w:strike/>
          <w:color w:val="FF0000"/>
          <w:sz w:val="22"/>
        </w:rPr>
        <w:t>ii</w:t>
      </w:r>
      <w:r>
        <w:rPr>
          <w:rFonts w:ascii="Times New Roman;sans-serif" w:hAnsi="Times New Roman;sans-serif"/>
          <w:b/>
          <w:color w:val="0000FF"/>
          <w:sz w:val="22"/>
          <w:u w:val="single"/>
        </w:rPr>
        <w:t>b</w:t>
      </w:r>
      <w:r>
        <w:rPr>
          <w:rFonts w:ascii="Times New Roman;sans-serif" w:hAnsi="Times New Roman;sans-serif"/>
          <w:b w:val="false"/>
          <w:color w:val="000000"/>
          <w:sz w:val="22"/>
        </w:rPr>
        <w:t xml:space="preserve">) any evolving or then-prevailing market convention for determining a spread adjustment, or method for calculating or determining such spread adjustment, for the replacement of such Benchmark with the applicable Unadjusted Benchmark Replacement for U.S. </w:t>
      </w:r>
      <w:r>
        <w:rPr>
          <w:rFonts w:ascii="Times New Roman;sans-serif" w:hAnsi="Times New Roman;sans-serif"/>
          <w:b/>
          <w:strike/>
          <w:color w:val="FF0000"/>
          <w:sz w:val="22"/>
        </w:rPr>
        <w:t>dollar-denominated</w:t>
      </w:r>
      <w:r>
        <w:rPr>
          <w:rFonts w:ascii="Times New Roman;sans-serif" w:hAnsi="Times New Roman;sans-serif"/>
          <w:b/>
          <w:color w:val="0000FF"/>
          <w:sz w:val="22"/>
          <w:u w:val="single"/>
        </w:rPr>
        <w:t>Dollar-denominated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0" w:after="164"/>
        <w:jc w:val="both"/>
        <w:rPr/>
      </w:pPr>
      <w:r>
        <w:rPr>
          <w:rFonts w:ascii="Times New Roman;sans-serif" w:hAnsi="Times New Roman;sans-serif"/>
          <w:b w:val="false"/>
          <w:color w:val="000000"/>
          <w:sz w:val="22"/>
        </w:rPr>
        <w:t xml:space="preserve">syndicated credit facilities </w:t>
      </w:r>
      <w:r>
        <w:rPr>
          <w:rFonts w:ascii="Times New Roman;sans-serif" w:hAnsi="Times New Roman;sans-serif"/>
          <w:b/>
          <w:color w:val="0000FF"/>
          <w:sz w:val="22"/>
          <w:u w:val="single"/>
        </w:rPr>
        <w:t xml:space="preserve">at such time </w:t>
      </w:r>
      <w:r>
        <w:rPr>
          <w:rFonts w:ascii="Times New Roman;sans-serif" w:hAnsi="Times New Roman;sans-serif"/>
          <w:b w:val="false"/>
          <w:color w:val="000000"/>
          <w:sz w:val="22"/>
        </w:rPr>
        <w:t>that are substantially similar to the credit facilities under this Agreement</w:t>
      </w:r>
      <w:r>
        <w:rPr>
          <w:rFonts w:ascii="Times New Roman;sans-serif" w:hAnsi="Times New Roman;sans-serif"/>
          <w:b/>
          <w:strike/>
          <w:color w:val="FF0000"/>
          <w:sz w:val="22"/>
        </w:rPr>
        <w:t>;</w:t>
      </w:r>
      <w:r>
        <w:rPr>
          <w:rFonts w:ascii="Times New Roman;sans-serif" w:hAnsi="Times New Roman;sans-serif"/>
          <w:b/>
          <w:color w:val="0000FF"/>
          <w:sz w:val="22"/>
          <w:u w:val="single"/>
        </w:rPr>
        <w:t>.</w:t>
      </w:r>
    </w:p>
    <w:p>
      <w:pPr>
        <w:pStyle w:val="TextBody"/>
        <w:bidi w:val="0"/>
        <w:spacing w:lineRule="auto" w:line="240" w:before="0" w:after="240"/>
        <w:jc w:val="both"/>
        <w:rPr/>
      </w:pPr>
      <w:r>
        <w:rPr>
          <w:rFonts w:ascii="Times New Roman;sans-serif" w:hAnsi="Times New Roman;sans-serif"/>
          <w:b/>
          <w:strike/>
          <w:color w:val="FF0000"/>
          <w:sz w:val="22"/>
          <w:u w:val="single"/>
        </w:rPr>
        <w:t>provided</w:t>
      </w:r>
      <w:r>
        <w:rPr>
          <w:strike/>
          <w:color w:val="FF0000"/>
        </w:rPr>
        <w:t xml:space="preserve"> </w:t>
      </w:r>
      <w:r>
        <w:rPr>
          <w:rFonts w:ascii="Times New Roman;sans-serif" w:hAnsi="Times New Roman;sans-serif"/>
          <w:b/>
          <w:strike/>
          <w:color w:val="FF0000"/>
          <w:sz w:val="22"/>
        </w:rPr>
        <w:t xml:space="preserve">that, in the case of clause (1) above, such adjustment is displayed on a screen or other information service that publishes such Benchmark Replacement Adjustment from time to time as selected by the Administrative Agent in its reasonable discretion; </w:t>
      </w:r>
      <w:r>
        <w:rPr>
          <w:rFonts w:ascii="Times New Roman;sans-serif" w:hAnsi="Times New Roman;sans-serif"/>
          <w:b/>
          <w:strike/>
          <w:color w:val="FF0000"/>
          <w:sz w:val="22"/>
          <w:u w:val="single"/>
        </w:rPr>
        <w:t>provided</w:t>
      </w:r>
      <w:r>
        <w:rPr>
          <w:strike/>
          <w:color w:val="FF0000"/>
        </w:rPr>
        <w:t xml:space="preserve"> </w:t>
      </w:r>
      <w:r>
        <w:rPr>
          <w:rFonts w:ascii="Times New Roman;sans-serif" w:hAnsi="Times New Roman;sans-serif"/>
          <w:b/>
          <w:strike/>
          <w:color w:val="FF0000"/>
          <w:sz w:val="22"/>
          <w:u w:val="single"/>
        </w:rPr>
        <w:t>further</w:t>
      </w:r>
      <w:r>
        <w:rPr>
          <w:strike/>
          <w:color w:val="FF0000"/>
        </w:rPr>
        <w:t xml:space="preserve"> </w:t>
      </w:r>
      <w:r>
        <w:rPr>
          <w:rFonts w:ascii="Times New Roman;sans-serif" w:hAnsi="Times New Roman;sans-serif"/>
          <w:b/>
          <w:strike/>
          <w:color w:val="FF0000"/>
          <w:sz w:val="22"/>
        </w:rPr>
        <w:t>that, in the case of clause (2) above, such adjustment shall not be in the form of an increase to the Applicable Margin.</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Benchmark Replacement Conforming Changes</w:t>
      </w:r>
      <w:r>
        <w:rPr>
          <w:color w:val="000000"/>
        </w:rPr>
        <w:t xml:space="preserve">” </w:t>
      </w:r>
      <w:r>
        <w:rPr>
          <w:rFonts w:ascii="Times New Roman;sans-serif" w:hAnsi="Times New Roman;sans-serif"/>
          <w:b/>
          <w:strike/>
          <w:color w:val="FF0000"/>
          <w:sz w:val="22"/>
        </w:rPr>
        <w:t>means</w:t>
      </w:r>
      <w:r>
        <w:rPr>
          <w:rFonts w:ascii="Times New Roman;sans-serif" w:hAnsi="Times New Roman;sans-serif"/>
          <w:b/>
          <w:color w:val="0000FF"/>
          <w:sz w:val="22"/>
          <w:u w:val="single"/>
        </w:rPr>
        <w:t>shall mean</w:t>
      </w:r>
      <w:r>
        <w:rPr>
          <w:rFonts w:ascii="Times New Roman;sans-serif" w:hAnsi="Times New Roman;sans-serif"/>
          <w:b w:val="false"/>
          <w:color w:val="000000"/>
          <w:sz w:val="22"/>
        </w:rPr>
        <w:t xml:space="preserve">, with respect to </w:t>
      </w:r>
      <w:r>
        <w:rPr>
          <w:rFonts w:ascii="Times New Roman;sans-serif" w:hAnsi="Times New Roman;sans-serif"/>
          <w:b/>
          <w:color w:val="0000FF"/>
          <w:sz w:val="22"/>
          <w:u w:val="single"/>
        </w:rPr>
        <w:t xml:space="preserve">the use, administration, adoption or implementation of </w:t>
      </w:r>
      <w:r>
        <w:rPr>
          <w:rFonts w:ascii="Times New Roman;sans-serif" w:hAnsi="Times New Roman;sans-serif"/>
          <w:b w:val="false"/>
          <w:color w:val="000000"/>
          <w:sz w:val="22"/>
        </w:rPr>
        <w:t>any Benchmark Replacement, any technical, administrative or operational changes (including changes to the definition of “ABR,” the definition of “Business Day,” the definition of “</w:t>
      </w:r>
      <w:r>
        <w:rPr>
          <w:rFonts w:ascii="Times New Roman;sans-serif" w:hAnsi="Times New Roman;sans-serif"/>
          <w:b/>
          <w:color w:val="0000FF"/>
          <w:sz w:val="22"/>
          <w:u w:val="single"/>
        </w:rPr>
        <w:t>U.S. Government Securities Business Day,” the definition of “</w:t>
      </w:r>
      <w:r>
        <w:rPr>
          <w:rFonts w:ascii="Times New Roman;sans-serif" w:hAnsi="Times New Roman;sans-serif"/>
          <w:b w:val="false"/>
          <w:color w:val="000000"/>
          <w:sz w:val="22"/>
        </w:rPr>
        <w:t>Interest Period</w:t>
      </w:r>
      <w:r>
        <w:rPr>
          <w:rFonts w:ascii="Times New Roman;sans-serif" w:hAnsi="Times New Roman;sans-serif"/>
          <w:b/>
          <w:strike/>
          <w:color w:val="FF0000"/>
          <w:sz w:val="22"/>
        </w:rPr>
        <w:t>,</w:t>
      </w:r>
      <w:r>
        <w:rPr>
          <w:color w:val="000000"/>
        </w:rPr>
        <w:t xml:space="preserve">” </w:t>
      </w:r>
      <w:r>
        <w:rPr>
          <w:rFonts w:ascii="Times New Roman;sans-serif" w:hAnsi="Times New Roman;sans-serif"/>
          <w:b/>
          <w:color w:val="0000FF"/>
          <w:sz w:val="22"/>
          <w:u w:val="single"/>
        </w:rPr>
        <w:t xml:space="preserve">or any similar or analogous definition (or the addition of a concept of “interest period”), </w:t>
      </w:r>
      <w:r>
        <w:rPr>
          <w:rFonts w:ascii="Times New Roman;sans-serif" w:hAnsi="Times New Roman;sans-serif"/>
          <w:b w:val="false"/>
          <w:color w:val="000000"/>
          <w:sz w:val="22"/>
        </w:rPr>
        <w:t xml:space="preserve">timing and frequency of determining rates and making payments of interest, timing of borrowing requests or prepayment, conversion or continuation notices, </w:t>
      </w:r>
      <w:r>
        <w:rPr>
          <w:rFonts w:ascii="Times New Roman;sans-serif" w:hAnsi="Times New Roman;sans-serif"/>
          <w:b/>
          <w:color w:val="0000FF"/>
          <w:sz w:val="22"/>
          <w:u w:val="single"/>
        </w:rPr>
        <w:t xml:space="preserve">the applicability and </w:t>
      </w:r>
      <w:r>
        <w:rPr>
          <w:rFonts w:ascii="Times New Roman;sans-serif" w:hAnsi="Times New Roman;sans-serif"/>
          <w:b w:val="false"/>
          <w:color w:val="000000"/>
          <w:sz w:val="22"/>
        </w:rPr>
        <w:t xml:space="preserve">length of lookback periods, the applicability of breakage provisions, and other technical, administrative or operational matters) that the Administrative Agent decides may be appropriate to reflect the adoption and implementation of </w:t>
      </w:r>
      <w:r>
        <w:rPr>
          <w:rFonts w:ascii="Times New Roman;sans-serif" w:hAnsi="Times New Roman;sans-serif"/>
          <w:b/>
          <w:color w:val="0000FF"/>
          <w:sz w:val="22"/>
          <w:u w:val="single"/>
        </w:rPr>
        <w:t xml:space="preserve">any </w:t>
      </w:r>
      <w:r>
        <w:rPr>
          <w:rFonts w:ascii="Times New Roman;sans-serif" w:hAnsi="Times New Roman;sans-serif"/>
          <w:b w:val="false"/>
          <w:color w:val="000000"/>
          <w:sz w:val="22"/>
        </w:rPr>
        <w:t xml:space="preserve">such </w:t>
      </w:r>
      <w:r>
        <w:rPr>
          <w:rFonts w:ascii="Times New Roman;sans-serif" w:hAnsi="Times New Roman;sans-serif"/>
          <w:b/>
          <w:strike/>
          <w:color w:val="FF0000"/>
          <w:sz w:val="22"/>
        </w:rPr>
        <w:t>Benchmark Replacement</w:t>
      </w:r>
      <w:r>
        <w:rPr>
          <w:rFonts w:ascii="Times New Roman;sans-serif" w:hAnsi="Times New Roman;sans-serif"/>
          <w:b/>
          <w:color w:val="0000FF"/>
          <w:sz w:val="22"/>
          <w:u w:val="single"/>
        </w:rPr>
        <w:t>rate</w:t>
      </w:r>
      <w:r>
        <w:rPr>
          <w:color w:val="000000"/>
        </w:rPr>
        <w:t xml:space="preserve"> </w:t>
      </w:r>
      <w:r>
        <w:rPr>
          <w:rFonts w:ascii="Times New Roman;sans-serif" w:hAnsi="Times New Roman;sans-serif"/>
          <w:b w:val="false"/>
          <w:color w:val="000000"/>
          <w:sz w:val="22"/>
        </w:rPr>
        <w:t xml:space="preserve">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w:t>
      </w:r>
      <w:r>
        <w:rPr>
          <w:rFonts w:ascii="Times New Roman;sans-serif" w:hAnsi="Times New Roman;sans-serif"/>
          <w:b/>
          <w:strike/>
          <w:color w:val="FF0000"/>
          <w:sz w:val="22"/>
        </w:rPr>
        <w:t>such Benchmark Replacement</w:t>
      </w:r>
      <w:r>
        <w:rPr>
          <w:rFonts w:ascii="Times New Roman;sans-serif" w:hAnsi="Times New Roman;sans-serif"/>
          <w:b/>
          <w:color w:val="0000FF"/>
          <w:sz w:val="22"/>
          <w:u w:val="single"/>
        </w:rPr>
        <w:t>any such rate</w:t>
      </w:r>
      <w:r>
        <w:rPr>
          <w:color w:val="000000"/>
        </w:rPr>
        <w:t xml:space="preserve"> </w:t>
      </w:r>
      <w:r>
        <w:rPr>
          <w:rFonts w:ascii="Times New Roman;sans-serif" w:hAnsi="Times New Roman;sans-serif"/>
          <w:b w:val="false"/>
          <w:color w:val="000000"/>
          <w:sz w:val="22"/>
        </w:rPr>
        <w:t xml:space="preserve">exists, in such other manner of administration as the Administrative Agent decides is reasonably necessary in connection with the administration of this Agreement and the other Credit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herein to the contrary, no “Benchmark Replacement Conforming Changes” shall result in (i) any material effect on the timing or amount of payments or borrowings or (ii) a deemed exchange of any Loan under Section 1001 of the Code, in each case, without the Administrative Agent consulting with the Borrower.</w:t>
      </w:r>
    </w:p>
    <w:p>
      <w:pPr>
        <w:pStyle w:val="TextBody"/>
        <w:bidi w:val="0"/>
        <w:spacing w:lineRule="auto" w:line="240" w:before="0" w:after="0"/>
        <w:jc w:val="both"/>
        <w:rPr/>
      </w:pPr>
      <w:r>
        <w:rPr>
          <w:color w:val="000000"/>
        </w:rPr>
        <w:t>    “</w:t>
      </w:r>
      <w:r>
        <w:rPr>
          <w:rFonts w:ascii="Times New Roman;sans-serif" w:hAnsi="Times New Roman;sans-serif"/>
          <w:b/>
          <w:color w:val="000000"/>
          <w:sz w:val="22"/>
        </w:rPr>
        <w:t>Benchmark Replacement Date</w:t>
      </w:r>
      <w:r>
        <w:rPr>
          <w:color w:val="000000"/>
        </w:rPr>
        <w:t xml:space="preserve">” </w:t>
      </w:r>
      <w:r>
        <w:rPr>
          <w:rFonts w:ascii="Times New Roman;sans-serif" w:hAnsi="Times New Roman;sans-serif"/>
          <w:b/>
          <w:strike/>
          <w:color w:val="FF0000"/>
          <w:sz w:val="22"/>
        </w:rPr>
        <w:t>means</w:t>
      </w:r>
      <w:r>
        <w:rPr>
          <w:rFonts w:ascii="Times New Roman;sans-serif" w:hAnsi="Times New Roman;sans-serif"/>
          <w:b/>
          <w:color w:val="0000FF"/>
          <w:sz w:val="22"/>
          <w:u w:val="single"/>
        </w:rPr>
        <w:t>shall mean</w:t>
      </w:r>
      <w:r>
        <w:rPr>
          <w:color w:val="000000"/>
        </w:rPr>
        <w:t xml:space="preserve"> </w:t>
      </w:r>
      <w:r>
        <w:rPr>
          <w:rFonts w:ascii="Times New Roman;sans-serif" w:hAnsi="Times New Roman;sans-serif"/>
          <w:b w:val="false"/>
          <w:color w:val="000000"/>
          <w:sz w:val="22"/>
        </w:rPr>
        <w:t>the earliest to occur of the following events with respect to a then-current Benchmark:</w:t>
      </w:r>
    </w:p>
    <w:p>
      <w:pPr>
        <w:pStyle w:val="TextBody"/>
        <w:bidi w:val="0"/>
        <w:spacing w:before="0" w:after="0"/>
        <w:jc w:val="both"/>
        <w:rPr/>
      </w:pPr>
      <w:r>
        <w:rPr/>
      </w:r>
    </w:p>
    <w:p>
      <w:pPr>
        <w:pStyle w:val="TextBody"/>
        <w:bidi w:val="0"/>
        <w:spacing w:lineRule="auto" w:line="285" w:before="0" w:after="164"/>
        <w:ind w:left="0" w:right="0" w:hanging="422"/>
        <w:jc w:val="both"/>
        <w:rPr/>
      </w:pPr>
      <w:r>
        <w:rPr>
          <w:rFonts w:ascii="Times New Roman;sans-serif" w:hAnsi="Times New Roman;sans-serif"/>
          <w:b w:val="false"/>
          <w:color w:val="000000"/>
          <w:sz w:val="22"/>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w:t>
      </w:r>
      <w:r>
        <w:rPr>
          <w:rFonts w:ascii="Times New Roman;sans-serif" w:hAnsi="Times New Roman;sans-serif"/>
          <w:b/>
          <w:color w:val="0000FF"/>
          <w:sz w:val="22"/>
          <w:u w:val="single"/>
        </w:rPr>
        <w:t xml:space="preserve">such Benchmark (or such component thereof) or, if such Benchmark is a term rate, </w:t>
      </w:r>
      <w:r>
        <w:rPr>
          <w:rFonts w:ascii="Times New Roman;sans-serif" w:hAnsi="Times New Roman;sans-serif"/>
          <w:b w:val="false"/>
          <w:color w:val="000000"/>
          <w:sz w:val="22"/>
        </w:rPr>
        <w:t>all Available Tenors of such Benchmark (or such component thereof);</w:t>
      </w:r>
    </w:p>
    <w:p>
      <w:pPr>
        <w:pStyle w:val="TextBody"/>
        <w:bidi w:val="0"/>
        <w:spacing w:lineRule="auto" w:line="285" w:before="0" w:after="164"/>
        <w:ind w:left="0" w:right="0" w:hanging="422"/>
        <w:jc w:val="both"/>
        <w:rPr/>
      </w:pPr>
      <w:r>
        <w:rPr>
          <w:rFonts w:ascii="Times New Roman;sans-serif" w:hAnsi="Times New Roman;sans-serif"/>
          <w:b w:val="false"/>
          <w:color w:val="000000"/>
          <w:sz w:val="22"/>
        </w:rPr>
        <w:t>(2)    in the case of clause (3) of the definition of “Benchmark Transition Event,” the date of the public statement or publication of information referenced therein</w:t>
      </w:r>
      <w:r>
        <w:rPr>
          <w:rFonts w:ascii="Times New Roman;sans-serif" w:hAnsi="Times New Roman;sans-serif"/>
          <w:b/>
          <w:strike/>
          <w:color w:val="FF0000"/>
          <w:sz w:val="22"/>
        </w:rPr>
        <w:t>; or</w:t>
      </w:r>
      <w:r>
        <w:rPr>
          <w:rFonts w:ascii="Times New Roman;sans-serif" w:hAnsi="Times New Roman;sans-serif"/>
          <w:b/>
          <w:color w:val="0000FF"/>
          <w:sz w:val="22"/>
          <w:u w:val="single"/>
        </w:rPr>
        <w:t>.</w:t>
      </w:r>
    </w:p>
    <w:p>
      <w:pPr>
        <w:pStyle w:val="TextBody"/>
        <w:bidi w:val="0"/>
        <w:spacing w:lineRule="auto" w:line="285" w:before="0" w:after="164"/>
        <w:ind w:left="0" w:right="0" w:hanging="422"/>
        <w:jc w:val="both"/>
        <w:rPr>
          <w:rFonts w:ascii="Times New Roman;sans-serif" w:hAnsi="Times New Roman;sans-serif"/>
          <w:b/>
          <w:strike/>
          <w:color w:val="FF0000"/>
          <w:sz w:val="22"/>
        </w:rPr>
      </w:pPr>
      <w:r>
        <w:rPr>
          <w:rFonts w:ascii="Times New Roman;sans-serif" w:hAnsi="Times New Roman;sans-serif"/>
          <w:b/>
          <w:strike/>
          <w:color w:val="FF0000"/>
          <w:sz w:val="22"/>
        </w:rPr>
        <w:t>(3) 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pStyle w:val="TextBody"/>
        <w:bidi w:val="0"/>
        <w:spacing w:lineRule="auto" w:line="240"/>
        <w:jc w:val="both"/>
        <w:rPr/>
      </w:pPr>
      <w:r>
        <w:rPr>
          <w:rFonts w:ascii="Times New Roman;sans-serif" w:hAnsi="Times New Roman;sans-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 xml:space="preserve">and (ii) </w:t>
      </w:r>
      <w:r>
        <w:rPr>
          <w:rFonts w:ascii="Times New Roman;sans-serif" w:hAnsi="Times New Roman;sans-serif"/>
          <w:b/>
          <w:color w:val="0000FF"/>
          <w:sz w:val="22"/>
          <w:u w:val="single"/>
        </w:rPr>
        <w:t xml:space="preserve">if such Benchmark is a term rate, </w:t>
      </w:r>
      <w:r>
        <w:rPr>
          <w:rFonts w:ascii="Times New Roman;sans-serif" w:hAnsi="Times New Roman;sans-serif"/>
          <w:b w:val="false"/>
          <w:color w:val="000000"/>
          <w:sz w:val="22"/>
        </w:rPr>
        <w:t xml:space="preserve">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color w:val="000000"/>
        </w:rPr>
        <w:t>    “</w:t>
      </w:r>
      <w:r>
        <w:rPr>
          <w:rFonts w:ascii="Times New Roman;sans-serif" w:hAnsi="Times New Roman;sans-serif"/>
          <w:b/>
          <w:color w:val="000000"/>
          <w:sz w:val="22"/>
        </w:rPr>
        <w:t>Benchmark Transition Event</w:t>
      </w:r>
      <w:r>
        <w:rPr>
          <w:color w:val="000000"/>
        </w:rPr>
        <w:t xml:space="preserve">” </w:t>
      </w:r>
      <w:r>
        <w:rPr>
          <w:rFonts w:ascii="Times New Roman;sans-serif" w:hAnsi="Times New Roman;sans-serif"/>
          <w:b/>
          <w:strike/>
          <w:color w:val="FF0000"/>
          <w:sz w:val="22"/>
        </w:rPr>
        <w:t>means</w:t>
      </w:r>
      <w:r>
        <w:rPr>
          <w:rFonts w:ascii="Times New Roman;sans-serif" w:hAnsi="Times New Roman;sans-serif"/>
          <w:b/>
          <w:color w:val="0000FF"/>
          <w:sz w:val="22"/>
          <w:u w:val="single"/>
        </w:rPr>
        <w:t>shall mean</w:t>
      </w:r>
      <w:r>
        <w:rPr>
          <w:rFonts w:ascii="Times New Roman;sans-serif" w:hAnsi="Times New Roman;sans-serif"/>
          <w:b w:val="false"/>
          <w:color w:val="000000"/>
          <w:sz w:val="22"/>
        </w:rPr>
        <w:t>, the occurrence of one or more of the following events with respect to a then-current Benchmark:</w:t>
      </w:r>
    </w:p>
    <w:p>
      <w:pPr>
        <w:pStyle w:val="TextBody"/>
        <w:bidi w:val="0"/>
        <w:spacing w:lineRule="auto" w:line="285" w:before="0" w:after="164"/>
        <w:ind w:left="0" w:right="0" w:hanging="422"/>
        <w:jc w:val="both"/>
        <w:rPr/>
      </w:pPr>
      <w:r>
        <w:rPr>
          <w:rFonts w:ascii="Times New Roman;sans-serif" w:hAnsi="Times New Roman;sans-serif"/>
          <w:b w:val="false"/>
          <w:color w:val="000000"/>
          <w:sz w:val="22"/>
        </w:rPr>
        <w:t xml:space="preserve">(1)    a public statement or publication of information by or on behalf of the administrator of such Benchmark (or the published component used in the calculation thereof) announcing that such administrator has ceased or will cease to provide </w:t>
      </w:r>
      <w:r>
        <w:rPr>
          <w:rFonts w:ascii="Times New Roman;sans-serif" w:hAnsi="Times New Roman;sans-serif"/>
          <w:b/>
          <w:color w:val="0000FF"/>
          <w:sz w:val="22"/>
          <w:u w:val="single"/>
        </w:rPr>
        <w:t xml:space="preserve">such Benchmark (or such component thereof) or, if such Benchmark is a term rate, </w:t>
      </w:r>
      <w:r>
        <w:rPr>
          <w:rFonts w:ascii="Times New Roman;sans-serif" w:hAnsi="Times New Roman;sans-serif"/>
          <w:b w:val="false"/>
          <w:color w:val="000000"/>
          <w:sz w:val="22"/>
        </w:rPr>
        <w:t xml:space="preserve">all Available Tenors of such Benchmark (or such component thereof), permanently or indefinitely,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such statement or publication, there is no successor administrator that will continue to provide </w:t>
      </w:r>
      <w:r>
        <w:rPr>
          <w:rFonts w:ascii="Times New Roman;sans-serif" w:hAnsi="Times New Roman;sans-serif"/>
          <w:b/>
          <w:color w:val="0000FF"/>
          <w:sz w:val="22"/>
          <w:u w:val="single"/>
        </w:rPr>
        <w:t xml:space="preserve">such Benchmark (or such component thereof) or, if such Benchmark is a term rate, </w:t>
      </w:r>
      <w:r>
        <w:rPr>
          <w:rFonts w:ascii="Times New Roman;sans-serif" w:hAnsi="Times New Roman;sans-serif"/>
          <w:b w:val="false"/>
          <w:color w:val="000000"/>
          <w:sz w:val="22"/>
        </w:rPr>
        <w:t>any Available Tenor of such Benchmark (or such component thereof);</w:t>
      </w:r>
    </w:p>
    <w:p>
      <w:pPr>
        <w:pStyle w:val="TextBody"/>
        <w:bidi w:val="0"/>
        <w:spacing w:lineRule="auto" w:line="285" w:before="0" w:after="164"/>
        <w:ind w:left="0" w:right="0" w:hanging="422"/>
        <w:jc w:val="both"/>
        <w:rPr/>
      </w:pPr>
      <w:r>
        <w:rPr>
          <w:rFonts w:ascii="Times New Roman;sans-serif" w:hAnsi="Times New Roman;sans-serif"/>
          <w:b w:val="false"/>
          <w:color w:val="000000"/>
          <w:sz w:val="22"/>
        </w:rPr>
        <w:t>(2)    a public statement or publication of information by the regulatory supervisor for the administrator of such Benchmark (or the published component used in the calculation thereof), the Board</w:t>
      </w:r>
      <w:r>
        <w:rPr>
          <w:strike/>
          <w:color w:val="FF0000"/>
        </w:rPr>
        <w:t xml:space="preserve"> </w:t>
      </w:r>
      <w:r>
        <w:rPr>
          <w:rFonts w:ascii="Times New Roman;sans-serif" w:hAnsi="Times New Roman;sans-serif"/>
          <w:b/>
          <w:strike/>
          <w:color w:val="FF0000"/>
          <w:sz w:val="22"/>
        </w:rPr>
        <w:t>of Governors of the Federal Reserve System</w:t>
      </w:r>
      <w:r>
        <w:rPr>
          <w:rFonts w:ascii="Times New Roman;sans-serif" w:hAnsi="Times New Roman;sans-serif"/>
          <w:b w:val="false"/>
          <w:color w:val="000000"/>
          <w:sz w:val="22"/>
        </w:rPr>
        <w:t xml:space="preserve">,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w:t>
      </w:r>
      <w:r>
        <w:rPr>
          <w:rFonts w:ascii="Times New Roman;sans-serif" w:hAnsi="Times New Roman;sans-serif"/>
          <w:b/>
          <w:color w:val="0000FF"/>
          <w:sz w:val="22"/>
          <w:u w:val="single"/>
        </w:rPr>
        <w:t xml:space="preserve">such Benchmark (or such component thereof) or, if such Benchmark is a term rate, </w:t>
      </w:r>
      <w:r>
        <w:rPr>
          <w:rFonts w:ascii="Times New Roman;sans-serif" w:hAnsi="Times New Roman;sans-serif"/>
          <w:b w:val="false"/>
          <w:color w:val="000000"/>
          <w:sz w:val="22"/>
        </w:rPr>
        <w:t>all Available Tenors of such Benchmark (or such component thereof) permanently or indefinitely</w:t>
      </w:r>
      <w:r>
        <w:rPr>
          <w:rFonts w:ascii="Times New Roman;sans-serif" w:hAnsi="Times New Roman;sans-serif"/>
          <w:b/>
          <w:strike/>
          <w:color w:val="FF0000"/>
          <w:sz w:val="22"/>
        </w:rPr>
        <w:t>,</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the time of such statement or publication, there is no successor administrator that will continue to provide </w:t>
      </w:r>
      <w:r>
        <w:rPr>
          <w:rFonts w:ascii="Times New Roman;sans-serif" w:hAnsi="Times New Roman;sans-serif"/>
          <w:b/>
          <w:color w:val="0000FF"/>
          <w:sz w:val="22"/>
          <w:u w:val="single"/>
        </w:rPr>
        <w:t xml:space="preserve">such Benchmark (or such component thereof) or, if such Benchmark is a term rate, </w:t>
      </w:r>
      <w:r>
        <w:rPr>
          <w:rFonts w:ascii="Times New Roman;sans-serif" w:hAnsi="Times New Roman;sans-serif"/>
          <w:b w:val="false"/>
          <w:color w:val="000000"/>
          <w:sz w:val="22"/>
        </w:rPr>
        <w:t>any Available Tenor of such Benchmark (or such component thereof); or</w:t>
      </w:r>
    </w:p>
    <w:p>
      <w:pPr>
        <w:pStyle w:val="TextBody"/>
        <w:bidi w:val="0"/>
        <w:spacing w:lineRule="auto" w:line="285" w:before="0" w:after="164"/>
        <w:ind w:left="0" w:right="0" w:hanging="422"/>
        <w:jc w:val="both"/>
        <w:rPr/>
      </w:pPr>
      <w:r>
        <w:rPr>
          <w:rFonts w:ascii="Times New Roman;sans-serif" w:hAnsi="Times New Roman;sans-serif"/>
          <w:b w:val="false"/>
          <w:color w:val="000000"/>
          <w:sz w:val="22"/>
        </w:rPr>
        <w:t xml:space="preserve">(3)    a public statement or publication of information by the regulatory supervisor for the administrator of such Benchmark (or the published component used in the calculation thereof) announcing that </w:t>
      </w:r>
      <w:r>
        <w:rPr>
          <w:rFonts w:ascii="Times New Roman;sans-serif" w:hAnsi="Times New Roman;sans-serif"/>
          <w:b/>
          <w:color w:val="0000FF"/>
          <w:sz w:val="22"/>
          <w:u w:val="single"/>
        </w:rPr>
        <w:t xml:space="preserve">such Benchmark (or such component thereof) or, if such Benchmark is a term rate, </w:t>
      </w:r>
      <w:r>
        <w:rPr>
          <w:rFonts w:ascii="Times New Roman;sans-serif" w:hAnsi="Times New Roman;sans-serif"/>
          <w:b w:val="false"/>
          <w:color w:val="000000"/>
          <w:sz w:val="22"/>
        </w:rPr>
        <w:t xml:space="preserve">all Available Tenors of such Benchmark (or such component thereof) are </w:t>
      </w:r>
      <w:r>
        <w:rPr>
          <w:rFonts w:ascii="Times New Roman;sans-serif" w:hAnsi="Times New Roman;sans-serif"/>
          <w:b/>
          <w:color w:val="0000FF"/>
          <w:sz w:val="22"/>
          <w:u w:val="single"/>
        </w:rPr>
        <w:t xml:space="preserve">not, or as of a specified future date, will </w:t>
      </w:r>
      <w:r>
        <w:rPr>
          <w:rFonts w:ascii="Times New Roman;sans-serif" w:hAnsi="Times New Roman;sans-serif"/>
          <w:b w:val="false"/>
          <w:color w:val="000000"/>
          <w:sz w:val="22"/>
        </w:rPr>
        <w:t xml:space="preserve">no longer </w:t>
      </w:r>
      <w:r>
        <w:rPr>
          <w:rFonts w:ascii="Times New Roman;sans-serif" w:hAnsi="Times New Roman;sans-serif"/>
          <w:b/>
          <w:color w:val="0000FF"/>
          <w:sz w:val="22"/>
          <w:u w:val="single"/>
        </w:rPr>
        <w:t xml:space="preserve">be </w:t>
      </w:r>
      <w:r>
        <w:rPr>
          <w:rFonts w:ascii="Times New Roman;sans-serif" w:hAnsi="Times New Roman;sans-serif"/>
          <w:b w:val="false"/>
          <w:color w:val="000000"/>
          <w:sz w:val="22"/>
        </w:rPr>
        <w:t>representative.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For the avoidance of doubt, </w:t>
      </w:r>
      <w:r>
        <w:rPr>
          <w:rFonts w:ascii="Times New Roman;sans-serif" w:hAnsi="Times New Roman;sans-serif"/>
          <w:b/>
          <w:color w:val="0000FF"/>
          <w:sz w:val="22"/>
          <w:u w:val="single"/>
        </w:rPr>
        <w:t xml:space="preserve">if such Benchmark is a term rate, </w:t>
      </w:r>
      <w:r>
        <w:rPr>
          <w:rFonts w:ascii="Times New Roman;sans-serif" w:hAnsi="Times New Roman;sans-serif"/>
          <w:b w:val="false"/>
          <w:color w:val="000000"/>
          <w:sz w:val="22"/>
        </w:rPr>
        <w:t xml:space="preserve">a “Benchmark Transition Event” will be deemed to have occurred with respect to </w:t>
      </w:r>
      <w:r>
        <w:rPr>
          <w:rFonts w:ascii="Times New Roman;sans-serif" w:hAnsi="Times New Roman;sans-serif"/>
          <w:b/>
          <w:strike/>
          <w:color w:val="FF0000"/>
          <w:sz w:val="22"/>
        </w:rPr>
        <w:t>each applicable</w:t>
      </w:r>
      <w:r>
        <w:rPr>
          <w:rFonts w:ascii="Times New Roman;sans-serif" w:hAnsi="Times New Roman;sans-serif"/>
          <w:b/>
          <w:color w:val="0000FF"/>
          <w:sz w:val="22"/>
          <w:u w:val="single"/>
        </w:rPr>
        <w:t>any</w:t>
      </w:r>
      <w:r>
        <w:rPr>
          <w:color w:val="000000"/>
        </w:rPr>
        <w:t xml:space="preserve"> </w:t>
      </w:r>
      <w:r>
        <w:rPr>
          <w:rFonts w:ascii="Times New Roman;sans-serif" w:hAnsi="Times New Roman;sans-serif"/>
          <w:b w:val="false"/>
          <w:color w:val="000000"/>
          <w:sz w:val="22"/>
        </w:rPr>
        <w:t>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Benchmark Unavailability Period</w:t>
      </w:r>
      <w:r>
        <w:rPr>
          <w:color w:val="000000"/>
        </w:rPr>
        <w:t xml:space="preserve">” </w:t>
      </w:r>
      <w:r>
        <w:rPr>
          <w:rFonts w:ascii="Times New Roman;sans-serif" w:hAnsi="Times New Roman;sans-serif"/>
          <w:b w:val="false"/>
          <w:color w:val="000000"/>
          <w:sz w:val="22"/>
        </w:rPr>
        <w:t>shall mean</w:t>
      </w:r>
      <w:r>
        <w:rPr>
          <w:rFonts w:ascii="Times New Roman;sans-serif" w:hAnsi="Times New Roman;sans-serif"/>
          <w:b/>
          <w:strike/>
          <w:color w:val="FF0000"/>
          <w:sz w:val="22"/>
        </w:rPr>
        <w:t xml:space="preserve">, with respect to each applicable Benchmark, </w:t>
      </w:r>
      <w:r>
        <w:rPr>
          <w:rFonts w:ascii="Times New Roman;sans-serif" w:hAnsi="Times New Roman;sans-serif"/>
          <w:b w:val="false"/>
          <w:color w:val="000000"/>
          <w:sz w:val="22"/>
        </w:rPr>
        <w:t>the period (if any) (</w:t>
      </w:r>
      <w:r>
        <w:rPr>
          <w:rFonts w:ascii="Times New Roman;sans-serif" w:hAnsi="Times New Roman;sans-serif"/>
          <w:b/>
          <w:strike/>
          <w:color w:val="FF0000"/>
          <w:sz w:val="22"/>
        </w:rPr>
        <w:t>x</w:t>
      </w:r>
      <w:r>
        <w:rPr>
          <w:rFonts w:ascii="Times New Roman;sans-serif" w:hAnsi="Times New Roman;sans-serif"/>
          <w:b/>
          <w:color w:val="0000FF"/>
          <w:sz w:val="22"/>
          <w:u w:val="single"/>
        </w:rPr>
        <w:t>a</w:t>
      </w:r>
      <w:r>
        <w:rPr>
          <w:rFonts w:ascii="Times New Roman;sans-serif" w:hAnsi="Times New Roman;sans-serif"/>
          <w:b w:val="false"/>
          <w:color w:val="000000"/>
          <w:sz w:val="22"/>
        </w:rPr>
        <w:t xml:space="preserve">) beginning at the time that a Benchmark Replacement Date </w:t>
      </w:r>
      <w:r>
        <w:rPr>
          <w:rFonts w:ascii="Times New Roman;sans-serif" w:hAnsi="Times New Roman;sans-serif"/>
          <w:b/>
          <w:strike/>
          <w:color w:val="FF0000"/>
          <w:sz w:val="22"/>
        </w:rPr>
        <w:t xml:space="preserve">pursuant to clauses (1) or (2) of that definition </w:t>
      </w:r>
      <w:r>
        <w:rPr>
          <w:rFonts w:ascii="Times New Roman;sans-serif" w:hAnsi="Times New Roman;sans-serif"/>
          <w:b w:val="false"/>
          <w:color w:val="000000"/>
          <w:sz w:val="22"/>
        </w:rPr>
        <w:t xml:space="preserve">has occurred if, at such time, no Benchmark Replacement has replaced the </w:t>
      </w:r>
      <w:r>
        <w:rPr>
          <w:rFonts w:ascii="Times New Roman;sans-serif" w:hAnsi="Times New Roman;sans-serif"/>
          <w:b w:val="false"/>
          <w:i/>
          <w:color w:val="008000"/>
          <w:sz w:val="22"/>
          <w:u w:val="single"/>
        </w:rPr>
        <w:t xml:space="preserve">then-current Benchmark for all purposes hereunder and under any Credit Document in accordance with Section 3 </w:t>
      </w:r>
      <w:r>
        <w:rPr>
          <w:rFonts w:ascii="Times New Roman;sans-serif" w:hAnsi="Times New Roman;sans-serif"/>
          <w:b/>
          <w:color w:val="0000FF"/>
          <w:sz w:val="22"/>
          <w:u w:val="single"/>
        </w:rPr>
        <w:t>and (b</w:t>
      </w:r>
      <w:r>
        <w:rPr>
          <w:rFonts w:ascii="Times New Roman;sans-serif" w:hAnsi="Times New Roman;sans-serif"/>
          <w:b w:val="false"/>
          <w:i/>
          <w:color w:val="008000"/>
          <w:sz w:val="22"/>
          <w:u w:val="single"/>
        </w:rPr>
        <w:t xml:space="preserve">) ending at the time that a Benchmark Replacement has replaced the </w:t>
      </w:r>
      <w:r>
        <w:rPr>
          <w:rFonts w:ascii="Times New Roman;sans-serif" w:hAnsi="Times New Roman;sans-serif"/>
          <w:b w:val="false"/>
          <w:color w:val="000000"/>
          <w:sz w:val="22"/>
        </w:rPr>
        <w:t xml:space="preserve">applicable then-current Benchmark for all purposes hereunder and under any Credit Document in accordance with </w:t>
      </w:r>
      <w:r>
        <w:rPr>
          <w:rFonts w:ascii="Times New Roman;sans-serif" w:hAnsi="Times New Roman;sans-serif"/>
          <w:b w:val="false"/>
          <w:color w:val="000000"/>
          <w:sz w:val="22"/>
          <w:u w:val="single"/>
        </w:rPr>
        <w:t>Section 3</w:t>
      </w:r>
      <w:r>
        <w:rPr>
          <w:strike/>
          <w:color w:val="FF0000"/>
        </w:rPr>
        <w:t xml:space="preserve"> </w:t>
      </w:r>
      <w:r>
        <w:rPr>
          <w:rFonts w:ascii="Times New Roman;sans-serif" w:hAnsi="Times New Roman;sans-serif"/>
          <w:b/>
          <w:strike/>
          <w:color w:val="FF0000"/>
          <w:sz w:val="22"/>
        </w:rPr>
        <w:t>and (y</w:t>
      </w:r>
      <w:r>
        <w:rPr>
          <w:rFonts w:ascii="Times New Roman;sans-serif" w:hAnsi="Times New Roman;sans-serif"/>
          <w:b w:val="false"/>
          <w:i/>
          <w:strike/>
          <w:color w:val="008000"/>
          <w:sz w:val="22"/>
        </w:rPr>
        <w:t>) ending at the time that a Benchmark Replacement has replaced the then-current Benchmark for all purposes hereunder and under any Credit Document in accordance with Section 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Beneficial Ownership Certification</w:t>
      </w:r>
      <w:r>
        <w:rPr>
          <w:color w:val="000000"/>
        </w:rPr>
        <w:t xml:space="preserve">” </w:t>
      </w:r>
      <w:r>
        <w:rPr>
          <w:rFonts w:ascii="Times New Roman;sans-serif" w:hAnsi="Times New Roman;sans-serif"/>
          <w:b w:val="false"/>
          <w:color w:val="000000"/>
          <w:sz w:val="22"/>
        </w:rPr>
        <w:t>means a certification regarding beneficial ownership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Beneficial Ownership Regulation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Benefited Lender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13.8(a)</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Benefit Plan</w:t>
      </w:r>
      <w:r>
        <w:rPr>
          <w:color w:val="000000"/>
        </w:rPr>
        <w:t xml:space="preserve">” </w:t>
      </w:r>
      <w:r>
        <w:rPr>
          <w:rFonts w:ascii="Times New Roman;sans-serif" w:hAnsi="Times New Roman;sans-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shall mean the Board of Governors of the Federal Reserve System of the United States (or any successor).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Borrower</w:t>
      </w:r>
      <w:r>
        <w:rPr>
          <w:color w:val="000000"/>
        </w:rPr>
        <w:t xml:space="preserve">” </w:t>
      </w:r>
      <w:r>
        <w:rPr>
          <w:rFonts w:ascii="Times New Roman;sans-serif" w:hAnsi="Times New Roman;sans-serif"/>
          <w:b w:val="false"/>
          <w:color w:val="000000"/>
          <w:sz w:val="22"/>
        </w:rPr>
        <w:t>shall have the meaning provided in the recitals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Borrowing</w:t>
      </w:r>
      <w:r>
        <w:rPr>
          <w:color w:val="000000"/>
        </w:rPr>
        <w:t xml:space="preserve">” </w:t>
      </w:r>
      <w:r>
        <w:rPr>
          <w:rFonts w:ascii="Times New Roman;sans-serif" w:hAnsi="Times New Roman;sans-serif"/>
          <w:b w:val="false"/>
          <w:color w:val="000000"/>
          <w:sz w:val="22"/>
        </w:rPr>
        <w:t xml:space="preserve">shall mean Loans of the same Class and Type, made, converted, or continued on the same date and, in the case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as to which a single Interest Period is in effect.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color w:val="000000"/>
          <w:sz w:val="22"/>
        </w:rPr>
        <w:t>Borrowing Base Basket</w:t>
      </w:r>
      <w:r>
        <w:rPr>
          <w:color w:val="000000"/>
        </w:rPr>
        <w:t xml:space="preserve">” </w:t>
      </w:r>
      <w:r>
        <w:rPr>
          <w:rFonts w:ascii="Times New Roman;sans-serif" w:hAnsi="Times New Roman;sans-serif"/>
          <w:b w:val="false"/>
          <w:color w:val="000000"/>
          <w:sz w:val="22"/>
        </w:rPr>
        <w:t>shall mean, as of any date, an amount equal to 90% of the book value of all credit card receivables and 90% of the net orderly liquidation value of all inventory.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Business Day</w:t>
      </w:r>
      <w:r>
        <w:rPr>
          <w:color w:val="000000"/>
        </w:rPr>
        <w:t xml:space="preserve">” </w:t>
      </w:r>
      <w:r>
        <w:rPr>
          <w:rFonts w:ascii="Times New Roman;sans-serif" w:hAnsi="Times New Roman;sans-serif"/>
          <w:b w:val="false"/>
          <w:color w:val="000000"/>
          <w:sz w:val="22"/>
        </w:rPr>
        <w:t>shall mean any day excluding Saturday, Sunday, and any other day on which banking institutions in New York City are authorized by law or other governmental actions to close</w:t>
      </w:r>
      <w:r>
        <w:rPr>
          <w:rFonts w:ascii="Times New Roman;sans-serif" w:hAnsi="Times New Roman;sans-serif"/>
          <w:b/>
          <w:strike/>
          <w:color w:val="FF0000"/>
          <w:sz w:val="22"/>
        </w:rPr>
        <w:t>, and, if such day relates to any interest rate settings as to a LIBOR Loan, any fundings, disbursements, settlements, and payments in respect of any such LIBOR Loan, or any other dealings in Dollars to be carried out pursuant to this Agreement in respect of any such LIBOR Loan, such day shall be a day on which dealings in deposits in Dollars are conducted by and between banks in the applicable London interbank market.</w:t>
      </w:r>
      <w:r>
        <w:rPr>
          <w:rFonts w:ascii="Times New Roman;sans-serif" w:hAnsi="Times New Roman;sans-serif"/>
          <w:b/>
          <w:color w:val="0000FF"/>
          <w:sz w:val="22"/>
          <w:u w:val="single"/>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Capital Expenditures</w:t>
      </w:r>
      <w:r>
        <w:rPr>
          <w:color w:val="000000"/>
        </w:rPr>
        <w:t xml:space="preserve">” </w:t>
      </w:r>
      <w:r>
        <w:rPr>
          <w:rFonts w:ascii="Times New Roman;sans-serif" w:hAnsi="Times New Roman;sans-serif"/>
          <w:b w:val="false"/>
          <w:color w:val="000000"/>
          <w:sz w:val="22"/>
        </w:rPr>
        <w:t>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additions during such period to property, plant, or equipment reflected in the consolidated balance sheet of the Borrower and the Restricted Subsidiaries (including capitalized software expenditures, website development costs, website content development costs, customer acquisition costs and incentive payments, conversion costs, and contract acquisition costs).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Capital Lease</w:t>
      </w:r>
      <w:r>
        <w:rPr>
          <w:color w:val="000000"/>
        </w:rPr>
        <w:t xml:space="preserve">” </w:t>
      </w:r>
      <w:r>
        <w:rPr>
          <w:rFonts w:ascii="Times New Roman;sans-serif" w:hAnsi="Times New Roman;sans-serif"/>
          <w:b w:val="false"/>
          <w:color w:val="000000"/>
          <w:sz w:val="22"/>
        </w:rPr>
        <w:t xml:space="preserve">shall mean, as applied to any Person, any lease of any property (whether real, personal, or mixed) by that Person as lessee that, in conformity with GAAP, is, or is required to be, accounted for as a capital lease on the balance sheet of that Person, subject to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Capital Stock</w:t>
      </w:r>
      <w:r>
        <w:rPr>
          <w:color w:val="000000"/>
        </w:rPr>
        <w:t xml:space="preserve">” </w:t>
      </w:r>
      <w:r>
        <w:rPr>
          <w:rFonts w:ascii="Times New Roman;sans-serif" w:hAnsi="Times New Roman;sans-serif"/>
          <w:b w:val="false"/>
          <w:color w:val="000000"/>
          <w:sz w:val="22"/>
        </w:rPr>
        <w:t>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Capitalized Lease Obligation</w:t>
      </w:r>
      <w:r>
        <w:rPr>
          <w:color w:val="000000"/>
        </w:rPr>
        <w:t xml:space="preserve">” </w:t>
      </w:r>
      <w:r>
        <w:rPr>
          <w:rFonts w:ascii="Times New Roman;sans-serif" w:hAnsi="Times New Roman;sans-serif"/>
          <w:b w:val="false"/>
          <w:color w:val="000000"/>
          <w:sz w:val="22"/>
        </w:rPr>
        <w:t xml:space="preserve">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subject to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Capitalized Software Expenditures</w:t>
      </w:r>
      <w:r>
        <w:rPr>
          <w:color w:val="000000"/>
        </w:rPr>
        <w:t xml:space="preserve">” </w:t>
      </w:r>
      <w:r>
        <w:rPr>
          <w:rFonts w:ascii="Times New Roman;sans-serif" w:hAnsi="Times New Roman;sans-serif"/>
          <w:b w:val="false"/>
          <w:color w:val="000000"/>
          <w:sz w:val="22"/>
        </w:rPr>
        <w:t>shall mean,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Equivalents</w:t>
      </w:r>
      <w:r>
        <w:rPr>
          <w:color w:val="000000"/>
        </w:rPr>
        <w:t xml:space="preserve">” </w:t>
      </w:r>
      <w:r>
        <w:rPr>
          <w:rFonts w:ascii="Times New Roman;sans-serif" w:hAnsi="Times New Roman;sans-serif"/>
          <w:b w:val="false"/>
          <w:color w:val="000000"/>
          <w:sz w:val="22"/>
        </w:rPr>
        <w:t xml:space="preserve">shall mean: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Dollars,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 Euro, Pounds Sterling, Yen, Swiss Francs, Canadian Dollars, or any national currency of any Participating Member State in the European Union or (b) local currencies held from time to time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36 months or less from the date of acquisition,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certificates of deposit, time deposits, and eurodollar time deposits with maturities of 36 months or less from the date of acquisition, bankers’ acceptances with maturities not exceeding one year, and overnight bank deposits, in each case with any commercial bank having capital and surplus of not less than $100,000,000,</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    repurchase obligations for underlying securities of the types described in </w:t>
      </w:r>
      <w:r>
        <w:rPr>
          <w:rFonts w:ascii="Times New Roman;sans-serif" w:hAnsi="Times New Roman;sans-serif"/>
          <w:b w:val="false"/>
          <w:color w:val="000000"/>
          <w:sz w:val="22"/>
          <w:u w:val="single"/>
        </w:rPr>
        <w:t>clauses (iii)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(iv)</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(ix)</w:t>
      </w:r>
      <w:r>
        <w:rPr>
          <w:color w:val="000000"/>
        </w:rPr>
        <w:t xml:space="preserve"> </w:t>
      </w:r>
      <w:r>
        <w:rPr>
          <w:rFonts w:ascii="Times New Roman;sans-serif" w:hAnsi="Times New Roman;sans-serif"/>
          <w:b w:val="false"/>
          <w:color w:val="000000"/>
          <w:sz w:val="22"/>
        </w:rPr>
        <w:t xml:space="preserve">entered into with any financial institution meeting the qualifications specified in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commercial paper rated at least P-2 by Moody’s or at least A-2 by S&amp;P and in each case with average maturities of 36 months or less from the date of creation thereof,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    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with average maturities of 36 months or less from the date of creation or acquisition thereof,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    readily marketable direct obligations issued by any state, commonwealth, or territory of the United States or any political subdivision or taxing authority thereof having one of the two highest rating categories obtainable from either Moody’s or S&amp;P with maturities of 36 months or less from the date of acquisition,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    Indebtedness or preferred stock issued by Persons with a rating of “A” or higher from S&amp;P or “A2” or higher from Moody’s with maturities of 36 months or less from the date of acquisition,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    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with average maturities of 36 months or less from the date of acquisition,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sans-serif" w:hAnsi="Times New Roman;sans-serif"/>
          <w:b/>
          <w:color w:val="000000"/>
          <w:sz w:val="22"/>
        </w:rPr>
        <w:t>Approved Foreign Bank</w:t>
      </w:r>
      <w:r>
        <w:rPr>
          <w:color w:val="000000"/>
        </w:rPr>
        <w:t>”</w:t>
      </w:r>
      <w:r>
        <w:rPr>
          <w:rFonts w:ascii="Times New Roman;sans-serif" w:hAnsi="Times New Roman;sans-serif"/>
          <w:b w:val="false"/>
          <w:color w:val="000000"/>
          <w:sz w:val="22"/>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    in the case of investments by any Foreign Subsidiary or investments made in a country outside the United States, Cash Equivalents shall also include investments of the type and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maturity described in </w:t>
      </w:r>
      <w:r>
        <w:rPr>
          <w:rFonts w:ascii="Times New Roman;sans-serif" w:hAnsi="Times New Roman;sans-serif"/>
          <w:b w:val="false"/>
          <w:color w:val="000000"/>
          <w:sz w:val="22"/>
          <w:u w:val="single"/>
        </w:rPr>
        <w:t>clauses (i)</w:t>
      </w:r>
      <w:r>
        <w:rPr>
          <w:color w:val="000000"/>
        </w:rPr>
        <w:t>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(ix)</w:t>
      </w:r>
      <w:r>
        <w:rPr>
          <w:color w:val="000000"/>
        </w:rPr>
        <w:t xml:space="preserve"> </w:t>
      </w:r>
      <w:r>
        <w:rPr>
          <w:rFonts w:ascii="Times New Roman;sans-serif" w:hAnsi="Times New Roman;sans-serif"/>
          <w:b w:val="false"/>
          <w:color w:val="000000"/>
          <w:sz w:val="22"/>
        </w:rPr>
        <w:t>above of foreign obligors, which investments have ratings, described in such clauses or equivalent ratings from comparable foreign rating agencies,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(xii)    investment funds investing 90% of their assets in securities of the types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(ix)</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(xiii)    investments, classified in accordance with GAAP as current assets, in money market investment programs that are registered under the Investment Company Act of 1940 or that are administered by financial institutions meeting the qualifications specified in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 xml:space="preserve">above, in each case the portfolios of which are limited such that substantially all of such investments are of the character, quality and maturity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(xii)</w:t>
      </w:r>
      <w:r>
        <w:rPr>
          <w:color w:val="000000"/>
        </w:rPr>
        <w:t xml:space="preserve"> </w:t>
      </w:r>
      <w:r>
        <w:rPr>
          <w:rFonts w:ascii="Times New Roman;sans-serif" w:hAnsi="Times New Roman;sans-serif"/>
          <w:b w:val="false"/>
          <w:color w:val="000000"/>
          <w:sz w:val="22"/>
        </w:rPr>
        <w:t>above,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(xiv)    Credit Card Receivables.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the foregoing, Cash Equivalents shall include amounts denominated in currencies other than those set forth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amounts are converted into any currency listed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as promptly as practicable and in any event within ten Business Days following the receipt of such amounts.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avoidance of doubt, any items identified as Cash Equivalents under this definition (other than Credit Card Receivables) will be deemed to be Cash Equivalents for all purposes under the Credit Documents regardless of the treatment of such items under GAAP.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Management Agreement</w:t>
      </w:r>
      <w:r>
        <w:rPr>
          <w:color w:val="000000"/>
        </w:rPr>
        <w:t xml:space="preserve">” </w:t>
      </w:r>
      <w:r>
        <w:rPr>
          <w:rFonts w:ascii="Times New Roman;sans-serif" w:hAnsi="Times New Roman;sans-serif"/>
          <w:b w:val="false"/>
          <w:color w:val="000000"/>
          <w:sz w:val="22"/>
        </w:rPr>
        <w:t>shall mean any agreement or arrangement to provide Cash Management Services.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Management Bank</w:t>
      </w:r>
      <w:r>
        <w:rPr>
          <w:color w:val="000000"/>
        </w:rPr>
        <w:t xml:space="preserve">” </w:t>
      </w:r>
      <w:r>
        <w:rPr>
          <w:rFonts w:ascii="Times New Roman;sans-serif" w:hAnsi="Times New Roman;sans-serif"/>
          <w:b w:val="false"/>
          <w:color w:val="000000"/>
          <w:sz w:val="22"/>
        </w:rPr>
        <w:t xml:space="preserve">shall mean any Person that, at the time it enters into a Cash Management Agreement with the Borrower or any Restricted Subsidiary, is an Agent or a Lender or an Affiliate of an Agent or a Lender or (ii) any Person that is designated by the Borrower as a “Cash Management Bank” by written notice to the Administrative Agent substantially in the form of </w:t>
      </w:r>
      <w:r>
        <w:rPr>
          <w:rFonts w:ascii="Times New Roman;sans-serif" w:hAnsi="Times New Roman;sans-serif"/>
          <w:b w:val="false"/>
          <w:color w:val="000000"/>
          <w:sz w:val="22"/>
          <w:u w:val="single"/>
        </w:rPr>
        <w:t>Exhibit L-2</w:t>
      </w:r>
      <w:r>
        <w:rPr>
          <w:color w:val="000000"/>
        </w:rPr>
        <w:t xml:space="preserve"> </w:t>
      </w:r>
      <w:r>
        <w:rPr>
          <w:rFonts w:ascii="Times New Roman;sans-serif" w:hAnsi="Times New Roman;sans-serif"/>
          <w:b w:val="false"/>
          <w:color w:val="000000"/>
          <w:sz w:val="22"/>
        </w:rPr>
        <w:t>or such other form reasonably acceptable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Management Services</w:t>
      </w:r>
      <w:r>
        <w:rPr>
          <w:color w:val="000000"/>
        </w:rPr>
        <w:t xml:space="preserve">” </w:t>
      </w:r>
      <w:r>
        <w:rPr>
          <w:rFonts w:ascii="Times New Roman;sans-serif" w:hAnsi="Times New Roman;sans-serif"/>
          <w:b w:val="false"/>
          <w:color w:val="000000"/>
          <w:sz w:val="22"/>
        </w:rPr>
        <w:t>shall mean any one or more of the following types of services or facilities: (i) commercial credit cards, merchant card services, purchase or debit cards, including non-card e-payables services, or electronic funds transfer services, (ii) treasury management services (including controlled disbursement, overdraft automatic clearing house fund transfer services, return items, and interstate depository network services), (iii) any other demand deposit or operating account relationships or other cash management services, including pursuant to any Cash Management Agreements and (iv) and other services related, ancillary or complementary to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Casualty Event</w:t>
      </w:r>
      <w:r>
        <w:rPr>
          <w:color w:val="000000"/>
        </w:rPr>
        <w:t xml:space="preserve">” </w:t>
      </w:r>
      <w:r>
        <w:rPr>
          <w:rFonts w:ascii="Times New Roman;sans-serif" w:hAnsi="Times New Roman;sans-serif"/>
          <w:b w:val="false"/>
          <w:color w:val="000000"/>
          <w:sz w:val="22"/>
        </w:rPr>
        <w:t xml:space="preserve">shall mean, with respect to any Collateral, any loss of or damage to, or any condemnation or other taking by a Governmental Authority of, such Collateral for which Holdings, the Borrower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any Casualty Event, the Borrower shall not be obligated to make any prepayment otherwise required by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unless and until the aggregate amount of Net Cash Proceeds from all such Casualty Events, after giving effect to the reinvestment rights set forth herein, exceeds the greater of (a) $75,000,000 and (b) 15% of Consolidated EBITDA for the most recently ended Test Period (calculated on a Pro Forma Basis) (the “</w:t>
      </w:r>
      <w:r>
        <w:rPr>
          <w:rFonts w:ascii="Times New Roman;sans-serif" w:hAnsi="Times New Roman;sans-serif"/>
          <w:b/>
          <w:color w:val="000000"/>
          <w:sz w:val="22"/>
        </w:rPr>
        <w:t>Casualty Prepayment Trigger</w:t>
      </w:r>
      <w:r>
        <w:rPr>
          <w:color w:val="000000"/>
        </w:rPr>
        <w:t>”</w:t>
      </w:r>
      <w:r>
        <w:rPr>
          <w:rFonts w:ascii="Times New Roman;sans-serif" w:hAnsi="Times New Roman;sans-serif"/>
          <w:b w:val="false"/>
          <w:color w:val="000000"/>
          <w:sz w:val="22"/>
        </w:rPr>
        <w:t>) in any fiscal year of the Borrower, and then from such Net Cash Proceeds in excess of the Casualty Prepayment Trigger.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CFC</w:t>
      </w:r>
      <w:r>
        <w:rPr>
          <w:color w:val="000000"/>
        </w:rPr>
        <w:t xml:space="preserve">” </w:t>
      </w:r>
      <w:r>
        <w:rPr>
          <w:rFonts w:ascii="Times New Roman;sans-serif" w:hAnsi="Times New Roman;sans-serif"/>
          <w:b w:val="false"/>
          <w:color w:val="000000"/>
          <w:sz w:val="22"/>
        </w:rPr>
        <w:t>shall mean a Subsidiary of Holdings that is a “controlled foreign corporation” within the meaning of Section 957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CFC Holding Company</w:t>
      </w:r>
      <w:r>
        <w:rPr>
          <w:color w:val="000000"/>
        </w:rPr>
        <w:t xml:space="preserve">” </w:t>
      </w:r>
      <w:r>
        <w:rPr>
          <w:rFonts w:ascii="Times New Roman;sans-serif" w:hAnsi="Times New Roman;sans-serif"/>
          <w:b w:val="false"/>
          <w:color w:val="000000"/>
          <w:sz w:val="22"/>
        </w:rPr>
        <w:t>shall mean a Subsidiary of the Borrower substantially all of the assets of which consist of equity and/or indebtedness of one or more Foreign Subsidiaries that are CFCs.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Change in Law</w:t>
      </w:r>
      <w:r>
        <w:rPr>
          <w:color w:val="000000"/>
        </w:rPr>
        <w:t xml:space="preserve">” </w:t>
      </w:r>
      <w:r>
        <w:rPr>
          <w:rFonts w:ascii="Times New Roman;sans-serif" w:hAnsi="Times New Roman;sans-serif"/>
          <w:b w:val="false"/>
          <w:color w:val="000000"/>
          <w:sz w:val="22"/>
        </w:rPr>
        <w:t>shall mean (i) the adoption of any law, treaty, order, policy, rule, or regulation after the Restatement Effective Date, (ii) any change in any law, treaty, order, policy, rule, or regulation or in the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regardless of the date enacted, adopted or issued.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Change of Control</w:t>
      </w:r>
      <w:r>
        <w:rPr>
          <w:color w:val="000000"/>
        </w:rPr>
        <w:t xml:space="preserve">” </w:t>
      </w:r>
      <w:r>
        <w:rPr>
          <w:rFonts w:ascii="Times New Roman;sans-serif" w:hAnsi="Times New Roman;sans-serif"/>
          <w:b w:val="false"/>
          <w:color w:val="000000"/>
          <w:sz w:val="22"/>
        </w:rPr>
        <w:t xml:space="preserve">shall mean and be deemed to have occurred if (i)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in case of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the Permitted Holders have, at such time, the right or the ability by voting power, contract, or otherwise to elect or designate for election at least a majority of the board of directors of Holdings; (ii) at any time, a Change of Control (as defined in the ABL Credit Agreement or the New Senior Notes) shall have occurred; or (iii) Holdings shall cease to beneficially own, directly or indirectly, 100% of the issued and outstanding equity interests of the Borrower. For the purpose of </w:t>
      </w:r>
      <w:r>
        <w:rPr>
          <w:rFonts w:ascii="Times New Roman;sans-serif" w:hAnsi="Times New Roman;sans-serif"/>
          <w:b w:val="false"/>
          <w:color w:val="000000"/>
          <w:sz w:val="22"/>
          <w:u w:val="single"/>
        </w:rPr>
        <w:t>clauses (ii)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(iii</w:t>
      </w:r>
      <w:r>
        <w:rPr>
          <w:rFonts w:ascii="Times New Roman;sans-serif" w:hAnsi="Times New Roman;sans-serif"/>
          <w:b w:val="false"/>
          <w:color w:val="000000"/>
          <w:sz w:val="22"/>
        </w:rPr>
        <w:t>) at any time when a majority of the outstanding Voting Stock of Holdings is directly or indirectly owned by a Parent Entity or, if applicable, a Parent Entity acts as the manager, managing member or general partner of Holdings, references in this definition to “Holdings” shall be deemed to refer to the ultimate Parent Entity that directly or indirectly owns such Voting Stock or acts as (or, if applicable, is a Parent Entity that directly or indirectly owns a majority of the outstanding Voting Stock of) such manager, managing member or general partner. For purposes of this definition, (i) </w:t>
      </w:r>
      <w:r>
        <w:rPr>
          <w:strike/>
          <w:color w:val="FF0000"/>
        </w:rPr>
        <w:t>”</w:t>
      </w:r>
      <w:r>
        <w:rPr>
          <w:color w:val="0000FF"/>
          <w:u w:val="single"/>
        </w:rPr>
        <w:t>“</w:t>
      </w:r>
      <w:r>
        <w:rPr>
          <w:rFonts w:ascii="Times New Roman;sans-serif" w:hAnsi="Times New Roman;sans-serif"/>
          <w:b w:val="false"/>
          <w:color w:val="000000"/>
          <w:sz w:val="22"/>
        </w:rPr>
        <w:t xml:space="preserve">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or the Borrower, as applicable, directly or indirectly owned by the Permitted Holders that are part of such Person or “group” shall not be treated as being owned by such Person or “group” for purposes of determining whether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of this definition is triggered and (iv)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Class</w:t>
      </w:r>
      <w:r>
        <w:rPr>
          <w:color w:val="000000"/>
        </w:rPr>
        <w:t xml:space="preserve">” </w:t>
      </w:r>
      <w:r>
        <w:rPr>
          <w:rFonts w:ascii="Times New Roman;sans-serif" w:hAnsi="Times New Roman;sans-serif"/>
          <w:b w:val="false"/>
          <w:color w:val="000000"/>
          <w:sz w:val="22"/>
        </w:rPr>
        <w:t>(i) when used in reference to any Loan or Borrowing, shall refer to whether such Loan, or the Loans comprising such Borrowing, are Initial Term Loans, New Term Loans (of each Series), Extended Term Loans (of the same Extension Series) or Replacement Term Loans (of the same Series), and (ii) when used in reference to any Commitment, refers to whether such Commitment is an Initial Term Loan Commitment or a New Term Loan Commitment.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Closing Date</w:t>
      </w:r>
      <w:r>
        <w:rPr>
          <w:color w:val="000000"/>
        </w:rPr>
        <w:t xml:space="preserve">” </w:t>
      </w:r>
      <w:r>
        <w:rPr>
          <w:rFonts w:ascii="Times New Roman;sans-serif" w:hAnsi="Times New Roman;sans-serif"/>
          <w:b w:val="false"/>
          <w:color w:val="000000"/>
          <w:sz w:val="22"/>
        </w:rPr>
        <w:t xml:space="preserve">shall mean November 6, 2020.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shall mean the Internal Revenue Code of 1986,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Collateral</w:t>
      </w:r>
      <w:r>
        <w:rPr>
          <w:color w:val="000000"/>
        </w:rPr>
        <w:t xml:space="preserve">” </w:t>
      </w:r>
      <w:r>
        <w:rPr>
          <w:rFonts w:ascii="Times New Roman;sans-serif" w:hAnsi="Times New Roman;sans-serif"/>
          <w:b w:val="false"/>
          <w:color w:val="000000"/>
          <w:sz w:val="22"/>
        </w:rPr>
        <w:t>shall mean all property pledged or mortgaged or purported to be pledged or mortgaged pursuant to the Security Documents, excluding in all events Excluded Property.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Collateral Agent</w:t>
      </w:r>
      <w:r>
        <w:rPr>
          <w:color w:val="000000"/>
        </w:rPr>
        <w:t xml:space="preserve">” </w:t>
      </w:r>
      <w:r>
        <w:rPr>
          <w:rFonts w:ascii="Times New Roman;sans-serif" w:hAnsi="Times New Roman;sans-serif"/>
          <w:b w:val="false"/>
          <w:color w:val="000000"/>
          <w:sz w:val="22"/>
        </w:rPr>
        <w:t xml:space="preserve">shall mean Credit Suisse AG, Cayman Islands Branch, as collateral agent under the Security Documents, or any successor collateral agent pursuant to </w:t>
      </w:r>
      <w:r>
        <w:rPr>
          <w:rFonts w:ascii="Times New Roman;sans-serif" w:hAnsi="Times New Roman;sans-serif"/>
          <w:b w:val="false"/>
          <w:color w:val="000000"/>
          <w:sz w:val="22"/>
          <w:u w:val="single"/>
        </w:rPr>
        <w:t>Section 12.9</w:t>
      </w:r>
      <w:r>
        <w:rPr>
          <w:rFonts w:ascii="Times New Roman;sans-serif" w:hAnsi="Times New Roman;sans-serif"/>
          <w:b w:val="false"/>
          <w:color w:val="000000"/>
          <w:sz w:val="22"/>
        </w:rPr>
        <w:t>, and any Affiliate or designee of Credit Suisse AG, Cayman Islands Branch, may act as the Collateral Agent under any Credit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Commitments</w:t>
      </w:r>
      <w:r>
        <w:rPr>
          <w:color w:val="000000"/>
        </w:rPr>
        <w:t xml:space="preserve">” </w:t>
      </w:r>
      <w:r>
        <w:rPr>
          <w:rFonts w:ascii="Times New Roman;sans-serif" w:hAnsi="Times New Roman;sans-serif"/>
          <w:b w:val="false"/>
          <w:color w:val="000000"/>
          <w:sz w:val="22"/>
        </w:rPr>
        <w:t>shall mean, with respect to each Lender (to the extent applicable), such Lender’s Initial Term Loan Commitment or New Term Loan Commitment.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Commodity Exchange Act</w:t>
      </w:r>
      <w:r>
        <w:rPr>
          <w:color w:val="000000"/>
        </w:rPr>
        <w:t xml:space="preserve">” </w:t>
      </w:r>
      <w:r>
        <w:rPr>
          <w:rFonts w:ascii="Times New Roman;sans-serif" w:hAnsi="Times New Roman;sans-serif"/>
          <w:b w:val="false"/>
          <w:color w:val="000000"/>
          <w:sz w:val="22"/>
        </w:rPr>
        <w:t>shall mean the Commodity Exchange Act (7 U.S.C. § 1 et seq.), as amended from time to time, and any successor statute.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Communications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13.17(a)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Compliance Certificate</w:t>
      </w:r>
      <w:r>
        <w:rPr>
          <w:color w:val="000000"/>
        </w:rPr>
        <w:t xml:space="preserve">” </w:t>
      </w:r>
      <w:r>
        <w:rPr>
          <w:rFonts w:ascii="Times New Roman;sans-serif" w:hAnsi="Times New Roman;sans-serif"/>
          <w:b w:val="false"/>
          <w:color w:val="000000"/>
          <w:sz w:val="22"/>
        </w:rPr>
        <w:t xml:space="preserve">shall mean a certificate of a responsible financial or accounting officer of the Borrower delivered pursuant to </w:t>
      </w:r>
      <w:r>
        <w:rPr>
          <w:rFonts w:ascii="Times New Roman;sans-serif" w:hAnsi="Times New Roman;sans-serif"/>
          <w:b w:val="false"/>
          <w:color w:val="000000"/>
          <w:sz w:val="22"/>
          <w:u w:val="single"/>
        </w:rPr>
        <w:t>Section 9.1(d)</w:t>
      </w:r>
      <w:r>
        <w:rPr>
          <w:color w:val="000000"/>
        </w:rPr>
        <w:t xml:space="preserve"> </w:t>
      </w:r>
      <w:r>
        <w:rPr>
          <w:rFonts w:ascii="Times New Roman;sans-serif" w:hAnsi="Times New Roman;sans-serif"/>
          <w:b w:val="false"/>
          <w:color w:val="000000"/>
          <w:sz w:val="22"/>
        </w:rPr>
        <w:t>for the applicable Test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Conforming Changes Amendment” shall mean that certain Conforming Changes Amendment to this Agreement, dated as of May 17, 2023 and effective as of July 1, 2023.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Depreciation and Amortization Expense</w:t>
      </w:r>
      <w:r>
        <w:rPr>
          <w:color w:val="000000"/>
        </w:rPr>
        <w:t xml:space="preserve">” </w:t>
      </w:r>
      <w:r>
        <w:rPr>
          <w:rFonts w:ascii="Times New Roman;sans-serif" w:hAnsi="Times New Roman;sans-serif"/>
          <w:b w:val="false"/>
          <w:color w:val="000000"/>
          <w:sz w:val="22"/>
        </w:rPr>
        <w:t>shall mean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EBITDA</w:t>
      </w:r>
      <w:r>
        <w:rPr>
          <w:color w:val="000000"/>
        </w:rPr>
        <w:t xml:space="preserve">” </w:t>
      </w:r>
      <w:r>
        <w:rPr>
          <w:rFonts w:ascii="Times New Roman;sans-serif" w:hAnsi="Times New Roman;sans-serif"/>
          <w:b w:val="false"/>
          <w:color w:val="000000"/>
          <w:sz w:val="22"/>
        </w:rPr>
        <w:t>shall mean, with respect to any Person and its Restricted Subsidiaries on a consolidated basis for any period, the Consolidated Net Income of such Person for such period: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    increased (without duplication) by: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provision for taxes based on income, revenue,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and any payments to any direct or indirect parent in respect of such taxes,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in each case to the extent the same were deducted (and not added back) in calculating such Consolidated Net Income,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    Consolidated Depreciation and Amortization Expense of such Person for such period to the extent the same were deducted (and not added back) in computing Consolidated Net Income,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ABL Loans and the Loans hereunder and all Transaction Expenses, (2) such fees, expenses, or charges related to the offering of the Credit Documents and any other credit facilities, and (3) any amendment or other modification of the ABL Loans, the Loans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hereunder or other Indebtedness, and, in each case, deducted (and not added back) in computing Consolidated Net Income,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    any other non-cash charges, including any write offs, write downs, expenses, losses, or items to the extent the same were deducted (and not added back) in computing Consolidated Net Income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(f)    the amount of any net income (loss) attributable to non-controlling interests in any non-Wholly Owned Subsidiary deducted (and not added back) in such period in calculating Consolidated Net Income,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(g)    the amount of management, monitoring, consulting, and advisory fees (including termination fees) and related indemnities and expenses paid or accrued in such period to the Initial Investors or any of their respective Affiliates,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(h)    costs of surety bonds incurred in such period in connection with financing activities,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color w:val="000000"/>
        </w:rPr>
        <w:t>    </w:t>
      </w:r>
      <w:r>
        <w:rPr>
          <w:rFonts w:ascii="Times New Roman;sans-serif" w:hAnsi="Times New Roman;sans-serif"/>
          <w:b w:val="false"/>
          <w:color w:val="000000"/>
          <w:sz w:val="22"/>
        </w:rPr>
        <w:t>increases in Consolidated EBITDA projected by the Borrower in good faith to result from</w:t>
      </w:r>
      <w:r>
        <w:rPr>
          <w:color w:val="000000"/>
        </w:rPr>
        <w:t xml:space="preserve"> </w:t>
      </w:r>
      <w:r>
        <w:rPr>
          <w:rFonts w:ascii="Times New Roman;sans-serif" w:hAnsi="Times New Roman;sans-serif"/>
          <w:b w:val="false"/>
          <w:color w:val="000000"/>
          <w:sz w:val="22"/>
        </w:rPr>
        <w:t xml:space="preserve">Permitted Acquisitions or transactions involving new or expanded services, facilities, lines of business or operations, in each case which have been consummated or are reasonably expected to be consummated pursuant to agreements or letters of intent that have been entered into with respect thereto, reflecting any projected increase in the businesses and services of the Borrower and its Restricted Subsidiaries and such Acquired Entity or Business or new or expanded services, facilities, lines of business or operations, in each case attributable to the applicable transaction and that are reasonably identifiable and factually supportable,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(j)    the amount of reasonably identifiable and factually supportable “run-rate” cost savings and revenue synergies, operating expense reductions, operating enhancements and other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and revenue synergies, operating expense reductions, and synergies shall be calculated on a Pro Forma Basis as though such cost savings and revenue synergies, operating expense reductions, operating enhancements or other synergies had been realized on the first day of such period),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(k)    the amount of loss or discount on sale of receivables and related assets to the Receivables Subsidiary in connection with a Receivables Facility,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(l)    any costs or expense incurred by the Borrower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of the Borrower (other than Disqualified Stock),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    the amount of expenses relating to payments made to option, phantom equity or profits interest holders of the Borrower or any of its any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w:t>
      </w:r>
      <w:r>
        <w:rPr>
          <w:rFonts w:ascii="Times New Roman;sans-serif" w:hAnsi="Times New Roman;sans-serif"/>
          <w:b w:val="false"/>
          <w:i/>
          <w:color w:val="000000"/>
          <w:sz w:val="22"/>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    with respect to any joint venture that is not a Restricted Subsidiary, an amount equal to the proportion of those items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above relating to such joint venture corresponding to the Borrower’s and the Restricted Subsidiaries’ proportionate share of such joint venture’s Consolidated Net Income (determined as if such joint venture were a Restricted Subsidiary),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(o)    cash receipts (or any netting arrangements resulting in reduced cash expenses) not included in Consolidated EBITDA in any period solely to the extent that the corresponding non-cash gains relating to such receipts were deducted in the calculation of Consolidated EBITDA pursuant to </w:t>
      </w:r>
      <w:r>
        <w:rPr>
          <w:rFonts w:ascii="Times New Roman;sans-serif" w:hAnsi="Times New Roman;sans-serif"/>
          <w:b w:val="false"/>
          <w:color w:val="000000"/>
          <w:sz w:val="22"/>
          <w:u w:val="single"/>
        </w:rPr>
        <w:t>paragraph (2)</w:t>
      </w:r>
      <w:r>
        <w:rPr>
          <w:color w:val="000000"/>
        </w:rPr>
        <w:t xml:space="preserve"> </w:t>
      </w:r>
      <w:r>
        <w:rPr>
          <w:rFonts w:ascii="Times New Roman;sans-serif" w:hAnsi="Times New Roman;sans-serif"/>
          <w:b w:val="false"/>
          <w:color w:val="000000"/>
          <w:sz w:val="22"/>
        </w:rPr>
        <w:t xml:space="preserve">below for any previous period and not added back,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(p)    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such 365 days), expenses with respect to liability or casualty events or business interruption,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(q)    charges, expenses, and other items described in (1) the Lender Presentation or (2) any quality of earnings report reasonably prepared in good faith by a nationally recognized accounting firm in connection with any Specified Transaction actually consummated by the Borrower or its Restricted Subsidiaries and delivered to the Administrative Agent,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(r)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(s)    the aggregate amount of “run-rate” Consolidated EBITDA reasonably expect to be derived from contracted revenue under any contract in place as of the end of such period projected by Holdings in good faith for the period of four consecutive fiscal quarters of Holdings following the end of such period, as if such contracted revenue was applicable (calculated, if applicable, using the historical average derived from such contract over the immediately preceding three year period and without duplication of any Consolidated EBITDA actually reflected in such four consecutive fiscal quarter period) during the entire period, </w:t>
      </w:r>
      <w:r>
        <w:rPr>
          <w:rFonts w:ascii="Times New Roman;sans-serif" w:hAnsi="Times New Roman;sans-serif"/>
          <w:b w:val="false"/>
          <w:i/>
          <w:color w:val="000000"/>
          <w:sz w:val="22"/>
        </w:rPr>
        <w:t>plus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    any costs or expenses realized in connection with or resulting from stock appreciation or similar rights, stock options or other rights of officers, directors and employees, in each case of the Borrower or any of its Restricted Subsidiaries, </w:t>
      </w:r>
      <w:r>
        <w:rPr>
          <w:rFonts w:ascii="Times New Roman;sans-serif" w:hAnsi="Times New Roman;sans-serif"/>
          <w:b w:val="false"/>
          <w:i/>
          <w:color w:val="000000"/>
          <w:sz w:val="22"/>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(u)    pre-opening costs and expenses in connection with new retail locations and losses from any such new location during the first year after opening, </w:t>
      </w:r>
      <w:r>
        <w:rPr>
          <w:rFonts w:ascii="Times New Roman;sans-serif" w:hAnsi="Times New Roman;sans-serif"/>
          <w:b w:val="false"/>
          <w:i/>
          <w:color w:val="000000"/>
          <w:sz w:val="22"/>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costs and expenses in connection with project ramp-ups that are reasonably identifiable and factually supportable (in the good faith determination of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(w)    the amount of any loss attributable to a new store, distribution center, facility or business until the date that is 24 months after the date of commencement of construction or the date of acquisition or launch thereof, as the case may be;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losses are reasonably identifiable and factually supportable and certified by a responsible officer of the Borrower, (B) losses attributable to such store, distribution center, facility or business after 24 months from the date of commencement of construction or the date of acquisition of such store, distribution center or facility, as the case may be, shall not be included in this </w:t>
      </w:r>
      <w:r>
        <w:rPr>
          <w:rFonts w:ascii="Times New Roman;sans-serif" w:hAnsi="Times New Roman;sans-serif"/>
          <w:b w:val="false"/>
          <w:color w:val="000000"/>
          <w:sz w:val="22"/>
          <w:u w:val="single"/>
        </w:rPr>
        <w:t>clause (s)</w:t>
      </w:r>
      <w:r>
        <w:rPr>
          <w:rFonts w:ascii="Times New Roman;sans-serif" w:hAnsi="Times New Roman;sans-serif"/>
          <w:b w:val="false"/>
          <w:color w:val="000000"/>
          <w:sz w:val="22"/>
        </w:rPr>
        <w:t xml:space="preserve">, and (C) no amounts shall be added pursuant to this </w:t>
      </w:r>
      <w:r>
        <w:rPr>
          <w:rFonts w:ascii="Times New Roman;sans-serif" w:hAnsi="Times New Roman;sans-serif"/>
          <w:b w:val="false"/>
          <w:color w:val="000000"/>
          <w:sz w:val="22"/>
          <w:u w:val="single"/>
        </w:rPr>
        <w:t>clause (s)</w:t>
      </w:r>
      <w:r>
        <w:rPr>
          <w:color w:val="000000"/>
        </w:rPr>
        <w:t xml:space="preserve"> </w:t>
      </w:r>
      <w:r>
        <w:rPr>
          <w:rFonts w:ascii="Times New Roman;sans-serif" w:hAnsi="Times New Roman;sans-serif"/>
          <w:b w:val="false"/>
          <w:color w:val="000000"/>
          <w:sz w:val="22"/>
        </w:rPr>
        <w:t xml:space="preserve">to the extent duplicative of any expenses or charges relating to such cost savings or revenue enhancements that are included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 with respect to such period,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(ii)    decreased by (without duplication), 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Times New Roman;sans-serif" w:hAnsi="Times New Roman;sans-serif"/>
          <w:b w:val="false"/>
          <w:i/>
          <w:color w:val="000000"/>
          <w:sz w:val="22"/>
        </w:rPr>
        <w:t>Leases</w:t>
      </w:r>
      <w:r>
        <w:rPr>
          <w:color w:val="000000"/>
        </w:rPr>
        <w:t xml:space="preserve"> </w:t>
      </w:r>
      <w:r>
        <w:rPr>
          <w:rFonts w:ascii="Times New Roman;sans-serif" w:hAnsi="Times New Roman;sans-serif"/>
          <w:b w:val="false"/>
          <w:color w:val="000000"/>
          <w:sz w:val="22"/>
        </w:rPr>
        <w:t xml:space="preserve">(formerly Financial Accounting Standards Board Statement No. 13);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non-cash gains are deducted pursuant to this </w:t>
      </w:r>
      <w:r>
        <w:rPr>
          <w:rFonts w:ascii="Times New Roman;sans-serif" w:hAnsi="Times New Roman;sans-serif"/>
          <w:b w:val="false"/>
          <w:color w:val="000000"/>
          <w:sz w:val="22"/>
          <w:u w:val="single"/>
        </w:rPr>
        <w:t>clause (ii)(a)</w:t>
      </w:r>
      <w:r>
        <w:rPr>
          <w:color w:val="000000"/>
        </w:rPr>
        <w:t xml:space="preserve"> </w:t>
      </w:r>
      <w:r>
        <w:rPr>
          <w:rFonts w:ascii="Times New Roman;sans-serif" w:hAnsi="Times New Roman;sans-serif"/>
          <w:b w:val="false"/>
          <w:color w:val="000000"/>
          <w:sz w:val="22"/>
        </w:rPr>
        <w:t xml:space="preserve">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 </w:t>
      </w:r>
      <w:r>
        <w:rPr>
          <w:rFonts w:ascii="Times New Roman;sans-serif" w:hAnsi="Times New Roman;sans-serif"/>
          <w:b w:val="false"/>
          <w:i/>
          <w:color w:val="000000"/>
          <w:sz w:val="22"/>
        </w:rPr>
        <w:t>plus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(iii)    increased or decreased by (without duplication):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net gain or loss resulting in such period from currency gains or losses related to Indebtedness, intercompany balances, and other balance sheet items, plus or minus, as the case may be,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avoidance of doubt: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    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(ii)    there shall be included in determining Consolidated EBITDA for any period, without duplication, (1) the Acquired EBITDA of any Person or business, or attributable to any property or asset acquired by the Borrower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the Borrower or such Restricted Subsidiary during such period (each such Person, business, property, or asset acquired and not subsequently so disposed of, an “</w:t>
      </w:r>
      <w:r>
        <w:rPr>
          <w:rFonts w:ascii="Times New Roman;sans-serif" w:hAnsi="Times New Roman;sans-serif"/>
          <w:b/>
          <w:color w:val="000000"/>
          <w:sz w:val="22"/>
        </w:rPr>
        <w:t>Acquired Entity or Business</w:t>
      </w:r>
      <w:r>
        <w:rPr>
          <w:color w:val="000000"/>
        </w:rPr>
        <w:t>”</w:t>
      </w:r>
      <w:r>
        <w:rPr>
          <w:rFonts w:ascii="Times New Roman;sans-serif" w:hAnsi="Times New Roman;sans-serif"/>
          <w:b w:val="false"/>
          <w:color w:val="000000"/>
          <w:sz w:val="22"/>
        </w:rPr>
        <w:t>) and the Acquired EBITDA of any Unrestricted Subsidiary that is converted into a Restricted Subsidiary during such period (each, a “</w:t>
      </w:r>
      <w:r>
        <w:rPr>
          <w:rFonts w:ascii="Times New Roman;sans-serif" w:hAnsi="Times New Roman;sans-serif"/>
          <w:b/>
          <w:color w:val="000000"/>
          <w:sz w:val="22"/>
        </w:rPr>
        <w:t>Converted Restricted Subsidiary</w:t>
      </w:r>
      <w:r>
        <w:rPr>
          <w:color w:val="000000"/>
        </w:rPr>
        <w:t>”</w:t>
      </w:r>
      <w:r>
        <w:rPr>
          <w:rFonts w:ascii="Times New Roman;sans-serif" w:hAnsi="Times New Roman;sans-serif"/>
          <w:b w:val="false"/>
          <w:color w:val="000000"/>
          <w:sz w:val="22"/>
        </w:rPr>
        <w:t xml:space="preserve">), based on the actual Acquired EBITDA of such Acquired Entity or Business or Converted Restricted Subsidiary for such period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(iii)    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the Borrower or any Restricted Subsidiary during such period (each such Person, property, business, or asset so sold or disposed of, a “</w:t>
      </w:r>
      <w:r>
        <w:rPr>
          <w:rFonts w:ascii="Times New Roman;sans-serif" w:hAnsi="Times New Roman;sans-serif"/>
          <w:b/>
          <w:color w:val="000000"/>
          <w:sz w:val="22"/>
        </w:rPr>
        <w:t>Sold Entity or Business</w:t>
      </w:r>
      <w:r>
        <w:rPr>
          <w:color w:val="000000"/>
        </w:rPr>
        <w:t>”</w:t>
      </w:r>
      <w:r>
        <w:rPr>
          <w:rFonts w:ascii="Times New Roman;sans-serif" w:hAnsi="Times New Roman;sans-serif"/>
          <w:b w:val="false"/>
          <w:color w:val="000000"/>
          <w:sz w:val="22"/>
        </w:rPr>
        <w:t>), and the Disposed EBITDA of any Restricted Subsidiary that is converted into an Unrestricted Subsidiary during such period (each, a “</w:t>
      </w:r>
      <w:r>
        <w:rPr>
          <w:rFonts w:ascii="Times New Roman;sans-serif" w:hAnsi="Times New Roman;sans-serif"/>
          <w:b/>
          <w:color w:val="000000"/>
          <w:sz w:val="22"/>
        </w:rPr>
        <w:t>Converted Unrestricted Subsidiary</w:t>
      </w:r>
      <w:r>
        <w:rPr>
          <w:color w:val="000000"/>
        </w:rPr>
        <w:t>”</w:t>
      </w:r>
      <w:r>
        <w:rPr>
          <w:rFonts w:ascii="Times New Roman;sans-serif" w:hAnsi="Times New Roman;sans-serif"/>
          <w:b w:val="false"/>
          <w:color w:val="000000"/>
          <w:sz w:val="22"/>
        </w:rPr>
        <w:t xml:space="preserve">) based on the actual Disposed EBITDA of such Sold Entity or Business or Converted Unrestricted Subsidiary for such period (including the portion thereof occurring prior to such sale, transfer, or disposition or conversion);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First Lien</w:t>
      </w:r>
      <w:r>
        <w:rPr>
          <w:color w:val="000000"/>
        </w:rPr>
        <w:t xml:space="preserve"> </w:t>
      </w:r>
      <w:r>
        <w:rPr>
          <w:rFonts w:ascii="Times New Roman;sans-serif" w:hAnsi="Times New Roman;sans-serif"/>
          <w:b/>
          <w:color w:val="000000"/>
          <w:sz w:val="22"/>
        </w:rPr>
        <w:t>Secured Debt</w:t>
      </w:r>
      <w:r>
        <w:rPr>
          <w:color w:val="000000"/>
        </w:rPr>
        <w:t xml:space="preserve">” </w:t>
      </w:r>
      <w:r>
        <w:rPr>
          <w:rFonts w:ascii="Times New Roman;sans-serif" w:hAnsi="Times New Roman;sans-serif"/>
          <w:b w:val="false"/>
          <w:color w:val="000000"/>
          <w:sz w:val="22"/>
        </w:rPr>
        <w:t>shall mean, as of any date of determination, an amount equal to the sum of the aggregate amount of all outstanding Indebtedness of Holdings, the Borrower and the Restricted Subsidiaries on a consolidated basis consisting of third party Indebtedness for borrowed money as of such date secured by a Lien on all of the Collateral that ranks on an equal priority basis (but without regard to the control of remedies) with Liens on all of the Collateral securing the Obligations. For the avoidance of doubt, any Indebtedness under the ABL Facility shall constitute Consolidated First Lien Secured Debt.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First Lien Secured Debt to Consolidated EBITDA Ratio</w:t>
      </w:r>
      <w:r>
        <w:rPr>
          <w:color w:val="000000"/>
        </w:rPr>
        <w:t xml:space="preserve">” </w:t>
      </w:r>
      <w:r>
        <w:rPr>
          <w:rFonts w:ascii="Times New Roman;sans-serif" w:hAnsi="Times New Roman;sans-serif"/>
          <w:b w:val="false"/>
          <w:color w:val="000000"/>
          <w:sz w:val="22"/>
        </w:rPr>
        <w:t xml:space="preserve">shall mean, as of any date of determination, the ratio of (i) Consolidated First Lien Secured Debt as of such date of determination,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cash and Cash Equivalents (in each case, free and clear of all Liens other than Permitted Liens) of the Borrower and the Restricted Subsidiaries to (ii) Consolidated EBITDA of the Borrower for the Test Period most recently ended on or prior to such date of determination, in each case with such pro forma adjustments to Consolidated First Lien Secured Debt and Consolidated EBITDA as are appropriate and consistent with the pro forma adjustment provisions set forth in the definition of Pro Forma Basis.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Interest Expense</w:t>
      </w:r>
      <w:r>
        <w:rPr>
          <w:color w:val="000000"/>
        </w:rPr>
        <w:t xml:space="preserve">” </w:t>
      </w:r>
      <w:r>
        <w:rPr>
          <w:rFonts w:ascii="Times New Roman;sans-serif" w:hAnsi="Times New Roman;sans-serif"/>
          <w:b w:val="false"/>
          <w:color w:val="000000"/>
          <w:sz w:val="22"/>
        </w:rPr>
        <w:t xml:space="preserve">shall mean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but excluding, for the avoidance of doubt, (a) amortization of deferred financing costs, debt issuance costs, commissions, fees and expenses and any other amounts of non cash interest (including as a result of the effects of acquisition method accounting or pushdown accounting), (b) non-cash interest expense attributable to the movement of the mark-to-market valuation of Indebtedness or obligations under Hedging Obligations or other derivative instruments pursuant to FASB Accounting Standards Codification Topic 815—Derivatives and Hedging, (c) any one-time cash costs associated with breakage in respect of hedging agreements for interest rates, (d) commissions, discounts, yield, make-whole premium and other fees and charges (including any interest expense) incurred in connection with any Permitted Receivables Financing, (e) any “additional interest” owing pursuant to a registration rights agreement with respect to any securities, (f) any payments with respect to make-whole premiums or other breakage costs of any Indebtedness, including, without limitation, any Indebtedness issued in connection with the Transactions, (g) penalties and interest relating to taxes, (h) accretion or accrual of discounted liabilities not constituting Indebtedness, (i) interest expense attributable to a direct or indirect parent entity resulting from push-down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respect thereto and with respect to the Transactions, any acquisition or Investment permitted hereunder, all as calculated on a consolidated basis.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Net Income</w:t>
      </w:r>
      <w:r>
        <w:rPr>
          <w:color w:val="000000"/>
        </w:rPr>
        <w:t xml:space="preserve">” </w:t>
      </w:r>
      <w:r>
        <w:rPr>
          <w:rFonts w:ascii="Times New Roman;sans-serif" w:hAnsi="Times New Roman;sans-serif"/>
          <w:b w:val="false"/>
          <w:color w:val="000000"/>
          <w:sz w:val="22"/>
        </w:rPr>
        <w:t xml:space="preserve">shall mean, with respect to any Person for any period, the aggregate of the Net Income, of such Person and its Restricted Subsidiaries for such period, on a consolidated basis, and on an after-tax basis to the extent appropriate, and otherwise determined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without duplication,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    extraordinary, non-recurring or unusual gains or losses (less all fees and expenses relating thereto) or expenses (including any unusual or non-recurring operating expenses directly attributable to the implementation of cost savings initiatives and any accruals or reserves in respect of any extraordinary, non- recurring or unusual items), severance, relocation costs, integration and facilities’ or bases’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or bases and curtailments or modifications to pension and post-retirement employee benefit plans (including any settlement of pension liabilities and charges resulting from changes in estimates, valuations and judgments),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(ii)    at the election of the Borrower, subject to the provisions set forth in </w:t>
      </w:r>
      <w:r>
        <w:rPr>
          <w:rFonts w:ascii="Times New Roman;sans-serif" w:hAnsi="Times New Roman;sans-serif"/>
          <w:b w:val="false"/>
          <w:color w:val="000000"/>
          <w:sz w:val="22"/>
          <w:u w:val="single"/>
        </w:rPr>
        <w:t>Section 1.3</w:t>
      </w:r>
      <w:r>
        <w:rPr>
          <w:rFonts w:ascii="Times New Roman;sans-serif" w:hAnsi="Times New Roman;sans-serif"/>
          <w:b w:val="false"/>
          <w:color w:val="000000"/>
          <w:sz w:val="22"/>
        </w:rPr>
        <w:t>, the Net Income for such period shall not include the cumulative effect of a change in accounting principles and changes as a result of the adoption or modification of accounting policies during such period,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(iii)    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(iv)    any effect of gains or losses (less all fees and expenses relating thereto) attributable to asset dispositions or abandonments other than in the ordinary course of business, as determined in good faith by the board of directors of the Borrower,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(v)    the Net Income for such period of any Person that is not the Borrower or a Subsidiary, or is an Unrestricted Subsidiary, or that is accounted for by the equity method of accounting, shall be excluded;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Consolidated Net Income of the Borrower shall be increased by the amount of dividends or distributions or other payments that are actually paid in cash (or to the extent converted into cash or Cash Equivalents) to the referent Person or a Restricted Subsidiary thereof in respect of such period, shall be excluded,</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(vi)    solely for the purpose of determining the amount available for Restricted Payments under </w:t>
      </w:r>
      <w:r>
        <w:rPr>
          <w:rFonts w:ascii="Times New Roman;sans-serif" w:hAnsi="Times New Roman;sans-serif"/>
          <w:b w:val="false"/>
          <w:color w:val="000000"/>
          <w:sz w:val="22"/>
          <w:u w:val="single"/>
        </w:rPr>
        <w:t>clause (iii)(A)</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w:t>
      </w:r>
      <w:r>
        <w:rPr>
          <w:rFonts w:ascii="Times New Roman;sans-serif" w:hAnsi="Times New Roman;sans-serif"/>
          <w:b w:val="false"/>
          <w:color w:val="000000"/>
          <w:sz w:val="22"/>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(a) has been legally waived, or otherwise released, (b) is imposed pursuant to this Agreement and other Credit Documents, the ABL Credit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Permitted Debt Exchange Notes, New Term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(vii)    effects of adjustments (including the effects of such adjustments pushed down to the Borrower and the Restricted Subsidiaries) in any line item in such Person’s consolidated financial statements required or permitted by Financial Accounting Standards Codification Topic 805 – Business Combinations and Topic 350 – Intangibles-Goodwill and Other (ASC 805 and ASC 350) (formerly Financial Accounting Standards Board Statement Nos. 141 and 142, respectively) resulting from the application of purchase accounting, including in relation to the Transactions and any acquisition that is consummated after the Restatement Effective Date or the amortization or write-off of any amounts thereof, net of taxes,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(viii)    (a) any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mark-to-market valuation of foreign currencies, Indebtedness, or derivative instruments pursuant to GAAP,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(ix)    any impairment charge, asset write-off, or write-down pursuant to ASC 350 and Financial Accounting Standards Codification Topic 360 – Impairment and Disposal of Long-Lived Assets (ASC 360) (formerly Financial Accounting Standards Board Statement No. 144) and the amortization of intangibles arising pursuant to ASC 805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    (a) any non-cash compensation expense recorded from or in connection with any share-based compensation arrangements including stock appreciation or similar rights, phantom equity, stock options, restricted stock, capital or profits interests or other rights to officers, directors, managers, or employees and (b) non-cash income (loss) attributable to deferred compensation plans or trusts,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    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(xii)    accruals and reserves (including contingent liabilities) that are established or adjusted within twelve months after the Restatement Effective Date that are so required to be established as a result of the Transactions in accordance with GAAP, or changes as a result of adoption or modification of accounting policies, shall be excluded,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(xiii)    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the Borrower that there exists such evidence (with a deduction for any amount so added back to the extent not so reimbursed within 365 days), losses and expenses with respect to liability or casualty events or business interruption shall be excluded,</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(xiv)    any deferred tax expense associated with tax deductions or net operating losses arising as a result of the Transactions, or the release of any valuation allowance related to such items, shall be excluded,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(xv)    any costs or expenses incurred during such period relating to environmental remediation, litigation, or other disputes in respect of events and exposures that occurred prior to the Restatement Effective Date shall be excluded,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(xvi)    costs associated with, or in anticipation of, or preparation for, compliance with the requirements of the Sarbanes-Oxley Act of 2002 and the rules and regulations promulgated in connection therewith and Public Company Costs shall be excluded, and</w:t>
      </w:r>
    </w:p>
    <w:p>
      <w:pPr>
        <w:pStyle w:val="TextBody"/>
        <w:bidi w:val="0"/>
        <w:spacing w:lineRule="auto" w:line="240" w:before="0" w:after="240"/>
        <w:jc w:val="both"/>
        <w:rPr/>
      </w:pPr>
      <w:r>
        <w:rPr>
          <w:color w:val="000000"/>
        </w:rPr>
        <w:t xml:space="preserve">     </w:t>
      </w:r>
      <w:r>
        <w:rPr>
          <w:rFonts w:ascii="Times New Roman;sans-serif" w:hAnsi="Times New Roman;sans-serif"/>
          <w:b w:val="false"/>
          <w:color w:val="000000"/>
          <w:sz w:val="22"/>
        </w:rPr>
        <w:t xml:space="preserve">(xvii)     any amounts paid pursuant to </w:t>
      </w:r>
      <w:r>
        <w:rPr>
          <w:rFonts w:ascii="Times New Roman;sans-serif" w:hAnsi="Times New Roman;sans-serif"/>
          <w:b w:val="false"/>
          <w:color w:val="000000"/>
          <w:sz w:val="22"/>
          <w:u w:val="single"/>
        </w:rPr>
        <w:t>clause (15)</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10.5(b)</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subclause (E)(ii)</w:t>
      </w:r>
      <w:r>
        <w:rPr>
          <w:color w:val="000000"/>
        </w:rPr>
        <w:t xml:space="preserve"> </w:t>
      </w:r>
      <w:r>
        <w:rPr>
          <w:rFonts w:ascii="Times New Roman;sans-serif" w:hAnsi="Times New Roman;sans-serif"/>
          <w:b w:val="false"/>
          <w:color w:val="000000"/>
          <w:sz w:val="22"/>
        </w:rPr>
        <w:t>thereof that are used to fund payments that, if paid by the Borrower would have reduced Net Income, shall be included to reduce Net Income.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Total Assets</w:t>
      </w:r>
      <w:r>
        <w:rPr>
          <w:color w:val="000000"/>
        </w:rPr>
        <w:t xml:space="preserve">” </w:t>
      </w:r>
      <w:r>
        <w:rPr>
          <w:rFonts w:ascii="Times New Roman;sans-serif" w:hAnsi="Times New Roman;sans-serif"/>
          <w:b w:val="false"/>
          <w:color w:val="000000"/>
          <w:sz w:val="22"/>
        </w:rPr>
        <w:t>shall mean, as of any date of determination, the amount that would, in conformity with GAAP, be set forth opposite the caption “total assets” (or any like caption) on the most recent consolidated balance sheet of the Borrower and the Restricted Subsidiaries at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Total Debt</w:t>
      </w:r>
      <w:r>
        <w:rPr>
          <w:color w:val="000000"/>
        </w:rPr>
        <w:t xml:space="preserve">” </w:t>
      </w:r>
      <w:r>
        <w:rPr>
          <w:rFonts w:ascii="Times New Roman;sans-serif" w:hAnsi="Times New Roman;sans-serif"/>
          <w:b w:val="false"/>
          <w:color w:val="000000"/>
          <w:sz w:val="22"/>
        </w:rPr>
        <w:t xml:space="preserve">shall mean, as at any date of determination, an amount equal to the sum of the aggregate amount of all outstanding Indebtedness of the Borrower and the Restricted Subsidiaries on a consolidated basis consisting of Indebtedness for borrowed money, Capitalized Lease Obligations and debt obligations evidenced by promissory notes and similar instruments (and excluding, for the avoidance of doubt, Hedging Obligations);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 Consolidated Total Debt shall not include Letters of Credit (as defined in the ABL Credit Agreement), except to the extent of Unpaid Drawings (as defined in the ABL Credit Agreement) thereunder and (ii) the amount of any Indebtedness outstanding under the ABL Facility on any date shall be deemed to be the average daily amount of such Indebtedness thereunder for the most recent twelve month period ending on such date (and for any period ending prior to the one year anniversary of the Restatement Effective Date, the average daily amount outstanding thereunder during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Total Debt to Consolidated EBITDA Ratio</w:t>
      </w:r>
      <w:r>
        <w:rPr>
          <w:color w:val="000000"/>
        </w:rPr>
        <w:t xml:space="preserve">” </w:t>
      </w:r>
      <w:r>
        <w:rPr>
          <w:rFonts w:ascii="Times New Roman;sans-serif" w:hAnsi="Times New Roman;sans-serif"/>
          <w:b w:val="false"/>
          <w:color w:val="000000"/>
          <w:sz w:val="22"/>
        </w:rPr>
        <w:t xml:space="preserve">shall mean, as of any date of determination, the ratio of (i) Consolidated Total Debt as of such date of determination,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cash and Cash Equivalents (in each case, free and clear of all Liens other than Permitted Liens) of the Borrower and the Restricted Subsidiaries to (ii) Consolidated EBITDA of the Borrower for the Test Period most recently ended on or prior to such date of determination, in each case with such pro forma adjustments to Consolidated Total Debt and Consolidated EBITDA as are appropriate and consistent with the pro forma adjustment provisions set forth in the definition of Pro Forma Ratio.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Consolidated Working Capital</w:t>
      </w:r>
      <w:r>
        <w:rPr>
          <w:color w:val="000000"/>
        </w:rPr>
        <w:t xml:space="preserve">” </w:t>
      </w:r>
      <w:r>
        <w:rPr>
          <w:rFonts w:ascii="Times New Roman;sans-serif" w:hAnsi="Times New Roman;sans-serif"/>
          <w:b w:val="false"/>
          <w:color w:val="000000"/>
          <w:sz w:val="22"/>
        </w:rPr>
        <w:t xml:space="preserve">shall mean, at any date, the excess of (i)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w:t>
      </w:r>
      <w:r>
        <w:rPr>
          <w:rFonts w:ascii="Times New Roman;sans-serif" w:hAnsi="Times New Roman;sans-serif"/>
          <w:b w:val="false"/>
          <w:i/>
          <w:color w:val="000000"/>
          <w:sz w:val="22"/>
        </w:rPr>
        <w:t>over</w:t>
      </w:r>
      <w:r>
        <w:rPr>
          <w:color w:val="000000"/>
        </w:rPr>
        <w:t xml:space="preserve"> </w:t>
      </w:r>
      <w:r>
        <w:rPr>
          <w:rFonts w:ascii="Times New Roman;sans-serif" w:hAnsi="Times New Roman;sans-serif"/>
          <w:b w:val="false"/>
          <w:color w:val="000000"/>
          <w:sz w:val="22"/>
        </w:rPr>
        <w:t xml:space="preserve">(ii) the sum of all amounts that would, in conformity with GAAP, be set forth opposite the caption “total current liabilities” (or any like caption) on a consolidated balance sheet of the Borrower and the Restricted Subsidiaries on such date, but excluding (for purposes of both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above), without duplication, (a) the current portion of any Funded Debt, (b) all Indebtedness consisting of Loans, ABL Loans and Letter of Credit Exposure (as defined in the ABL Credit Agreement) and Capital Leases to the extent otherwise included therein, (c) the current portion of interest, (d) the current portion of current and deferred income taxes, (e) any liabilities that are not Indebtedness and will not be settled in cash or Cash Equivalents during the next succeeding twelve month period after such date, (f) the effects from applying purchase accounting, (g) any accrued professional liability risks, (h) restricted marketable securities, and (i) deferred revenue reflected within current liabilities;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for purposes of calculating Excess Cash Flow, increases or decreases in working capital (A) arising from acquisitions or dispositions by the Borrower and the Restricted Subsidiaries shall be measured from the date on which such acquisition or disposition occurred and (B) shall exclude (I) the impact of non-cash adjustments contemplated in the Excess Cash Flow calculation, (II) the impact of adjusting items in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other than as a result of the passage of time, in accordance with GAAP of assets or liabilities, as applicable, between current and noncurrent or (z) the effects of acquisition method accounting.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Contingent Obligations</w:t>
      </w:r>
      <w:r>
        <w:rPr>
          <w:color w:val="000000"/>
        </w:rPr>
        <w:t xml:space="preserve">” </w:t>
      </w:r>
      <w:r>
        <w:rPr>
          <w:rFonts w:ascii="Times New Roman;sans-serif" w:hAnsi="Times New Roman;sans-serif"/>
          <w:b w:val="false"/>
          <w:color w:val="000000"/>
          <w:sz w:val="22"/>
        </w:rPr>
        <w:t>shall mean, with respect to any Person, any obligation of such Person guaranteeing any leases, dividends, or other payment obligations that do not constitute Indebtedness (“</w:t>
      </w:r>
      <w:r>
        <w:rPr>
          <w:rFonts w:ascii="Times New Roman;sans-serif" w:hAnsi="Times New Roman;sans-serif"/>
          <w:b/>
          <w:color w:val="000000"/>
          <w:sz w:val="22"/>
        </w:rPr>
        <w:t>primary obligations</w:t>
      </w:r>
      <w:r>
        <w:rPr>
          <w:color w:val="000000"/>
        </w:rPr>
        <w:t>”</w:t>
      </w:r>
      <w:r>
        <w:rPr>
          <w:rFonts w:ascii="Times New Roman;sans-serif" w:hAnsi="Times New Roman;sans-serif"/>
          <w:b w:val="false"/>
          <w:color w:val="000000"/>
          <w:sz w:val="22"/>
        </w:rPr>
        <w:t>) of any other Person (the “</w:t>
      </w:r>
      <w:r>
        <w:rPr>
          <w:rFonts w:ascii="Times New Roman;sans-serif" w:hAnsi="Times New Roman;sans-serif"/>
          <w:b/>
          <w:color w:val="000000"/>
          <w:sz w:val="22"/>
        </w:rPr>
        <w:t>primary obligor</w:t>
      </w:r>
      <w:r>
        <w:rPr>
          <w:color w:val="000000"/>
        </w:rPr>
        <w:t>”</w:t>
      </w:r>
      <w:r>
        <w:rPr>
          <w:rFonts w:ascii="Times New Roman;sans-serif" w:hAnsi="Times New Roman;sans-serif"/>
          <w:b w:val="false"/>
          <w:color w:val="000000"/>
          <w:sz w:val="22"/>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Contract Consideration</w:t>
      </w:r>
      <w:r>
        <w:rPr>
          <w:color w:val="000000"/>
        </w:rPr>
        <w:t xml:space="preserve">” </w:t>
      </w:r>
      <w:r>
        <w:rPr>
          <w:rFonts w:ascii="Times New Roman;sans-serif" w:hAnsi="Times New Roman;sans-serif"/>
          <w:b w:val="false"/>
          <w:color w:val="000000"/>
          <w:sz w:val="22"/>
        </w:rPr>
        <w:t>shall have the meaning provided in the definition of Excess Cash Flow.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Contractual Requirement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8.3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Converted Restricted Subsidiary</w:t>
      </w:r>
      <w:r>
        <w:rPr>
          <w:color w:val="000000"/>
        </w:rPr>
        <w:t xml:space="preserve">” </w:t>
      </w:r>
      <w:r>
        <w:rPr>
          <w:rFonts w:ascii="Times New Roman;sans-serif" w:hAnsi="Times New Roman;sans-serif"/>
          <w:b w:val="false"/>
          <w:color w:val="000000"/>
          <w:sz w:val="22"/>
        </w:rPr>
        <w:t>shall have the meaning provided in the definition of the term Consolidated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Converted Unrestricted Subsidiary</w:t>
      </w:r>
      <w:r>
        <w:rPr>
          <w:color w:val="000000"/>
        </w:rPr>
        <w:t xml:space="preserve">” </w:t>
      </w:r>
      <w:r>
        <w:rPr>
          <w:rFonts w:ascii="Times New Roman;sans-serif" w:hAnsi="Times New Roman;sans-serif"/>
          <w:b w:val="false"/>
          <w:color w:val="000000"/>
          <w:sz w:val="22"/>
        </w:rPr>
        <w:t>shall have the meaning provided in the definition of the term Consolidated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Converting Term Lender</w:t>
      </w:r>
      <w:r>
        <w:rPr>
          <w:color w:val="000000"/>
        </w:rPr>
        <w:t xml:space="preserve">” </w:t>
      </w:r>
      <w:r>
        <w:rPr>
          <w:rFonts w:ascii="Times New Roman;sans-serif" w:hAnsi="Times New Roman;sans-serif"/>
          <w:b w:val="false"/>
          <w:color w:val="000000"/>
          <w:sz w:val="22"/>
        </w:rPr>
        <w:t xml:space="preserve">means each Existing Term Lender that has elected to convert its Existing Term Loans to Initial Term Loans pursuant to Amendment No. 4.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Converting Term Loans</w:t>
      </w:r>
      <w:r>
        <w:rPr>
          <w:color w:val="000000"/>
        </w:rPr>
        <w:t xml:space="preserve">” </w:t>
      </w:r>
      <w:r>
        <w:rPr>
          <w:rFonts w:ascii="Times New Roman;sans-serif" w:hAnsi="Times New Roman;sans-serif"/>
          <w:b w:val="false"/>
          <w:color w:val="000000"/>
          <w:sz w:val="22"/>
        </w:rPr>
        <w:t>means each Existing Term Loan as to which the Lender thereof is a Converting Term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Corresponding Tenor</w:t>
      </w:r>
      <w:r>
        <w:rPr>
          <w:color w:val="000000"/>
        </w:rPr>
        <w:t xml:space="preserve">” </w:t>
      </w:r>
      <w:r>
        <w:rPr>
          <w:rFonts w:ascii="Times New Roman;sans-serif" w:hAnsi="Times New Roman;sans-serif"/>
          <w:b w:val="false"/>
          <w:color w:val="000000"/>
          <w:sz w:val="22"/>
        </w:rPr>
        <w:t>with respect to any Available Tenor shall mean, as applicable, either a tenor (including overnight) or an interest payment period having approximately the same length (disregarding business day adjustment) as such Available Tenor.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Card Receivables</w:t>
      </w:r>
      <w:r>
        <w:rPr>
          <w:color w:val="000000"/>
        </w:rPr>
        <w:t xml:space="preserve">” </w:t>
      </w:r>
      <w:r>
        <w:rPr>
          <w:rFonts w:ascii="Times New Roman;sans-serif" w:hAnsi="Times New Roman;sans-serif"/>
          <w:b w:val="false"/>
          <w:color w:val="000000"/>
          <w:sz w:val="22"/>
        </w:rPr>
        <w:t>shall mean, as of any date of determination, the amount due from third-party financial institutions for credit and debit card transactions that would, in conformity with GAAP, be set forth opposite the caption “cash equivalents” (or any like caption) on the most recent consolidated balance sheet of the Borrower and its Restricted Subsidiaries at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Documents</w:t>
      </w:r>
      <w:r>
        <w:rPr>
          <w:color w:val="000000"/>
        </w:rPr>
        <w:t xml:space="preserve">” </w:t>
      </w:r>
      <w:r>
        <w:rPr>
          <w:rFonts w:ascii="Times New Roman;sans-serif" w:hAnsi="Times New Roman;sans-serif"/>
          <w:b w:val="false"/>
          <w:color w:val="000000"/>
          <w:sz w:val="22"/>
        </w:rPr>
        <w:t>shall mean this Agreement, each Joinder Agreement, each Extension Amendment, each Permitted Repricing Amendment, the Guarantees, the Security Documents, and any promissory notes issued by the Borrower pursuant hereto, which, for the avoidance of doubt, shall include Amendment No. 4 as of the Amendment No. 4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Event</w:t>
      </w:r>
      <w:r>
        <w:rPr>
          <w:color w:val="000000"/>
        </w:rPr>
        <w:t xml:space="preserve">” </w:t>
      </w:r>
      <w:r>
        <w:rPr>
          <w:rFonts w:ascii="Times New Roman;sans-serif" w:hAnsi="Times New Roman;sans-serif"/>
          <w:b w:val="false"/>
          <w:color w:val="000000"/>
          <w:sz w:val="22"/>
        </w:rPr>
        <w:t>shall mean and include the making (but not the conversion or continuation) of a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Facilities</w:t>
      </w:r>
      <w:r>
        <w:rPr>
          <w:color w:val="000000"/>
        </w:rPr>
        <w:t xml:space="preserve">” </w:t>
      </w:r>
      <w:r>
        <w:rPr>
          <w:rFonts w:ascii="Times New Roman;sans-serif" w:hAnsi="Times New Roman;sans-serif"/>
          <w:b w:val="false"/>
          <w:color w:val="000000"/>
          <w:sz w:val="22"/>
        </w:rPr>
        <w:t>shall mean, collectively, each category of Commitments and each extension of credit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Facility</w:t>
      </w:r>
      <w:r>
        <w:rPr>
          <w:color w:val="000000"/>
        </w:rPr>
        <w:t xml:space="preserve">” </w:t>
      </w:r>
      <w:r>
        <w:rPr>
          <w:rFonts w:ascii="Times New Roman;sans-serif" w:hAnsi="Times New Roman;sans-serif"/>
          <w:b w:val="false"/>
          <w:color w:val="000000"/>
          <w:sz w:val="22"/>
        </w:rPr>
        <w:t>shall mean a category of Commitments and extensions of credit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Credit Party</w:t>
      </w:r>
      <w:r>
        <w:rPr>
          <w:color w:val="000000"/>
        </w:rPr>
        <w:t xml:space="preserve">” </w:t>
      </w:r>
      <w:r>
        <w:rPr>
          <w:rFonts w:ascii="Times New Roman;sans-serif" w:hAnsi="Times New Roman;sans-serif"/>
          <w:b w:val="false"/>
          <w:color w:val="000000"/>
          <w:sz w:val="22"/>
        </w:rPr>
        <w:t>shall mean Holdings, the Borrower and the other Guarantors.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color w:val="000000"/>
          <w:sz w:val="22"/>
        </w:rPr>
        <w:t>Daily Simple SOFR</w:t>
      </w:r>
      <w:r>
        <w:rPr>
          <w:color w:val="000000"/>
        </w:rPr>
        <w:t xml:space="preserve">” </w:t>
      </w:r>
      <w:r>
        <w:rPr>
          <w:rFonts w:ascii="Times New Roman;sans-serif" w:hAnsi="Times New Roman;sans-serif"/>
          <w:b w:val="false"/>
          <w:color w:val="000000"/>
          <w:sz w:val="22"/>
        </w:rPr>
        <w:t xml:space="preserve">means, for any day, SOFR, with the conventions for this rate (which will include a lookback) being established by the Administrative Agent in accordance with the conventions for this rate selected or recommended by the Relevant Governmental Body for determining “Daily Simple SOFR” for U.S. dollar-denominated syndicated credit facilities;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the Administrative Agent decides that any such convention is not administratively feasible for the Administrative Agent, then the Administrative Agent may establish another convention in its reasonable discretion which shall be consistent with the then-prevailing market conventions.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Debt Incurrence Prepayment Event</w:t>
      </w:r>
      <w:r>
        <w:rPr>
          <w:color w:val="000000"/>
        </w:rPr>
        <w:t xml:space="preserve">” </w:t>
      </w:r>
      <w:r>
        <w:rPr>
          <w:rFonts w:ascii="Times New Roman;sans-serif" w:hAnsi="Times New Roman;sans-serif"/>
          <w:b w:val="false"/>
          <w:color w:val="000000"/>
          <w:sz w:val="22"/>
        </w:rPr>
        <w:t xml:space="preserve">shall mean any issuance or incurrence by the Borrower or any of the Restricted Subsidiaries of any Indebtedness (excluding any Indebtedness permitted to be issued or incurred under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10.1(w)(i))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Declined Proceeds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5.2(f)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Default</w:t>
      </w:r>
      <w:r>
        <w:rPr>
          <w:color w:val="000000"/>
        </w:rPr>
        <w:t xml:space="preserve">” </w:t>
      </w:r>
      <w:r>
        <w:rPr>
          <w:rFonts w:ascii="Times New Roman;sans-serif" w:hAnsi="Times New Roman;sans-serif"/>
          <w:b w:val="false"/>
          <w:color w:val="000000"/>
          <w:sz w:val="22"/>
        </w:rPr>
        <w:t>shall mean any event, act, or condition that with notice or lapse of time, or both, would constitute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Default Rate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2.8(c)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Defaulting Lender</w:t>
      </w:r>
      <w:r>
        <w:rPr>
          <w:color w:val="000000"/>
        </w:rPr>
        <w:t xml:space="preserve">” </w:t>
      </w:r>
      <w:r>
        <w:rPr>
          <w:rFonts w:ascii="Times New Roman;sans-serif" w:hAnsi="Times New Roman;sans-serif"/>
          <w:b w:val="false"/>
          <w:color w:val="000000"/>
          <w:sz w:val="22"/>
        </w:rPr>
        <w:t>shall mean any Lender whose acts or failure to act, whether directly or indirectly, cause it to meet any part of the definition of Lender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Deferred Net Cash Proceeds</w:t>
      </w:r>
      <w:r>
        <w:rPr>
          <w:color w:val="000000"/>
        </w:rPr>
        <w:t xml:space="preserve">” </w:t>
      </w:r>
      <w:r>
        <w:rPr>
          <w:rFonts w:ascii="Times New Roman;sans-serif" w:hAnsi="Times New Roman;sans-serif"/>
          <w:b w:val="false"/>
          <w:color w:val="000000"/>
          <w:sz w:val="22"/>
        </w:rPr>
        <w:t>shall have the meaning provided such term in the definition of Net Cash Proceeds.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Deferred Net Cash Proceeds Payment Date</w:t>
      </w:r>
      <w:r>
        <w:rPr>
          <w:color w:val="000000"/>
        </w:rPr>
        <w:t xml:space="preserve">” </w:t>
      </w:r>
      <w:r>
        <w:rPr>
          <w:rFonts w:ascii="Times New Roman;sans-serif" w:hAnsi="Times New Roman;sans-serif"/>
          <w:b w:val="false"/>
          <w:color w:val="000000"/>
          <w:sz w:val="22"/>
        </w:rPr>
        <w:t>shall have the meaning provided such term in the definition of Net Cash Proceeds.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Designated Non-Cash Consideration</w:t>
      </w:r>
      <w:r>
        <w:rPr>
          <w:color w:val="000000"/>
        </w:rPr>
        <w:t xml:space="preserve">” </w:t>
      </w:r>
      <w:r>
        <w:rPr>
          <w:rFonts w:ascii="Times New Roman;sans-serif" w:hAnsi="Times New Roman;sans-serif"/>
          <w:b w:val="false"/>
          <w:color w:val="000000"/>
          <w:sz w:val="22"/>
        </w:rPr>
        <w:t xml:space="preserve">shall mean the Fair Market Value of non-cash consideration received by the Borrower or a Restricted Subsidiary in connection with an Asset Sale that is so designated as Designated Non-Cash Consideration pursuant to a certificate of an Authorized Officer of the Borrower, setting forth the basis of such valuation, executed by either a senior vice president or the principal financial officer of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Designated Preferred Stock</w:t>
      </w:r>
      <w:r>
        <w:rPr>
          <w:color w:val="000000"/>
        </w:rPr>
        <w:t xml:space="preserve">” </w:t>
      </w:r>
      <w:r>
        <w:rPr>
          <w:rFonts w:ascii="Times New Roman;sans-serif" w:hAnsi="Times New Roman;sans-serif"/>
          <w:b w:val="false"/>
          <w:color w:val="000000"/>
          <w:sz w:val="22"/>
        </w:rPr>
        <w:t xml:space="preserve">shall mean preferred stock of the Borrower or any direct or indirect parent company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parent company thereof, as the case may be, on the issuance date thereof, the cash proceeds of which are excluded from the calculation set forth in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Disposed EBITDA</w:t>
      </w:r>
      <w:r>
        <w:rPr>
          <w:color w:val="000000"/>
        </w:rPr>
        <w:t xml:space="preserve">” </w:t>
      </w:r>
      <w:r>
        <w:rPr>
          <w:rFonts w:ascii="Times New Roman;sans-serif" w:hAnsi="Times New Roman;sans-serif"/>
          <w:b w:val="false"/>
          <w:color w:val="000000"/>
          <w:sz w:val="22"/>
        </w:rPr>
        <w:t>shall mean, with respect to any Sold Entity or Business or any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disposition</w:t>
      </w:r>
      <w:r>
        <w:rPr>
          <w:color w:val="000000"/>
        </w:rPr>
        <w:t xml:space="preserve">” </w:t>
      </w:r>
      <w:r>
        <w:rPr>
          <w:rFonts w:ascii="Times New Roman;sans-serif" w:hAnsi="Times New Roman;sans-serif"/>
          <w:b w:val="false"/>
          <w:color w:val="000000"/>
          <w:sz w:val="22"/>
        </w:rPr>
        <w:t xml:space="preserve">shall have the meaning assigned such term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of the definition of Asset Sale.</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Disqualified Lenders</w:t>
      </w:r>
      <w:r>
        <w:rPr>
          <w:color w:val="000000"/>
        </w:rPr>
        <w:t xml:space="preserve">” </w:t>
      </w:r>
      <w:r>
        <w:rPr>
          <w:rFonts w:ascii="Times New Roman;sans-serif" w:hAnsi="Times New Roman;sans-serif"/>
          <w:b w:val="false"/>
          <w:color w:val="000000"/>
          <w:sz w:val="22"/>
        </w:rPr>
        <w:t xml:space="preserve">shall mean such Persons (i) that have been specified in writing to the Administrative Agent and the Joint Lead Arrangers and Bookrunners by the Sponsor as being Disqualified Lenders prior to 5:00 p.m. (New York City time) on October 27, 2020, (ii) who are competitors of the Sponsor, Borrower and/or their Affiliates that are separately identified in writing by the Borrower or the Sponsor to the Administrative Agent from time to time (it being understood and agreed that the consent of the Administrative Agent shall be required with respect to the designation of any competitor of the Sponsor), and (iii) in the case of each of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on the basis of such Affiliate’s name. Notwithstanding the foregoing, (x) each Credit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or participation made to a Disqualified Lender and (y) any such designation of a Disqualified Lender may not apply retroactively to disqualify any Person that has previously acquired an assignment or participation in any Credit Facility.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Disqualified Stock</w:t>
      </w:r>
      <w:r>
        <w:rPr>
          <w:color w:val="000000"/>
        </w:rPr>
        <w:t xml:space="preserve">” </w:t>
      </w:r>
      <w:r>
        <w:rPr>
          <w:rFonts w:ascii="Times New Roman;sans-serif" w:hAnsi="Times New Roman;sans-serif"/>
          <w:b w:val="false"/>
          <w:color w:val="000000"/>
          <w:sz w:val="22"/>
        </w:rPr>
        <w:t xml:space="preserve">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condemnation event or similar event, pursuant to a sinking fund obligation or otherwise, or is redeemable at the option of the holder thereof (other than solely for Qualified Stock), other than as a result of a change of control, asset sale, condemnation event or similar event, in whole or in part, in each case, prior to the date that is 91 days after the Latest Term Loan Maturity Date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Dollar Equivalent</w:t>
      </w:r>
      <w:r>
        <w:rPr>
          <w:color w:val="000000"/>
        </w:rPr>
        <w:t xml:space="preserve">” </w:t>
      </w:r>
      <w:r>
        <w:rPr>
          <w:rFonts w:ascii="Times New Roman;sans-serif" w:hAnsi="Times New Roman;sans-serif"/>
          <w:b w:val="false"/>
          <w:color w:val="000000"/>
          <w:sz w:val="22"/>
        </w:rPr>
        <w:t>shall mean, at any time, (i) with respect to any amount denominated in Dollars, such amount, and (ii) with respect to any amount denominated in any currency other than Dollars, the equivalent amount thereof in Dollars, as determined by the Administrative Agent on the basis of the Spot Rate (determined on the most recent date of determination) for the purchase of Dollars with such currency.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Dollars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shall mean dollars in lawful currency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Domestic Subsidiary</w:t>
      </w:r>
      <w:r>
        <w:rPr>
          <w:color w:val="000000"/>
        </w:rPr>
        <w:t xml:space="preserve">” </w:t>
      </w:r>
      <w:r>
        <w:rPr>
          <w:rFonts w:ascii="Times New Roman;sans-serif" w:hAnsi="Times New Roman;sans-serif"/>
          <w:b w:val="false"/>
          <w:color w:val="000000"/>
          <w:sz w:val="22"/>
        </w:rPr>
        <w:t>shall mean each Subsidiary of the Borrower that is organized under the laws of the United States, any state thereof, or the District of Columbia.</w:t>
      </w:r>
    </w:p>
    <w:p>
      <w:pPr>
        <w:pStyle w:val="TextBody"/>
        <w:bidi w:val="0"/>
        <w:spacing w:lineRule="auto" w:line="240" w:before="0" w:after="0"/>
        <w:jc w:val="both"/>
        <w:rPr/>
      </w:pPr>
      <w:r>
        <w:rPr>
          <w:color w:val="000000"/>
        </w:rPr>
        <w:t>    </w:t>
      </w:r>
      <w:r>
        <w:rPr>
          <w:strike/>
          <w:color w:val="FF0000"/>
        </w:rPr>
        <w:t>“</w:t>
      </w:r>
      <w:r>
        <w:rPr>
          <w:rFonts w:ascii="Times New Roman;sans-serif" w:hAnsi="Times New Roman;sans-serif"/>
          <w:b/>
          <w:strike/>
          <w:color w:val="FF0000"/>
          <w:sz w:val="22"/>
        </w:rPr>
        <w:t>Early Opt-in Election”</w:t>
      </w:r>
      <w:r>
        <w:rPr>
          <w:strike/>
          <w:color w:val="FF0000"/>
        </w:rPr>
        <w:t xml:space="preserve"> </w:t>
      </w:r>
      <w:r>
        <w:rPr>
          <w:rFonts w:ascii="Times New Roman;sans-serif" w:hAnsi="Times New Roman;sans-serif"/>
          <w:b/>
          <w:strike/>
          <w:color w:val="FF0000"/>
          <w:sz w:val="22"/>
        </w:rPr>
        <w:t>means if a then-current Benchmark is LIBOR Rate, the occurrence of:</w:t>
      </w:r>
    </w:p>
    <w:p>
      <w:pPr>
        <w:pStyle w:val="TextBody"/>
        <w:bidi w:val="0"/>
        <w:spacing w:lineRule="auto" w:line="285" w:before="0" w:after="164"/>
        <w:ind w:left="0" w:right="0" w:hanging="422"/>
        <w:jc w:val="both"/>
        <w:rPr>
          <w:rFonts w:ascii="Times New Roman;sans-serif" w:hAnsi="Times New Roman;sans-serif"/>
          <w:b/>
          <w:strike/>
          <w:color w:val="FF0000"/>
          <w:sz w:val="22"/>
        </w:rPr>
      </w:pPr>
      <w:r>
        <w:rPr>
          <w:rFonts w:ascii="Times New Roman;sans-serif" w:hAnsi="Times New Roman;sans-serif"/>
          <w:b/>
          <w:strike/>
          <w:color w:val="FF0000"/>
          <w:sz w:val="22"/>
        </w:rPr>
        <w:t>(1) a notification by the Administrative Agent to (or the request by the Borrower to the Administrative Agent to notify) each of the other parties hereto that at least five currently outstanding U.S. dollar-denominated syndicated credit facilities substantially similar to the credit facilities under this Agreement at such time contain (as a result of amendment or as originally executed) a SOFR-based rate (including SOFR, a term SOFR or any other rate based upon SOFR) as the then-current benchmark rate (and such U.S. dollar-denominated syndicated credit facilities are identified in such notice and are publicly available for review), and</w:t>
      </w:r>
    </w:p>
    <w:p>
      <w:pPr>
        <w:pStyle w:val="TextBody"/>
        <w:bidi w:val="0"/>
        <w:spacing w:lineRule="auto" w:line="285" w:before="0" w:after="164"/>
        <w:ind w:left="0" w:right="0" w:hanging="422"/>
        <w:jc w:val="both"/>
        <w:rPr>
          <w:rFonts w:ascii="Times New Roman;sans-serif" w:hAnsi="Times New Roman;sans-serif"/>
          <w:b/>
          <w:strike/>
          <w:color w:val="FF0000"/>
          <w:sz w:val="22"/>
        </w:rPr>
      </w:pPr>
      <w:r>
        <w:rPr>
          <w:rFonts w:ascii="Times New Roman;sans-serif" w:hAnsi="Times New Roman;sans-serif"/>
          <w:b/>
          <w:strike/>
          <w:color w:val="FF0000"/>
          <w:sz w:val="22"/>
        </w:rPr>
        <w:t>(2) the joint election by the Administrative Agent and the Borrower to trigger a fallback from the LIBOR Rate and the provision by the Administrative Agent of written notice of such election to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Effective Yield</w:t>
      </w:r>
      <w:r>
        <w:rPr>
          <w:color w:val="000000"/>
        </w:rPr>
        <w:t xml:space="preserve">” </w:t>
      </w:r>
      <w:r>
        <w:rPr>
          <w:rFonts w:ascii="Times New Roman;sans-serif" w:hAnsi="Times New Roman;sans-serif"/>
          <w:b w:val="false"/>
          <w:color w:val="000000"/>
          <w:sz w:val="22"/>
        </w:rPr>
        <w:t xml:space="preserve">shall mean, as to any Indebtedness, the effective yield on such Indebtedness in the reasonable determination of the Administrative Agent and the Borrower which is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(amortized over the shorter of (i) the remaining weighted average life to maturity of such Indebtedness and (ii) the four years following the date of incurrence thereof) payable generally to Lenders or other institutions providing such Indebtedness in the initial primary syndication thereof, but excluding any arrangement, structuring, ticking, or other similar fees payable in connection therewith that are not generally shared with the relevant Lenders and, if applicable, amendment fees paid generally to consenting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any Indebtedness that includes a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floor” or “ABR floor</w:t>
      </w:r>
      <w:r>
        <w:rPr>
          <w:rFonts w:ascii="Times New Roman;sans-serif" w:hAnsi="Times New Roman;sans-serif"/>
          <w:b/>
          <w:strike/>
          <w:color w:val="FF0000"/>
          <w:sz w:val="22"/>
        </w:rPr>
        <w:t>,</w:t>
      </w:r>
      <w:r>
        <w:rPr>
          <w:color w:val="000000"/>
        </w:rPr>
        <w:t>”</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 xml:space="preserve">(a) to the extent that </w:t>
      </w:r>
      <w:r>
        <w:rPr>
          <w:rFonts w:ascii="Times New Roman;sans-serif" w:hAnsi="Times New Roman;sans-serif"/>
          <w:b/>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strike/>
          <w:color w:val="FF0000"/>
          <w:sz w:val="22"/>
        </w:rPr>
        <w:t>LIBOR Rate</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(with an Interest Period of three months) or ABR (without giving effect to any floors in such definitions), as applicable, on the date that the Effective Yield is being calculated (in the reasonable discretion of the Borrower and the Administrative Agent) is less than such floor, the amount of such difference shall be deemed added to the interest rate margin for such Indebtedness for the purpose of calculating the Effective Yield and (b) to the extent that </w:t>
      </w:r>
      <w:r>
        <w:rPr>
          <w:rFonts w:ascii="Times New Roman;sans-serif" w:hAnsi="Times New Roman;sans-serif"/>
          <w:b/>
          <w:strike/>
          <w:color w:val="FF0000"/>
          <w:sz w:val="22"/>
        </w:rPr>
        <w:t xml:space="preserve">the </w:t>
      </w:r>
      <w:r>
        <w:rPr>
          <w:rFonts w:ascii="Times New Roman;sans-serif" w:hAnsi="Times New Roman;sans-serif"/>
          <w:b w:val="false"/>
          <w:color w:val="000000"/>
          <w:sz w:val="22"/>
        </w:rPr>
        <w:t xml:space="preserve">Adjusted </w:t>
      </w:r>
      <w:r>
        <w:rPr>
          <w:rFonts w:ascii="Times New Roman;sans-serif" w:hAnsi="Times New Roman;sans-serif"/>
          <w:b/>
          <w:strike/>
          <w:color w:val="FF0000"/>
          <w:sz w:val="22"/>
        </w:rPr>
        <w:t>LIBOR Rate (with an Interest Period of three months)</w:t>
      </w:r>
      <w:r>
        <w:rPr>
          <w:rFonts w:ascii="Times New Roman;sans-serif" w:hAnsi="Times New Roman;sans-serif"/>
          <w:b/>
          <w:color w:val="0000FF"/>
          <w:sz w:val="22"/>
          <w:u w:val="single"/>
        </w:rPr>
        <w:t>Term SOFR</w:t>
      </w:r>
      <w:r>
        <w:rPr>
          <w:color w:val="000000"/>
        </w:rPr>
        <w:t xml:space="preserve"> </w:t>
      </w:r>
      <w:r>
        <w:rPr>
          <w:rFonts w:ascii="Times New Roman;sans-serif" w:hAnsi="Times New Roman;sans-serif"/>
          <w:b w:val="false"/>
          <w:color w:val="000000"/>
          <w:sz w:val="22"/>
        </w:rPr>
        <w:t xml:space="preserve">or ABR (without giving effect to any floors in such definitions), as applicable, on the date that the Effective Yield is being calculated is greater than such floor, then </w:t>
      </w:r>
      <w:r>
        <w:rPr>
          <w:rFonts w:ascii="Times New Roman;sans-serif" w:hAnsi="Times New Roman;sans-serif"/>
          <w:b/>
          <w:strike/>
          <w:color w:val="FF0000"/>
          <w:sz w:val="22"/>
        </w:rPr>
        <w:t>the</w:t>
      </w:r>
      <w:r>
        <w:rPr>
          <w:rFonts w:ascii="Times New Roman;sans-serif" w:hAnsi="Times New Roman;sans-serif"/>
          <w:b/>
          <w:color w:val="0000FF"/>
          <w:sz w:val="22"/>
          <w:u w:val="single"/>
        </w:rPr>
        <w:t>such</w:t>
      </w:r>
      <w:r>
        <w:rPr>
          <w:color w:val="000000"/>
        </w:rPr>
        <w:t xml:space="preserve"> </w:t>
      </w:r>
      <w:r>
        <w:rPr>
          <w:rFonts w:ascii="Times New Roman;sans-serif" w:hAnsi="Times New Roman;sans-serif"/>
          <w:b w:val="false"/>
          <w:color w:val="000000"/>
          <w:sz w:val="22"/>
        </w:rPr>
        <w:t>floor shall be disregarded in calculating the Effective Yield.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Environmental Claims</w:t>
      </w:r>
      <w:r>
        <w:rPr>
          <w:color w:val="000000"/>
        </w:rPr>
        <w:t xml:space="preserve">” </w:t>
      </w:r>
      <w:r>
        <w:rPr>
          <w:rFonts w:ascii="Times New Roman;sans-serif" w:hAnsi="Times New Roman;sans-serif"/>
          <w:b w:val="false"/>
          <w:color w:val="000000"/>
          <w:sz w:val="22"/>
        </w:rPr>
        <w:t>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Times New Roman;sans-serif" w:hAnsi="Times New Roman;sans-serif"/>
          <w:b/>
          <w:color w:val="000000"/>
          <w:sz w:val="22"/>
        </w:rPr>
        <w:t>Claims</w:t>
      </w:r>
      <w:r>
        <w:rPr>
          <w:color w:val="000000"/>
        </w:rPr>
        <w:t>”</w:t>
      </w:r>
      <w:r>
        <w:rPr>
          <w:rFonts w:ascii="Times New Roman;sans-serif" w:hAnsi="Times New Roman;sans-serif"/>
          <w:b w:val="false"/>
          <w:color w:val="000000"/>
          <w:sz w:val="22"/>
        </w:rPr>
        <w:t>), including, without limitation, (i) any and all Claims by governmental or regulatory authorities for enforcement, investigation,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 flora and fauna.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Environmental Law</w:t>
      </w:r>
      <w:r>
        <w:rPr>
          <w:color w:val="000000"/>
        </w:rPr>
        <w:t xml:space="preserve">” </w:t>
      </w:r>
      <w:r>
        <w:rPr>
          <w:rFonts w:ascii="Times New Roman;sans-serif" w:hAnsi="Times New Roman;sans-serif"/>
          <w:b w:val="false"/>
          <w:color w:val="000000"/>
          <w:sz w:val="22"/>
        </w:rPr>
        <w:t>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Equity Interest</w:t>
      </w:r>
      <w:r>
        <w:rPr>
          <w:color w:val="000000"/>
        </w:rPr>
        <w:t xml:space="preserve">” </w:t>
      </w:r>
      <w:r>
        <w:rPr>
          <w:rFonts w:ascii="Times New Roman;sans-serif" w:hAnsi="Times New Roman;sans-serif"/>
          <w:b w:val="false"/>
          <w:color w:val="000000"/>
          <w:sz w:val="22"/>
        </w:rPr>
        <w:t>shall mean Capital Stock and all warrants, options, or other rights to acquire Capital Stock, but excluding any debt security that is convertible into, or exchangeable for, Capital Stock.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Equity Offering</w:t>
      </w:r>
      <w:r>
        <w:rPr>
          <w:color w:val="000000"/>
        </w:rPr>
        <w:t xml:space="preserve">” </w:t>
      </w:r>
      <w:r>
        <w:rPr>
          <w:rFonts w:ascii="Times New Roman;sans-serif" w:hAnsi="Times New Roman;sans-serif"/>
          <w:b w:val="false"/>
          <w:color w:val="000000"/>
          <w:sz w:val="22"/>
        </w:rPr>
        <w:t>shall mean any public or private sale of common stock or preferred stock of the Borrower, Holdings or any direct or indirect parent company of Holdings (excluding Disqualified Stock), other than: (i) public offerings with respect to the Borrower or any of its direct or indirect parent company’s common stock registered on Form S-8, (ii) issuances to any Subsidiary of Holdings or the Borrower and (iii) any such public or private sale that constitutes an Excluded Contribution.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ERISA</w:t>
      </w:r>
      <w:r>
        <w:rPr>
          <w:color w:val="000000"/>
        </w:rPr>
        <w:t xml:space="preserve">” </w:t>
      </w:r>
      <w:r>
        <w:rPr>
          <w:rFonts w:ascii="Times New Roman;sans-serif" w:hAnsi="Times New Roman;sans-serif"/>
          <w:b w:val="false"/>
          <w:color w:val="000000"/>
          <w:sz w:val="22"/>
        </w:rPr>
        <w:t>shall mean the Employee Retirement Income Security Act of 1974, as amended from time to time,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ERISA Affiliate</w:t>
      </w:r>
      <w:r>
        <w:rPr>
          <w:color w:val="000000"/>
        </w:rPr>
        <w:t xml:space="preserve">” </w:t>
      </w:r>
      <w:r>
        <w:rPr>
          <w:rFonts w:ascii="Times New Roman;sans-serif" w:hAnsi="Times New Roman;sans-serif"/>
          <w:b w:val="false"/>
          <w:color w:val="000000"/>
          <w:sz w:val="22"/>
        </w:rPr>
        <w:t>shall mean any trade or business (whether or not incorporated) that, together with any Credit Party, is treated as a single employer under Section 414 (b) or (c) of the Code (and Sections 414(m) and (o) of the Code for purposes of provisions relating to Section 412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ERISA Event</w:t>
      </w:r>
      <w:r>
        <w:rPr>
          <w:color w:val="000000"/>
        </w:rPr>
        <w:t xml:space="preserve">” </w:t>
      </w:r>
      <w:r>
        <w:rPr>
          <w:rFonts w:ascii="Times New Roman;sans-serif" w:hAnsi="Times New Roman;sans-serif"/>
          <w:b w:val="false"/>
          <w:color w:val="000000"/>
          <w:sz w:val="22"/>
        </w:rPr>
        <w:t>shall mean (i) the failure of any Plan to comply with any provisions of ERISA and/or the Code (and applicable regulations under either) or with the terms of such Plan; (ii) the existence with respect to any Plan of a non-exempt Prohibited Transaction that would reasonably be expected to result in liability to a Credit Party;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under Section 4042 of ERISA or the incurrence by any Credit Party or any of its ERISA Affiliates of any liability under Title IV of ERISA with respect to the termination of any Pension Plan (other than for PBGC premiums due but not delinquent under Section 4007 of ERISA), including but not limited to the imposition of any Lien in favor of the PBGC or any Pension Plan; (viii) the receipt by any Credit Party or any of its ERISA Affiliates from the PBGC or a plan administrator of any notice to terminate any Pension Plan under Section 4041 of ERISA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from any Pension Plan subject to Section 4063 of ERISA during a plan year in which it was a “substantial employer</w:t>
      </w:r>
      <w:r>
        <w:rPr>
          <w:color w:val="0000FF"/>
          <w:u w:val="single"/>
        </w:rPr>
        <w:t>”</w:t>
      </w:r>
      <w:r>
        <w:rPr>
          <w:color w:val="000000"/>
        </w:rPr>
        <w:t xml:space="preserve"> </w:t>
      </w:r>
      <w:r>
        <w:rPr>
          <w:rFonts w:ascii="Times New Roman;sans-serif" w:hAnsi="Times New Roman;sans-serif"/>
          <w:b w:val="false"/>
          <w:color w:val="000000"/>
          <w:sz w:val="22"/>
        </w:rPr>
        <w:t>(within the meaning of Section 4001(a)(2) of ERISA), or a cessation of operations that is treated as such a withdrawal under Section 4062(e) of ERISA, or the complete or partial withdrawal (within the meaning of Section 4203 or 4205 of ERISA) from any Multiemployer Plan; (xi) the receipt by any Credit Party or any of its ERISA Affiliates of any notice concerning the imposition of Withdrawal Liability or a determination that a Multiemployer Plan is, or is expected to be, Insolvent or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pStyle w:val="TextBody"/>
        <w:bidi w:val="0"/>
        <w:spacing w:lineRule="auto" w:line="240" w:before="0" w:after="220"/>
        <w:ind w:left="0" w:right="0" w:firstLine="360"/>
        <w:jc w:val="both"/>
        <w:rPr/>
      </w:pPr>
      <w:r>
        <w:rPr>
          <w:color w:val="000000"/>
        </w:rPr>
        <w:t>    “</w:t>
      </w:r>
      <w:r>
        <w:rPr>
          <w:rFonts w:ascii="Times New Roman;sans-serif" w:hAnsi="Times New Roman;sans-serif"/>
          <w:b/>
          <w:color w:val="000000"/>
          <w:sz w:val="22"/>
        </w:rPr>
        <w:t>Erroneous</w:t>
      </w:r>
      <w:r>
        <w:rPr>
          <w:color w:val="000000"/>
        </w:rPr>
        <w:t xml:space="preserve"> </w:t>
      </w:r>
      <w:r>
        <w:rPr>
          <w:rFonts w:ascii="Times New Roman;sans-serif" w:hAnsi="Times New Roman;sans-serif"/>
          <w:b/>
          <w:color w:val="000000"/>
          <w:sz w:val="22"/>
        </w:rPr>
        <w:t>Payment</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12.14(a)</w:t>
      </w:r>
      <w:r>
        <w:rPr>
          <w:rFonts w:ascii="Times New Roman;sans-serif" w:hAnsi="Times New Roman;sans-serif"/>
          <w:b w:val="false"/>
          <w:color w:val="000000"/>
          <w:sz w:val="22"/>
        </w:rPr>
        <w:t>.</w:t>
      </w:r>
    </w:p>
    <w:p>
      <w:pPr>
        <w:pStyle w:val="TextBody"/>
        <w:bidi w:val="0"/>
        <w:spacing w:lineRule="auto" w:line="240" w:before="0" w:after="220"/>
        <w:ind w:left="0" w:right="0" w:firstLine="360"/>
        <w:jc w:val="both"/>
        <w:rPr/>
      </w:pPr>
      <w:r>
        <w:rPr>
          <w:color w:val="000000"/>
        </w:rPr>
        <w:t>    “</w:t>
      </w:r>
      <w:r>
        <w:rPr>
          <w:rFonts w:ascii="Times New Roman;sans-serif" w:hAnsi="Times New Roman;sans-serif"/>
          <w:b/>
          <w:color w:val="000000"/>
          <w:sz w:val="22"/>
        </w:rPr>
        <w:t>Erroneous Payment Return Deficiency</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12.14(c)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Payment Recipient</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12.14(a)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Event of Default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Excess Cash Flow</w:t>
      </w:r>
      <w:r>
        <w:rPr>
          <w:color w:val="000000"/>
        </w:rPr>
        <w:t xml:space="preserve">” </w:t>
      </w:r>
      <w:r>
        <w:rPr>
          <w:rFonts w:ascii="Times New Roman;sans-serif" w:hAnsi="Times New Roman;sans-serif"/>
          <w:b w:val="false"/>
          <w:color w:val="000000"/>
          <w:sz w:val="22"/>
        </w:rPr>
        <w:t>shall mean, for any period, an amount equal to the excess of:</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    the sum, without duplication (in each case, for the Borrower and the Restricted Subsidiaries on a consolidated basis), 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Consolidated Net Income for such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an amount equal to the amount of all non-cash charges to the extent deducted in arriving at such Consolidated Net Income and cash receipts to the extent excluded in arriving at such Consolidated Net Income,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decreases in Consolidated Working Capital for such period (other than (1) reclassification of items from short-term to long-term or vice versa and (2) any such decreases arising from acquisitions or Asset Sales by the Borrower and the Restricted Subsidiaries completed during such period or the application of purchase accounting),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an amount equal to the aggregate net non-cash loss on Asset Sales by the Borrower and the Restricted Subsidiaries during such period (other than Asset Sales in the ordinary course of business) to the extent deducted in arriving at such Consolidated Net Income,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cash receipts in respect of Hedge Agreements during such period to the extent not otherwise included in Consolidated Net Income,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increases in current and non-current deferred revenue to the extent deducted or not included in arriving at such Consolidated Net Income,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extraordinary gains actually received in cash;</w:t>
      </w:r>
    </w:p>
    <w:p>
      <w:pPr>
        <w:pStyle w:val="TextBody"/>
        <w:bidi w:val="0"/>
        <w:spacing w:lineRule="auto" w:line="240" w:before="0" w:after="240"/>
        <w:jc w:val="left"/>
        <w:rPr/>
      </w:pPr>
      <w:r>
        <w:rPr>
          <w:rFonts w:ascii="Times New Roman;sans-serif" w:hAnsi="Times New Roman;sans-serif"/>
          <w:b w:val="false"/>
          <w:i/>
          <w:color w:val="000000"/>
          <w:sz w:val="22"/>
        </w:rPr>
        <w:t>over</w:t>
      </w:r>
      <w:r>
        <w:rPr>
          <w:color w:val="000000"/>
        </w:rPr>
        <w:t xml:space="preserve"> </w:t>
      </w:r>
      <w:r>
        <w:rPr>
          <w:rFonts w:ascii="Times New Roman;sans-serif" w:hAnsi="Times New Roman;sans-serif"/>
          <w:b w:val="false"/>
          <w:color w:val="000000"/>
          <w:sz w:val="22"/>
        </w:rPr>
        <w:t>(ii) the sum, without duplication, 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 amount equal to the amount of all non-cash credits included in arriving at such Consolidated Net Income, cash charges to the extent excluded in arriving at such Consolidated Net Income, and Transaction Expenses to the extent not deducted in arriving at such Consolidated Net Income and paid in cash during such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[reserved],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    the aggregate amount of all principal payments of Indebtedness of the Borrower and the Restricted Subsidiaries (including (1) the principal component of payments in respect of Capitalized Lease Obligations, (2) the amount of any scheduled repayment of Term Loans pursuant to </w:t>
      </w:r>
      <w:r>
        <w:rPr>
          <w:rFonts w:ascii="Times New Roman;sans-serif" w:hAnsi="Times New Roman;sans-serif"/>
          <w:b w:val="false"/>
          <w:color w:val="000000"/>
          <w:sz w:val="22"/>
          <w:u w:val="single"/>
        </w:rPr>
        <w:t>Section 2.5</w:t>
      </w:r>
      <w:r>
        <w:rPr>
          <w:rFonts w:ascii="Times New Roman;sans-serif" w:hAnsi="Times New Roman;sans-serif"/>
          <w:b w:val="false"/>
          <w:color w:val="000000"/>
          <w:sz w:val="22"/>
        </w:rPr>
        <w:t xml:space="preserve">, and (3) the amount of a mandatory prepayment of Term Loans pursuant to </w:t>
      </w:r>
      <w:r>
        <w:rPr>
          <w:rFonts w:ascii="Times New Roman;sans-serif" w:hAnsi="Times New Roman;sans-serif"/>
          <w:b w:val="false"/>
          <w:color w:val="000000"/>
          <w:sz w:val="22"/>
          <w:u w:val="single"/>
        </w:rPr>
        <w:t>Section 5.2(a)</w:t>
      </w:r>
      <w:r>
        <w:rPr>
          <w:color w:val="000000"/>
        </w:rPr>
        <w:t xml:space="preserve"> </w:t>
      </w:r>
      <w:r>
        <w:rPr>
          <w:rFonts w:ascii="Times New Roman;sans-serif" w:hAnsi="Times New Roman;sans-serif"/>
          <w:b w:val="false"/>
          <w:color w:val="000000"/>
          <w:sz w:val="22"/>
        </w:rPr>
        <w:t>to the extent required due to an Asset Sale that resulted in an increase to Consolidated Net Income and not in excess of the amount of such increase but excluding (A) all other prepayments of Term Loans and (B) all prepayments of ABL Loans (and any other revolving loans (unless there is an equivalent permanent reduction in commitments thereunder))</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made during such period, except to the extent financed with the proceeds of other long-term Indebtedness of the Borrower or the Restricted Subsidiaries,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an amount equal to the aggregate net non-cash gain on Asset Sales by the Borrower and the Restricted Subsidiaries during such period (other than Asset Sales in the ordinary course of business) to the extent included in arriving at such Consolidated Net Income,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increases in Consolidated Working Capital for such period (other than (1) reclassification of items from short-term to long-term or vice versa and (2) any such increases arising from acquisitions or Asset Sales by the Borrower and the Restricted Subsidiaries completed during such period or the application of purchase accounting),</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the aggregate amount of any premium, make-whole, or penalty payments actually paid in cash by the Borrower and the Restricted Subsidiaries during such period that are made in connection with any prepayment of Indebtedness to the extent that such payments are not deducted in calculating Consolidated Net Income,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    the amount of taxes (including penalties and interest) paid in cash or tax reserves set aside or payable (without duplication) in such period to the extent they exceed the amount of tax expense deducted in determining Consolidated Net Income for such period,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    cash expenditures in respect of Hedge Agreements during such period to the extent not deducted in arriving at such Consolidated Net Income,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    decreases in current and non-current deferred revenue to the extent included or not deducted in arriving at such Consolidated Net Income,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    extraordinary losses actually paid in cash.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Contribution</w:t>
      </w:r>
      <w:r>
        <w:rPr>
          <w:color w:val="000000"/>
        </w:rPr>
        <w:t xml:space="preserve">” </w:t>
      </w:r>
      <w:r>
        <w:rPr>
          <w:rFonts w:ascii="Times New Roman;sans-serif" w:hAnsi="Times New Roman;sans-serif"/>
          <w:b w:val="false"/>
          <w:color w:val="000000"/>
          <w:sz w:val="22"/>
        </w:rPr>
        <w:t xml:space="preserve">shall mean net cash proceeds, the Fair Market Value of marketable securities, or the Fair Market Value of Qualified Proceeds received by the Borrower from (i) contributions to its common equity capital, and (ii) the sale (other than to a Subsidiary of the Borrower or to any management equity plan or stock option plan or any other management or employee benefit plan or agreement of the Borrower) of Capital Stock (other than Disqualified Stock and Designated Preferred Stock) of the Borrower,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any non-cash assets shall qualify only if acquired by a parent of the Borrower in an arm’s-length transaction within the six months prior to such contribution.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Property</w:t>
      </w:r>
      <w:r>
        <w:rPr>
          <w:color w:val="000000"/>
        </w:rPr>
        <w:t xml:space="preserve">” </w:t>
      </w:r>
      <w:r>
        <w:rPr>
          <w:rFonts w:ascii="Times New Roman;sans-serif" w:hAnsi="Times New Roman;sans-serif"/>
          <w:b w:val="false"/>
          <w:color w:val="000000"/>
          <w:sz w:val="22"/>
        </w:rPr>
        <w:t>shall have the meaning set forth in the Security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Stock and</w:t>
      </w:r>
      <w:r>
        <w:rPr>
          <w:color w:val="000000"/>
        </w:rPr>
        <w:t xml:space="preserve"> </w:t>
      </w:r>
      <w:r>
        <w:rPr>
          <w:rFonts w:ascii="Times New Roman;sans-serif" w:hAnsi="Times New Roman;sans-serif"/>
          <w:b/>
          <w:color w:val="000000"/>
          <w:sz w:val="22"/>
        </w:rPr>
        <w:t>Stock Equivalents</w:t>
      </w:r>
      <w:r>
        <w:rPr>
          <w:color w:val="000000"/>
        </w:rPr>
        <w:t xml:space="preserve">” </w:t>
      </w:r>
      <w:r>
        <w:rPr>
          <w:rFonts w:ascii="Times New Roman;sans-serif" w:hAnsi="Times New Roman;sans-serif"/>
          <w:b w:val="false"/>
          <w:color w:val="000000"/>
          <w:sz w:val="22"/>
        </w:rPr>
        <w:t>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Voting Stock and Stock Equivalents entitled to vote of any Foreign Subsidiary that is a CFC or any CFC Holding Company, any such Voting Stock or Stock Equivalents of any class of such Foreign Subsidiary or CFC Holding Company in excess of 66% of the total voting power of all such Voting Stock or Stock Equivalents of such Foreign Subsidiary or CFC Holding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the avoidance of doubt, such 66% limitation shall not apply to (x) Capital Stock other than Voting Stock or (y) Stock Equivalents that are not entitled to vote), (iii) any Capital Stock or Stock Equivalents to the extent the pledge thereof would violate any applicable Requirements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Times New Roman;sans-serif" w:hAnsi="Times New Roman;sans-serif"/>
          <w:b w:val="false"/>
          <w:color w:val="000000"/>
          <w:sz w:val="22"/>
          <w:u w:val="single"/>
        </w:rPr>
        <w:t>clause (ix)</w:t>
      </w:r>
      <w:r>
        <w:rPr>
          <w:color w:val="000000"/>
        </w:rPr>
        <w:t xml:space="preserve"> </w:t>
      </w:r>
      <w:r>
        <w:rPr>
          <w:rFonts w:ascii="Times New Roman;sans-serif" w:hAnsi="Times New Roman;sans-serif"/>
          <w:b w:val="false"/>
          <w:color w:val="000000"/>
          <w:sz w:val="22"/>
        </w:rPr>
        <w:t xml:space="preserve">of the definition of Permitted Lien or (B) any Capital Stock or Stock Equivalents of any Subsidiary that is not Wholly-Owned by the Borrower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Subsidiaries at the time such Subsidiary becomes a Subsidiary, any Capital Stock or Stock Equivalents of each such Subsidiary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shall not apply if (x) such other party is a Credit Party or Wholly-Owned Subsidiary or (y)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the Borrower or any Subsidiary or any direct or indirect parent entity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or any special purpose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Subsidiary</w:t>
      </w:r>
      <w:r>
        <w:rPr>
          <w:color w:val="000000"/>
        </w:rPr>
        <w:t xml:space="preserve">” </w:t>
      </w:r>
      <w:r>
        <w:rPr>
          <w:rFonts w:ascii="Times New Roman;sans-serif" w:hAnsi="Times New Roman;sans-serif"/>
          <w:b w:val="false"/>
          <w:color w:val="000000"/>
          <w:sz w:val="22"/>
        </w:rPr>
        <w:t xml:space="preserve">shall mean (i) each Subsidiary, in each case, for so long as any such Subsidiary does not (on (x) a consolidated basis with its Restricted Subsidiaries, if determined on the Restatement Effective Date by reference to the Historical Financial Statements or (y) a consolidated basis with its Restricted Subsidiaries, if determined after the Restatement Effective Date by reference to the financial statements delivered to the Administrative Agent pursuant to </w:t>
      </w:r>
      <w:r>
        <w:rPr>
          <w:rFonts w:ascii="Times New Roman;sans-serif" w:hAnsi="Times New Roman;sans-serif"/>
          <w:b w:val="false"/>
          <w:color w:val="000000"/>
          <w:sz w:val="22"/>
          <w:u w:val="single"/>
        </w:rPr>
        <w:t>Section 9.1(a)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constitute a Material Subsidiary, (ii) each Subsidiary that is not a Wholly-Owned Subsidiary on any date such Subsidiary would otherwise be required to become a Guarantor pursuant to the requirements of </w:t>
      </w:r>
      <w:r>
        <w:rPr>
          <w:rFonts w:ascii="Times New Roman;sans-serif" w:hAnsi="Times New Roman;sans-serif"/>
          <w:b w:val="false"/>
          <w:color w:val="000000"/>
          <w:sz w:val="22"/>
          <w:u w:val="single"/>
        </w:rPr>
        <w:t>Section 9.11</w:t>
      </w:r>
      <w:r>
        <w:rPr>
          <w:color w:val="000000"/>
        </w:rPr>
        <w:t xml:space="preserve"> </w:t>
      </w:r>
      <w:r>
        <w:rPr>
          <w:rFonts w:ascii="Times New Roman;sans-serif" w:hAnsi="Times New Roman;sans-serif"/>
          <w:b w:val="false"/>
          <w:color w:val="000000"/>
          <w:sz w:val="22"/>
        </w:rPr>
        <w:t>(for so long as such Subsidiary remains a non-Wholly-Owned Restricted Subsidiary), (iii) any CFC Holding Company, (iv) any Subsidiary of a Foreign Subsidiary that is a CFC, (v) any Foreign Subsidiary, (vi) each Subsidiary that is prohibited by any applicable Contractual Requirement or Requirements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the Borrower, the consequence of providing a Guarantee of the Obligations would adversely affect the ability of the Borrower and its Subsidiaries to satisfy applicable Requirements of Law, (viii) each Subsidiary with respect to which, as reasonably determined by the Borrower in consultation with the Administrative Agent, providing such a Guarantee would result in material adverse tax consequences to the Borrower or any Subsidiary, (ix) any other Subsidiary with respect to which, in the reasonable judgment of the Administrative Agent and the Borrower, as agreed in writing, the cost or other consequences of providing a Guarantee of the Obligations shall be excessive in view of the benefits to be obtained by the Lenders therefrom (x) each Unrestricted Subsidiary, (xi) any Receivables Subsidiary, (xii)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and (xiii) each SPV or not-for-profit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Swap Obligation</w:t>
      </w:r>
      <w:r>
        <w:rPr>
          <w:color w:val="000000"/>
        </w:rPr>
        <w:t xml:space="preserve">” </w:t>
      </w:r>
      <w:r>
        <w:rPr>
          <w:rFonts w:ascii="Times New Roman;sans-serif" w:hAnsi="Times New Roman;sans-serif"/>
          <w:b w:val="false"/>
          <w:color w:val="000000"/>
          <w:sz w:val="22"/>
        </w:rPr>
        <w:t xml:space="preserve">shall mean, with respect to the Borrower or any Subsidiary Credit Party, (a) any Swap Obligation if, and to the extent that, all or a portion of the Obligations of such Person of, or the grant by such Person of a security interest to secure, such Swap Obligation (or any Obligations thereof) is or becomes illegal or unlawful under the Commodity Exchange Act or any rule, regulation, or order of the Commodity Futures Trading Commission (or the application or official interpretation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thereof) or (b) any other Swap Obligation designated as an “Excluded Swap Obligation” of such Guarantor as specified in any agreement between the relevant Persons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Taxes</w:t>
      </w:r>
      <w:r>
        <w:rPr>
          <w:color w:val="000000"/>
        </w:rPr>
        <w:t xml:space="preserve">” </w:t>
      </w:r>
      <w:r>
        <w:rPr>
          <w:rFonts w:ascii="Times New Roman;sans-serif" w:hAnsi="Times New Roman;sans-serif"/>
          <w:b w:val="false"/>
          <w:color w:val="000000"/>
          <w:sz w:val="22"/>
        </w:rPr>
        <w:t xml:space="preserve">shall mean, with respect to the Administrative Agent, any Lender, or any other recipient of any payment to be made by or on account of any obligation of any Credit Party hereunder or under any other Credit Document, (i) any Taxes imposed on or measured by such recipient’s overall net income, net profits, or branch profits (however denominated), and franchise (and similar) Taxes imposed on such recipient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between such recipient and such jurisdiction (other than any such connection arising solely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(ii) any U.S. federal withholding Tax imposed on any payment by or on account of any obligation of any Credit Party hereunder or under any Credit Document that is required to be imposed on amounts payable to or for the account of a Lender with respect to an applicable interest in a Loan or Commitment pursuant to laws in force at the time such Lender (a) acquires such interest in the applicable Loan or Commitment or (b) designates a new lending office, other than in the case of a Lender that is an assignee pursuant to a request by the Borrower under </w:t>
      </w:r>
      <w:r>
        <w:rPr>
          <w:rFonts w:ascii="Times New Roman;sans-serif" w:hAnsi="Times New Roman;sans-serif"/>
          <w:b w:val="false"/>
          <w:color w:val="000000"/>
          <w:sz w:val="22"/>
          <w:u w:val="single"/>
        </w:rPr>
        <w:t>Section 13.7</w:t>
      </w:r>
      <w:r>
        <w:rPr>
          <w:color w:val="000000"/>
        </w:rPr>
        <w:t xml:space="preserve"> </w:t>
      </w:r>
      <w:r>
        <w:rPr>
          <w:rFonts w:ascii="Times New Roman;sans-serif" w:hAnsi="Times New Roman;sans-serif"/>
          <w:b w:val="false"/>
          <w:color w:val="000000"/>
          <w:sz w:val="22"/>
        </w:rPr>
        <w:t xml:space="preserve">(or that designates a new lending office pursuant to a request by the Borrower), except in each case to the extent that amounts with respect to such withholding Tax were payable pursuant to </w:t>
      </w:r>
      <w:r>
        <w:rPr>
          <w:rFonts w:ascii="Times New Roman;sans-serif" w:hAnsi="Times New Roman;sans-serif"/>
          <w:b w:val="false"/>
          <w:color w:val="000000"/>
          <w:sz w:val="22"/>
          <w:u w:val="single"/>
        </w:rPr>
        <w:t>Section 5.4</w:t>
      </w:r>
      <w:r>
        <w:rPr>
          <w:color w:val="000000"/>
        </w:rPr>
        <w:t xml:space="preserve"> </w:t>
      </w:r>
      <w:r>
        <w:rPr>
          <w:rFonts w:ascii="Times New Roman;sans-serif" w:hAnsi="Times New Roman;sans-serif"/>
          <w:b w:val="false"/>
          <w:color w:val="000000"/>
          <w:sz w:val="22"/>
        </w:rPr>
        <w:t xml:space="preserve">either to such Lender’s assignor immediately before such Lender acquired the applicable interest in a Loan or Commitment or to such Lender immediately before such Lender designated a new lending office,(iii) any Taxes attributable to such recipient’s failure to comply with </w:t>
      </w:r>
      <w:r>
        <w:rPr>
          <w:rFonts w:ascii="Times New Roman;sans-serif" w:hAnsi="Times New Roman;sans-serif"/>
          <w:b w:val="false"/>
          <w:color w:val="000000"/>
          <w:sz w:val="22"/>
          <w:u w:val="single"/>
        </w:rPr>
        <w:t>Section 5.4(e)</w:t>
      </w:r>
      <w:r>
        <w:rPr>
          <w:rFonts w:ascii="Times New Roman;sans-serif" w:hAnsi="Times New Roman;sans-serif"/>
          <w:b w:val="false"/>
          <w:color w:val="000000"/>
          <w:sz w:val="22"/>
        </w:rPr>
        <w:t>, or (iv) any withholding Tax imposed under FATCA.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Existing ABL Facility</w:t>
      </w:r>
      <w:r>
        <w:rPr>
          <w:color w:val="000000"/>
        </w:rPr>
        <w:t xml:space="preserve">” </w:t>
      </w:r>
      <w:r>
        <w:rPr>
          <w:rFonts w:ascii="Times New Roman;sans-serif" w:hAnsi="Times New Roman;sans-serif"/>
          <w:b w:val="false"/>
          <w:color w:val="000000"/>
          <w:sz w:val="22"/>
        </w:rPr>
        <w:t>shall mean that certain Credit Agreement, dated as of July 2, 2015, by and among the Borrower, certain of the Borrower’s subsidiaries, the lenders from time to time party thereto, and JPMorgan Chase Bank, N.A., as administrative agent, as amended, restated, amended and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Existing Administrative Agent</w:t>
      </w:r>
      <w:r>
        <w:rPr>
          <w:color w:val="000000"/>
        </w:rPr>
        <w:t xml:space="preserve">” </w:t>
      </w:r>
      <w:r>
        <w:rPr>
          <w:rFonts w:ascii="Times New Roman;sans-serif" w:hAnsi="Times New Roman;sans-serif"/>
          <w:b w:val="false"/>
          <w:color w:val="000000"/>
          <w:sz w:val="22"/>
        </w:rPr>
        <w:t>shall mean Morgan Stanley Senior Funding, Inc., as administrative agent and collateral agent for the Existing Term Loan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Existing Debt Facilities</w:t>
      </w:r>
      <w:r>
        <w:rPr>
          <w:color w:val="000000"/>
        </w:rPr>
        <w:t xml:space="preserve">” </w:t>
      </w:r>
      <w:r>
        <w:rPr>
          <w:rFonts w:ascii="Times New Roman;sans-serif" w:hAnsi="Times New Roman;sans-serif"/>
          <w:b w:val="false"/>
          <w:color w:val="000000"/>
          <w:sz w:val="22"/>
        </w:rPr>
        <w:t>shall mean the Existing Term Loan Facility and the Existing ABL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Existing Restated Credit Agreement</w:t>
      </w:r>
      <w:r>
        <w:rPr>
          <w:color w:val="000000"/>
        </w:rPr>
        <w:t xml:space="preserve">” </w:t>
      </w:r>
      <w:r>
        <w:rPr>
          <w:rFonts w:ascii="Times New Roman;sans-serif" w:hAnsi="Times New Roman;sans-serif"/>
          <w:b w:val="false"/>
          <w:color w:val="000000"/>
          <w:sz w:val="22"/>
        </w:rPr>
        <w:t>shall mean the Second Amended and Restated Credit Agreement, dated as of November 6, 2020, by and among the Borrower, certain other Credit Parties party thereto, the lenders party thereto and Credit Suisse AG, Cayman Islands Branch, as administrative agent and collateral agent, as amended, restated, amended and restated, supplemented or otherwise modified from time to time prior to the Amendment No. 4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Existing Term Lender</w:t>
      </w:r>
      <w:r>
        <w:rPr>
          <w:color w:val="000000"/>
        </w:rPr>
        <w:t xml:space="preserve">” </w:t>
      </w:r>
      <w:r>
        <w:rPr>
          <w:rFonts w:ascii="Times New Roman;sans-serif" w:hAnsi="Times New Roman;sans-serif"/>
          <w:b w:val="false"/>
          <w:color w:val="000000"/>
          <w:sz w:val="22"/>
        </w:rPr>
        <w:t xml:space="preserve">means a Term Lender that holds Existing Term Loans immediately prior to the Amendment No. 4 Effective Date.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Existing Term Loan</w:t>
      </w:r>
      <w:r>
        <w:rPr>
          <w:color w:val="000000"/>
        </w:rPr>
        <w:t xml:space="preserve">” </w:t>
      </w:r>
      <w:r>
        <w:rPr>
          <w:rFonts w:ascii="Times New Roman;sans-serif" w:hAnsi="Times New Roman;sans-serif"/>
          <w:b w:val="false"/>
          <w:color w:val="000000"/>
          <w:sz w:val="22"/>
        </w:rPr>
        <w:t>means each “Term Loan” as defined in the Existing Restated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Existing Term Loan Class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2.14(g)(i)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Existing Term Loan Facility</w:t>
      </w:r>
      <w:r>
        <w:rPr>
          <w:color w:val="000000"/>
        </w:rPr>
        <w:t xml:space="preserve">” </w:t>
      </w:r>
      <w:r>
        <w:rPr>
          <w:rFonts w:ascii="Times New Roman;sans-serif" w:hAnsi="Times New Roman;sans-serif"/>
          <w:b w:val="false"/>
          <w:color w:val="000000"/>
          <w:sz w:val="22"/>
        </w:rPr>
        <w:t xml:space="preserve">shall mean the Credit Agreement, dated as of August 3, 2011, as amended by that Amendment No. 1, dated as of November 6, 2012, and that Amendment No. 2, dated as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July 2, 2015 by and among the Borrower, the lenders party thereto and the Existing Administrative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Extended Repayment Date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2.5(c)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Extended Term Loan Repayment Amount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2.5(c)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Extended Term Loans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2.14(g)(i)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Extending Lender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2.14(g)(iii)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Extension Amendment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2.14(g)(iv)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Extension Date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2.14(g)(v)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Extension Election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2.14(g)(iii)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Extension Request</w:t>
      </w:r>
      <w:r>
        <w:rPr>
          <w:color w:val="000000"/>
        </w:rPr>
        <w:t xml:space="preserve">” </w:t>
      </w:r>
      <w:r>
        <w:rPr>
          <w:rFonts w:ascii="Times New Roman;sans-serif" w:hAnsi="Times New Roman;sans-serif"/>
          <w:b w:val="false"/>
          <w:color w:val="000000"/>
          <w:sz w:val="22"/>
        </w:rPr>
        <w:t>shall mean a Term Loan Extension Request.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Extension Series</w:t>
      </w:r>
      <w:r>
        <w:rPr>
          <w:color w:val="000000"/>
        </w:rPr>
        <w:t xml:space="preserve">” </w:t>
      </w:r>
      <w:r>
        <w:rPr>
          <w:rFonts w:ascii="Times New Roman;sans-serif" w:hAnsi="Times New Roman;sans-serif"/>
          <w:b w:val="false"/>
          <w:color w:val="000000"/>
          <w:sz w:val="22"/>
        </w:rPr>
        <w:t>shall mean all Extended Term Loans that are established pursuant to the same Extension Amendment (or any subsequent Extension Amendment to the extent such Extension Amendment expressly provides that the Extended Term Loans provided for therein are intended to be a part of any previously established Extension Series) and that provide for the same interest margins, extension fees, and amortization schedule.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Fair Market Value</w:t>
      </w:r>
      <w:r>
        <w:rPr>
          <w:color w:val="000000"/>
        </w:rPr>
        <w:t xml:space="preserve">” </w:t>
      </w:r>
      <w:r>
        <w:rPr>
          <w:rFonts w:ascii="Times New Roman;sans-serif" w:hAnsi="Times New Roman;sans-serif"/>
          <w:b w:val="false"/>
          <w:color w:val="000000"/>
          <w:sz w:val="22"/>
        </w:rPr>
        <w:t>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FATCA</w:t>
      </w:r>
      <w:r>
        <w:rPr>
          <w:color w:val="000000"/>
        </w:rPr>
        <w:t xml:space="preserve">” </w:t>
      </w:r>
      <w:r>
        <w:rPr>
          <w:rFonts w:ascii="Times New Roman;sans-serif" w:hAnsi="Times New Roman;sans-serif"/>
          <w:b w:val="false"/>
          <w:color w:val="000000"/>
          <w:sz w:val="22"/>
        </w:rPr>
        <w:t>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successor version described above) any intergovernmental agreements (or related legislation or official administrative rules or practices) implementing the foregoing, and any laws, fiscal or regulatory legislation, rules guidance notes and practices adopted by a U.S. or non-U.S. jurisdiction to effect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Federal Funds Effective Rate</w:t>
      </w:r>
      <w:r>
        <w:rPr>
          <w:color w:val="000000"/>
        </w:rPr>
        <w:t xml:space="preserve">” </w:t>
      </w:r>
      <w:r>
        <w:rPr>
          <w:rFonts w:ascii="Times New Roman;sans-serif" w:hAnsi="Times New Roman;sans-serif"/>
          <w:b w:val="false"/>
          <w:color w:val="000000"/>
          <w:sz w:val="22"/>
        </w:rPr>
        <w:t>shall mean, for any day, the weighted average of the per annum</w:t>
      </w:r>
      <w:r>
        <w:rPr>
          <w:color w:val="000000"/>
        </w:rPr>
        <w:t xml:space="preserve"> </w:t>
      </w:r>
      <w:r>
        <w:rPr>
          <w:rFonts w:ascii="Times New Roman;sans-serif" w:hAnsi="Times New Roman;sans-serif"/>
          <w:b w:val="false"/>
          <w:color w:val="000000"/>
          <w:sz w:val="22"/>
        </w:rPr>
        <w:t xml:space="preserve">rates on overnight federal funds transactions with members of the Federal Reserve System arranged by depository institutions on such day, as published on the next succeeding Business Day by the Federal Reserve Bank of New York;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charged to the Administrative Agent on such day on such transactions as determined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Fees</w:t>
      </w:r>
      <w:r>
        <w:rPr>
          <w:color w:val="000000"/>
        </w:rPr>
        <w:t xml:space="preserve">” </w:t>
      </w:r>
      <w:r>
        <w:rPr>
          <w:rFonts w:ascii="Times New Roman;sans-serif" w:hAnsi="Times New Roman;sans-serif"/>
          <w:b w:val="false"/>
          <w:color w:val="000000"/>
          <w:sz w:val="22"/>
        </w:rPr>
        <w:t xml:space="preserve">shall mean all amounts payable pursuant to, or referred to in, </w:t>
      </w:r>
      <w:r>
        <w:rPr>
          <w:rFonts w:ascii="Times New Roman;sans-serif" w:hAnsi="Times New Roman;sans-serif"/>
          <w:b w:val="false"/>
          <w:color w:val="000000"/>
          <w:sz w:val="22"/>
          <w:u w:val="single"/>
        </w:rPr>
        <w:t>Section 4.1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First Lien Intercreditor Agreement</w:t>
      </w:r>
      <w:r>
        <w:rPr>
          <w:color w:val="000000"/>
        </w:rPr>
        <w:t xml:space="preserve">” </w:t>
      </w:r>
      <w:r>
        <w:rPr>
          <w:rFonts w:ascii="Times New Roman;sans-serif" w:hAnsi="Times New Roman;sans-serif"/>
          <w:b w:val="false"/>
          <w:color w:val="000000"/>
          <w:sz w:val="22"/>
        </w:rPr>
        <w:t xml:space="preserve">shall mean an Intercreditor Agreement substantially in the form of </w:t>
      </w:r>
      <w:r>
        <w:rPr>
          <w:rFonts w:ascii="Times New Roman;sans-serif" w:hAnsi="Times New Roman;sans-serif"/>
          <w:b w:val="false"/>
          <w:color w:val="000000"/>
          <w:sz w:val="22"/>
          <w:u w:val="single"/>
        </w:rPr>
        <w:t>Exhibit I-1</w:t>
      </w:r>
      <w:r>
        <w:rPr>
          <w:color w:val="000000"/>
        </w:rPr>
        <w:t xml:space="preserve"> </w:t>
      </w:r>
      <w:r>
        <w:rPr>
          <w:rFonts w:ascii="Times New Roman;sans-serif" w:hAnsi="Times New Roman;sans-serif"/>
          <w:b w:val="false"/>
          <w:color w:val="000000"/>
          <w:sz w:val="22"/>
        </w:rPr>
        <w:t>(with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First Lien Obligations</w:t>
      </w:r>
      <w:r>
        <w:rPr>
          <w:color w:val="000000"/>
          <w:shd w:fill="FFFFFF" w:val="clear"/>
        </w:rPr>
        <w:t xml:space="preserve">” </w:t>
      </w:r>
      <w:r>
        <w:rPr>
          <w:rFonts w:ascii="Times New Roman;sans-serif" w:hAnsi="Times New Roman;sans-serif"/>
          <w:b w:val="false"/>
          <w:color w:val="000000"/>
          <w:sz w:val="22"/>
          <w:shd w:fill="FFFFFF" w:val="clear"/>
        </w:rPr>
        <w:t>shall mean the Obligations and the other Indebtedness that is secured by Liens on all of the Collateral that rank on an equal priority basis (but without regard to the control of remedies) with Liens on the Collateral securing the Obligations.</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First Lien Secured Leverage Test</w:t>
      </w:r>
      <w:r>
        <w:rPr>
          <w:color w:val="000000"/>
          <w:shd w:fill="FFFFFF" w:val="clear"/>
        </w:rPr>
        <w:t xml:space="preserve">” </w:t>
      </w:r>
      <w:r>
        <w:rPr>
          <w:rFonts w:ascii="Times New Roman;sans-serif" w:hAnsi="Times New Roman;sans-serif"/>
          <w:b w:val="false"/>
          <w:color w:val="000000"/>
          <w:sz w:val="22"/>
          <w:shd w:fill="FFFFFF" w:val="clear"/>
        </w:rPr>
        <w:t>shall mean, as of any date of determination, with respect to the last day of the most recently ended Test Period, either (i) the Consolidated First Lien Secured Debt to Consolidated EBITDA Ratio shall be no greater than 2.00:1.00 or (ii) in connection with a Permitted Acquisition or Permitted Investment (or series of Permitted Acquisitions and/or Permitted Investments), the Consolidated First Lien Secured Debt to Consolidated EBITDA Ratio shall be less than or equal to the Consolidated First Lien Secured Debt to Consolidated EBITDA Ratio immediately prior to such Permitted Acquisition or Permitted Investment (or series of Permitted Acquisitions and/or Permitted Investments).</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Fixed Charge Coverage Ratio</w:t>
      </w:r>
      <w:r>
        <w:rPr>
          <w:color w:val="000000"/>
          <w:shd w:fill="FFFFFF" w:val="clear"/>
        </w:rPr>
        <w:t xml:space="preserve">” </w:t>
      </w:r>
      <w:r>
        <w:rPr>
          <w:rFonts w:ascii="Times New Roman;sans-serif" w:hAnsi="Times New Roman;sans-serif"/>
          <w:b w:val="false"/>
          <w:color w:val="000000"/>
          <w:sz w:val="22"/>
          <w:shd w:fill="FFFFFF" w:val="clear"/>
        </w:rPr>
        <w:t xml:space="preserve">shall mean, as of any date of determination, the ratio of (i) Consolidated EBITDA for the Test Period most recently ended on or prior to such date of determination to (ii) the Fixed Charges for such Test Period, in each case with such pro forma adjustments to Fixed Charge Coverage Ratio as are appropriate and consistent with the pro forma adjustment provisions set forth in the definition of Pro Forma Basis.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Fixed Charges</w:t>
      </w:r>
      <w:r>
        <w:rPr>
          <w:color w:val="000000"/>
        </w:rPr>
        <w:t xml:space="preserve">” </w:t>
      </w:r>
      <w:r>
        <w:rPr>
          <w:rFonts w:ascii="Times New Roman;sans-serif" w:hAnsi="Times New Roman;sans-serif"/>
          <w:b w:val="false"/>
          <w:color w:val="000000"/>
          <w:sz w:val="22"/>
        </w:rPr>
        <w:t>shall mean, with respect to any Person for any period, the sum of:</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    Consolidated Interest Expense of such Person and its Restricted Subsidiaries on a consolidated basis for such period,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(ii)    all cash dividend payments (excluding items eliminated in consolidation) on any series of preferred stock (including any Designated Preferred Stock) or any Refunding Capital Stock of such Person made during such period, and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(iii)    all cash dividend payments (excluding items eliminated in consolidation) on any series of Disqualified Stock made during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Flood Insurance Laws</w:t>
      </w:r>
      <w:r>
        <w:rPr>
          <w:color w:val="000000"/>
        </w:rPr>
        <w:t xml:space="preserve">” </w:t>
      </w:r>
      <w:r>
        <w:rPr>
          <w:rFonts w:ascii="Times New Roman;sans-serif" w:hAnsi="Times New Roman;sans-serif"/>
          <w:b w:val="false"/>
          <w:color w:val="000000"/>
          <w:sz w:val="22"/>
        </w:rPr>
        <w:t>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Floor</w:t>
      </w:r>
      <w:r>
        <w:rPr>
          <w:color w:val="000000"/>
        </w:rPr>
        <w:t xml:space="preserve">” </w:t>
      </w:r>
      <w:r>
        <w:rPr>
          <w:rFonts w:ascii="Times New Roman;sans-serif" w:hAnsi="Times New Roman;sans-serif"/>
          <w:b w:val="false"/>
          <w:color w:val="000000"/>
          <w:sz w:val="22"/>
        </w:rPr>
        <w:t>shall mean the benchmark rate floor</w:t>
      </w:r>
      <w:r>
        <w:rPr>
          <w:rFonts w:ascii="Times New Roman;sans-serif" w:hAnsi="Times New Roman;sans-serif"/>
          <w:b/>
          <w:strike/>
          <w:color w:val="FF0000"/>
          <w:sz w:val="22"/>
        </w:rPr>
        <w:t xml:space="preserve">, if any, </w:t>
      </w:r>
      <w:r>
        <w:rPr>
          <w:rFonts w:ascii="Times New Roman;sans-serif" w:hAnsi="Times New Roman;sans-serif"/>
          <w:b w:val="false"/>
          <w:color w:val="000000"/>
          <w:sz w:val="22"/>
        </w:rPr>
        <w:t>provided in this Agreement initially (as of the execution of this Agreement, the modification, amendment or renewal of this Agreement or otherwise)</w:t>
      </w:r>
      <w:r>
        <w:rPr>
          <w:strike/>
          <w:color w:val="FF0000"/>
        </w:rPr>
        <w:t xml:space="preserve"> </w:t>
      </w:r>
      <w:r>
        <w:rPr>
          <w:rFonts w:ascii="Times New Roman;sans-serif" w:hAnsi="Times New Roman;sans-serif"/>
          <w:b/>
          <w:strike/>
          <w:color w:val="FF0000"/>
          <w:sz w:val="22"/>
        </w:rPr>
        <w:t>with respect to the LIBOR Rate</w:t>
      </w:r>
      <w:r>
        <w:rPr>
          <w:rFonts w:ascii="Times New Roman;sans-serif" w:hAnsi="Times New Roman;sans-serif"/>
          <w:b/>
          <w:color w:val="0000FF"/>
          <w:sz w:val="22"/>
          <w:u w:val="single"/>
        </w:rPr>
        <w:t>, which is 0.75% per annum</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Foreign Benefit Arrangement</w:t>
      </w:r>
      <w:r>
        <w:rPr>
          <w:color w:val="000000"/>
        </w:rPr>
        <w:t xml:space="preserve">” </w:t>
      </w:r>
      <w:r>
        <w:rPr>
          <w:rFonts w:ascii="Times New Roman;sans-serif" w:hAnsi="Times New Roman;sans-serif"/>
          <w:b w:val="false"/>
          <w:color w:val="000000"/>
          <w:sz w:val="22"/>
        </w:rPr>
        <w:t>shall mean any employee benefit arrangement mandated by non-U.S. law that is maintained or contributed to by any Credit Party or any of its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Foreign Plan</w:t>
      </w:r>
      <w:r>
        <w:rPr>
          <w:color w:val="000000"/>
        </w:rPr>
        <w:t xml:space="preserve">” </w:t>
      </w:r>
      <w:r>
        <w:rPr>
          <w:rFonts w:ascii="Times New Roman;sans-serif" w:hAnsi="Times New Roman;sans-serif"/>
          <w:b w:val="false"/>
          <w:color w:val="000000"/>
          <w:sz w:val="22"/>
        </w:rPr>
        <w:t>shall mean each “employee benefit plan” (within the meaning of Section 3(3) of ERISA, whether or not subject to ERISA) that is not subject to U.S. law and is maintained or contributed to by any Credit Party or any of its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Foreign Plan Event</w:t>
      </w:r>
      <w:r>
        <w:rPr>
          <w:color w:val="000000"/>
        </w:rPr>
        <w:t xml:space="preserve">” </w:t>
      </w:r>
      <w:r>
        <w:rPr>
          <w:rFonts w:ascii="Times New Roman;sans-serif" w:hAnsi="Times New Roman;sans-serif"/>
          <w:b w:val="false"/>
          <w:color w:val="000000"/>
          <w:sz w:val="22"/>
        </w:rPr>
        <w:t>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and regulations or with the terms of such Foreign Plan or Foreign Benefit Arrangement.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Foreign Subsidiary</w:t>
      </w:r>
      <w:r>
        <w:rPr>
          <w:color w:val="000000"/>
        </w:rPr>
        <w:t xml:space="preserve">” </w:t>
      </w:r>
      <w:r>
        <w:rPr>
          <w:rFonts w:ascii="Times New Roman;sans-serif" w:hAnsi="Times New Roman;sans-serif"/>
          <w:b w:val="false"/>
          <w:color w:val="000000"/>
          <w:sz w:val="22"/>
        </w:rPr>
        <w:t>shall mean each Subsidiary of the Borrower that is not a Domestic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Fund</w:t>
      </w:r>
      <w:r>
        <w:rPr>
          <w:color w:val="000000"/>
        </w:rPr>
        <w:t xml:space="preserve">” </w:t>
      </w:r>
      <w:r>
        <w:rPr>
          <w:rFonts w:ascii="Times New Roman;sans-serif" w:hAnsi="Times New Roman;sans-serif"/>
          <w:b w:val="false"/>
          <w:color w:val="000000"/>
          <w:sz w:val="22"/>
        </w:rPr>
        <w:t>shall mean any Person (other than a natural Person) that is engaged or advises funds or other investment vehicles that are engaged in making, purchasing, holding, or investing in commercial loans and similar extensions of credit in the ordinary course.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Funded Debt</w:t>
      </w:r>
      <w:r>
        <w:rPr>
          <w:color w:val="000000"/>
        </w:rPr>
        <w:t xml:space="preserve">” </w:t>
      </w:r>
      <w:r>
        <w:rPr>
          <w:rFonts w:ascii="Times New Roman;sans-serif" w:hAnsi="Times New Roman;sans-serif"/>
          <w:b w:val="false"/>
          <w:color w:val="000000"/>
          <w:sz w:val="22"/>
        </w:rPr>
        <w:t>shall mean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GAAP</w:t>
      </w:r>
      <w:r>
        <w:rPr>
          <w:color w:val="000000"/>
        </w:rPr>
        <w:t xml:space="preserve">” </w:t>
      </w:r>
      <w:r>
        <w:rPr>
          <w:rFonts w:ascii="Times New Roman;sans-serif" w:hAnsi="Times New Roman;sans-serif"/>
          <w:b w:val="false"/>
          <w:color w:val="000000"/>
          <w:sz w:val="22"/>
        </w:rPr>
        <w:t xml:space="preserve">shall mean generally accepted accounting principles in the United States, as in effect from time to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the Borrower may elect to apply International Financial Reporting Standards (“</w:t>
      </w:r>
      <w:r>
        <w:rPr>
          <w:rFonts w:ascii="Times New Roman;sans-serif" w:hAnsi="Times New Roman;sans-serif"/>
          <w:b/>
          <w:color w:val="000000"/>
          <w:sz w:val="22"/>
        </w:rPr>
        <w:t>IFRS</w:t>
      </w:r>
      <w:r>
        <w:rPr>
          <w:color w:val="000000"/>
        </w:rPr>
        <w:t>”</w:t>
      </w:r>
      <w:r>
        <w:rPr>
          <w:rFonts w:ascii="Times New Roman;sans-serif" w:hAnsi="Times New Roman;sans-serif"/>
          <w:b w:val="false"/>
          <w:color w:val="000000"/>
          <w:sz w:val="22"/>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any such election, once made, shall be irrevocable;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any calculation or determination in this Agreement that requires the application of GAAP for periods that include fiscal quarters ended prior to the Borrower’s election to apply IFRS shall remain as previously calculated or determined in accordance with GAAP. Notwithstanding any other provision contained herein, the amount of any Indebtedness under GAAP with respect to Capitalized Lease Obligations shall be determined in accordance with the definition of Capitalized Lease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Gochman Investors</w:t>
      </w:r>
      <w:r>
        <w:rPr>
          <w:color w:val="000000"/>
        </w:rPr>
        <w:t xml:space="preserve">” </w:t>
      </w:r>
      <w:r>
        <w:rPr>
          <w:rFonts w:ascii="Times New Roman;sans-serif" w:hAnsi="Times New Roman;sans-serif"/>
          <w:b w:val="false"/>
          <w:color w:val="000000"/>
          <w:sz w:val="22"/>
        </w:rPr>
        <w:t xml:space="preserve">shall mean (i) each of David E Gochman and Molly Gochman, (ii) any trust for the direct or indirect benefit of any of the individuals referred to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and (iii) any Person more than 50% of the Equity Interests of which is owned or controlled by any of the individuals referred to in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including MSI 2011 LLC and MG Family Limited Partnership.</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General Asset Sale Exception</w:t>
      </w:r>
      <w:r>
        <w:rPr>
          <w:color w:val="000000"/>
          <w:shd w:fill="FFFFFF" w:val="clear"/>
        </w:rPr>
        <w:t xml:space="preserve">” </w:t>
      </w:r>
      <w:r>
        <w:rPr>
          <w:rFonts w:ascii="Times New Roman;sans-serif" w:hAnsi="Times New Roman;sans-serif"/>
          <w:b w:val="false"/>
          <w:color w:val="000000"/>
          <w:sz w:val="22"/>
          <w:shd w:fill="FFFFFF" w:val="clear"/>
        </w:rPr>
        <w:t>shall have the meaning provided in the definition of “Asset Sale”.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Governmental Authority</w:t>
      </w:r>
      <w:r>
        <w:rPr>
          <w:color w:val="000000"/>
        </w:rPr>
        <w:t xml:space="preserve">” </w:t>
      </w:r>
      <w:r>
        <w:rPr>
          <w:rFonts w:ascii="Times New Roman;sans-serif" w:hAnsi="Times New Roman;sans-serif"/>
          <w:b w:val="false"/>
          <w:color w:val="000000"/>
          <w:sz w:val="22"/>
        </w:rPr>
        <w:t>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 (including any supranational body exercising such powers or functions, such as the European Union or the European Central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Granting Lender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13.6(g)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Guarantee</w:t>
      </w:r>
      <w:r>
        <w:rPr>
          <w:color w:val="000000"/>
        </w:rPr>
        <w:t xml:space="preserve">” </w:t>
      </w:r>
      <w:r>
        <w:rPr>
          <w:rFonts w:ascii="Times New Roman;sans-serif" w:hAnsi="Times New Roman;sans-serif"/>
          <w:b w:val="false"/>
          <w:color w:val="000000"/>
          <w:sz w:val="22"/>
        </w:rPr>
        <w:t xml:space="preserve">shall mean (i) the Term Loan Holdings Guarantee made by Holdings, the Texas Intermediate Holdcos and each other Intermediate Holdco (subject to </w:t>
      </w:r>
      <w:r>
        <w:rPr>
          <w:rFonts w:ascii="Times New Roman;sans-serif" w:hAnsi="Times New Roman;sans-serif"/>
          <w:b w:val="false"/>
          <w:color w:val="000000"/>
          <w:sz w:val="22"/>
          <w:u w:val="single"/>
        </w:rPr>
        <w:t>Section 9.14</w:t>
      </w:r>
      <w:r>
        <w:rPr>
          <w:rFonts w:ascii="Times New Roman;sans-serif" w:hAnsi="Times New Roman;sans-serif"/>
          <w:b w:val="false"/>
          <w:color w:val="000000"/>
          <w:sz w:val="22"/>
        </w:rPr>
        <w:t xml:space="preserve">), substantially in the form of </w:t>
      </w:r>
      <w:r>
        <w:rPr>
          <w:rFonts w:ascii="Times New Roman;sans-serif" w:hAnsi="Times New Roman;sans-serif"/>
          <w:b w:val="false"/>
          <w:color w:val="000000"/>
          <w:sz w:val="22"/>
          <w:u w:val="single"/>
        </w:rPr>
        <w:t>Exhibit B-1</w:t>
      </w:r>
      <w:r>
        <w:rPr>
          <w:rFonts w:ascii="Times New Roman;sans-serif" w:hAnsi="Times New Roman;sans-serif"/>
          <w:b w:val="false"/>
          <w:color w:val="000000"/>
          <w:sz w:val="22"/>
        </w:rPr>
        <w:t xml:space="preserve">, and the Amended and Restated Term Loan Guarantee made by each other Guarantor, substantially in the form of </w:t>
      </w:r>
      <w:r>
        <w:rPr>
          <w:rFonts w:ascii="Times New Roman;sans-serif" w:hAnsi="Times New Roman;sans-serif"/>
          <w:b w:val="false"/>
          <w:color w:val="000000"/>
          <w:sz w:val="22"/>
          <w:u w:val="single"/>
        </w:rPr>
        <w:t>Exhibit B-2</w:t>
      </w:r>
      <w:r>
        <w:rPr>
          <w:rFonts w:ascii="Times New Roman;sans-serif" w:hAnsi="Times New Roman;sans-serif"/>
          <w:b w:val="false"/>
          <w:color w:val="000000"/>
          <w:sz w:val="22"/>
        </w:rPr>
        <w:t>, in favor of the Collateral Agent for the benefit of the Secured Parties and (ii) any other guarantee of the Obligations made by any Subsidiary of Holdings or a Restricted Subsidiary in form and substance reasonably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guarantee obligations</w:t>
      </w:r>
      <w:r>
        <w:rPr>
          <w:color w:val="000000"/>
        </w:rPr>
        <w:t xml:space="preserve">” </w:t>
      </w:r>
      <w:r>
        <w:rPr>
          <w:rFonts w:ascii="Times New Roman;sans-serif" w:hAnsi="Times New Roman;sans-serif"/>
          <w:b w:val="false"/>
          <w:color w:val="000000"/>
          <w:sz w:val="22"/>
        </w:rPr>
        <w:t xml:space="preserve">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Guarantors</w:t>
      </w:r>
      <w:r>
        <w:rPr>
          <w:color w:val="000000"/>
        </w:rPr>
        <w:t xml:space="preserve">” </w:t>
      </w:r>
      <w:r>
        <w:rPr>
          <w:rFonts w:ascii="Times New Roman;sans-serif" w:hAnsi="Times New Roman;sans-serif"/>
          <w:b w:val="false"/>
          <w:color w:val="000000"/>
          <w:sz w:val="22"/>
        </w:rPr>
        <w:t xml:space="preserve">shall mean (i) each Subsidiary of the Borrower that is party to the Guarantee on the Restatement Effective Date, (ii) each Subsidiary of Holdings that becomes a party to the Guarantee after the Restatement Effective Date pursuant to </w:t>
      </w:r>
      <w:r>
        <w:rPr>
          <w:rFonts w:ascii="Times New Roman;sans-serif" w:hAnsi="Times New Roman;sans-serif"/>
          <w:b w:val="false"/>
          <w:color w:val="000000"/>
          <w:sz w:val="22"/>
          <w:u w:val="single"/>
        </w:rPr>
        <w:t>Section 9.11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9.14</w:t>
      </w:r>
      <w:r>
        <w:rPr>
          <w:color w:val="000000"/>
        </w:rPr>
        <w:t xml:space="preserve"> </w:t>
      </w:r>
      <w:r>
        <w:rPr>
          <w:rFonts w:ascii="Times New Roman;sans-serif" w:hAnsi="Times New Roman;sans-serif"/>
          <w:b w:val="false"/>
          <w:color w:val="000000"/>
          <w:sz w:val="22"/>
        </w:rPr>
        <w:t xml:space="preserve">or otherwise and (iii) Holdings and the Texas Intermediate Holdcos;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in no event shall any Excluded Subsidiary be required to be a Guarantor (unless such Subsidiary is no longer an Excluded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Hazardous Materials</w:t>
      </w:r>
      <w:r>
        <w:rPr>
          <w:color w:val="000000"/>
        </w:rPr>
        <w:t xml:space="preserve">” </w:t>
      </w:r>
      <w:r>
        <w:rPr>
          <w:rFonts w:ascii="Times New Roman;sans-serif" w:hAnsi="Times New Roman;sans-serif"/>
          <w:b w:val="false"/>
          <w:color w:val="000000"/>
          <w:sz w:val="22"/>
        </w:rPr>
        <w:t>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Hedge Agreements</w:t>
      </w:r>
      <w:r>
        <w:rPr>
          <w:color w:val="000000"/>
        </w:rPr>
        <w:t xml:space="preserve">” </w:t>
      </w:r>
      <w:r>
        <w:rPr>
          <w:rFonts w:ascii="Times New Roman;sans-serif" w:hAnsi="Times New Roman;sans-serif"/>
          <w:b w:val="false"/>
          <w:color w:val="000000"/>
          <w:sz w:val="22"/>
        </w:rPr>
        <w:t>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ans-serif" w:hAnsi="Times New Roman;sans-serif"/>
          <w:b/>
          <w:color w:val="000000"/>
          <w:sz w:val="22"/>
        </w:rPr>
        <w:t>Master Agreement</w:t>
      </w:r>
      <w:r>
        <w:rPr>
          <w:color w:val="000000"/>
        </w:rPr>
        <w:t>”</w:t>
      </w:r>
      <w:r>
        <w:rPr>
          <w:rFonts w:ascii="Times New Roman;sans-serif" w:hAnsi="Times New Roman;sans-serif"/>
          <w:b w:val="false"/>
          <w:color w:val="000000"/>
          <w:sz w:val="22"/>
        </w:rPr>
        <w:t>), including any such obligations or liabilities under any Master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Hedge Bank</w:t>
      </w:r>
      <w:r>
        <w:rPr>
          <w:color w:val="000000"/>
        </w:rPr>
        <w:t xml:space="preserve">” </w:t>
      </w:r>
      <w:r>
        <w:rPr>
          <w:rFonts w:ascii="Times New Roman;sans-serif" w:hAnsi="Times New Roman;sans-serif"/>
          <w:b w:val="false"/>
          <w:color w:val="000000"/>
          <w:sz w:val="22"/>
        </w:rPr>
        <w:t xml:space="preserve">shall mean (i) (a) any Person that, at the time it enters into a Hedge Agreement with the Borrower or any Restricted Subsidiary,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w:t>
      </w:r>
      <w:r>
        <w:rPr>
          <w:rFonts w:ascii="Times New Roman;sans-serif" w:hAnsi="Times New Roman;sans-serif"/>
          <w:b w:val="false"/>
          <w:color w:val="000000"/>
          <w:sz w:val="22"/>
          <w:u w:val="single"/>
        </w:rPr>
        <w:t>Exhibit L-1</w:t>
      </w:r>
      <w:r>
        <w:rPr>
          <w:color w:val="000000"/>
        </w:rPr>
        <w:t xml:space="preserve"> </w:t>
      </w:r>
      <w:r>
        <w:rPr>
          <w:rFonts w:ascii="Times New Roman;sans-serif" w:hAnsi="Times New Roman;sans-serif"/>
          <w:b w:val="false"/>
          <w:color w:val="000000"/>
          <w:sz w:val="22"/>
        </w:rPr>
        <w:t xml:space="preserve">or such other form reasonably acceptable to the Administrative Agent.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Hedging Obligations</w:t>
      </w:r>
      <w:r>
        <w:rPr>
          <w:color w:val="000000"/>
        </w:rPr>
        <w:t xml:space="preserve">” </w:t>
      </w:r>
      <w:r>
        <w:rPr>
          <w:rFonts w:ascii="Times New Roman;sans-serif" w:hAnsi="Times New Roman;sans-serif"/>
          <w:b w:val="false"/>
          <w:color w:val="000000"/>
          <w:sz w:val="22"/>
        </w:rPr>
        <w:t>shall mean, with respect to any Person, the obligations of such Person under any Hedge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Historical Financial Statements</w:t>
      </w:r>
      <w:r>
        <w:rPr>
          <w:color w:val="000000"/>
        </w:rPr>
        <w:t xml:space="preserve">” </w:t>
      </w:r>
      <w:r>
        <w:rPr>
          <w:rFonts w:ascii="Times New Roman;sans-serif" w:hAnsi="Times New Roman;sans-serif"/>
          <w:b w:val="false"/>
          <w:color w:val="000000"/>
          <w:sz w:val="22"/>
        </w:rPr>
        <w:t>means the audited consolidated balance sheet of the Borrower and its Subsidiaries for the fiscal years ended February 3, 2018, February 2, 2019 and February 1, 2020, and the related consolidated statements of income or operations, shareholders’ equity and cash flows for such fiscal years of Holdings and its Subsidiaries, including the notes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Holdings</w:t>
      </w:r>
      <w:r>
        <w:rPr>
          <w:color w:val="000000"/>
        </w:rPr>
        <w:t xml:space="preserve">” </w:t>
      </w:r>
      <w:r>
        <w:rPr>
          <w:rFonts w:ascii="Times New Roman;sans-serif" w:hAnsi="Times New Roman;sans-serif"/>
          <w:b w:val="false"/>
          <w:color w:val="000000"/>
          <w:sz w:val="22"/>
        </w:rPr>
        <w:t>shall mean (i) New Academy Holding Company, LLC or (ii) after the Restatement Effective Date, any other Person or Persons (“</w:t>
      </w:r>
      <w:r>
        <w:rPr>
          <w:rFonts w:ascii="Times New Roman;sans-serif" w:hAnsi="Times New Roman;sans-serif"/>
          <w:b/>
          <w:color w:val="000000"/>
          <w:sz w:val="22"/>
        </w:rPr>
        <w:t>New Holdings</w:t>
      </w:r>
      <w:r>
        <w:rPr>
          <w:color w:val="000000"/>
        </w:rPr>
        <w:t>”</w:t>
      </w:r>
      <w:r>
        <w:rPr>
          <w:rFonts w:ascii="Times New Roman;sans-serif" w:hAnsi="Times New Roman;sans-serif"/>
          <w:b w:val="false"/>
          <w:color w:val="000000"/>
          <w:sz w:val="22"/>
        </w:rPr>
        <w:t>) that is a Subsidiary of Holdings or of any Parent Entity of Holdings (or the previous New Holdings, as the case may be) but not the Borrower (“</w:t>
      </w:r>
      <w:r>
        <w:rPr>
          <w:rFonts w:ascii="Times New Roman;sans-serif" w:hAnsi="Times New Roman;sans-serif"/>
          <w:b/>
          <w:color w:val="000000"/>
          <w:sz w:val="22"/>
        </w:rPr>
        <w:t>Previous Holdings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 such New Holdings directly or indirectly through Intermediate Holdcos owns 100% of the Equity Interests of the Borrower,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shall be pledged to secure the Obligations and (e) (i) no Event of Default has occurred and is continuing at the time of such substitution and such substitution does not result in any Event of Default and (ii) such substitution does not result in any adverse tax consequences to any Lender (unless reimbursed hereunder) or to the Administrative Agent (unless reimbursed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if each of the foregoing is satisfied, Previous Holdings shall be automatically released of all its obligations under the Credit Documents and any reference to “Holdings” in the Credit Documents shall be meant to refer to New Holdings.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IFRS</w:t>
      </w:r>
      <w:r>
        <w:rPr>
          <w:color w:val="000000"/>
        </w:rPr>
        <w:t xml:space="preserve">” </w:t>
      </w:r>
      <w:r>
        <w:rPr>
          <w:rFonts w:ascii="Times New Roman;sans-serif" w:hAnsi="Times New Roman;sans-serif"/>
          <w:b w:val="false"/>
          <w:color w:val="000000"/>
          <w:sz w:val="22"/>
        </w:rPr>
        <w:t>shall have the meaning given to such term in the definition of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Immediate Family Members</w:t>
      </w:r>
      <w:r>
        <w:rPr>
          <w:color w:val="000000"/>
        </w:rPr>
        <w:t xml:space="preserve">” </w:t>
      </w:r>
      <w:r>
        <w:rPr>
          <w:rFonts w:ascii="Times New Roman;sans-serif" w:hAnsi="Times New Roman;sans-serif"/>
          <w:b w:val="false"/>
          <w:color w:val="000000"/>
          <w:sz w:val="22"/>
        </w:rPr>
        <w:t>shall mean,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Impacted Loans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2.10(a)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Increased Amount Date</w:t>
      </w:r>
      <w:r>
        <w:rPr>
          <w:color w:val="000000"/>
        </w:rPr>
        <w:t xml:space="preserve">” </w:t>
      </w:r>
      <w:r>
        <w:rPr>
          <w:rFonts w:ascii="Times New Roman;sans-serif" w:hAnsi="Times New Roman;sans-serif"/>
          <w:b w:val="false"/>
          <w:color w:val="000000"/>
          <w:sz w:val="22"/>
        </w:rPr>
        <w:t>shall mean the date of effectiveness of any New Term Loan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incur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Indebtedness</w:t>
      </w:r>
      <w:r>
        <w:rPr>
          <w:color w:val="000000"/>
        </w:rPr>
        <w:t xml:space="preserve">” </w:t>
      </w:r>
      <w:r>
        <w:rPr>
          <w:rFonts w:ascii="Times New Roman;sans-serif" w:hAnsi="Times New Roman;sans-serif"/>
          <w:b w:val="false"/>
          <w:color w:val="000000"/>
          <w:sz w:val="22"/>
        </w:rPr>
        <w:t xml:space="preserve">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Indebtedness of any direct or indirect parent company appearing upon the balance sheet of the Borrower solely by reason of push down accounting under GAAP shall be excluded, (ii) to the extent not otherwise included, any obligation by such Person to be liable for, or to pay, as obligor, guarantor or otherwise, on the obligations of the type referred to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of another Person secured by a Lien on any asset owned by such Person, whether or not such Indebtedness is assumed by such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notwithstanding the foregoing, Indebtedness shall be deemed not to include (1) Contingent Obligations incurred in the ordinary course of business, (2) obligations under or in respect of Receivables Facilities,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(6) any earn-out obligation until such obligation, within 60 days of becoming due and payable, has not been paid and such obligation is reflected as a liability on the balance sheet of such Person in accordance with GAAP, (7) any obligations attributable to the exercise of appraisal rights and the settlement of any claims or actions (whether actual, contingent or potential) with respect thereto, (8) accrued expenses and royalties or (9) asset retirement obligations and obligations in respect of workers’ compensation (including pensions and retiree medical care) that are not overdue by more than 60 days. The amount of Indebtedness of any Person for purposes of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above shall (unless such Indebtedness has been assumed by such Person) be deemed to be equal to the lesser of (x) the aggregate unpaid amount of such Indebtedness and (y) the Fair Market Value of the property encumbered thereby as determined by such Person in good faith.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all purposes hereof, the Indebtedness of the Borrower and the Restricted Subsidiaries, shall exclude all intercompany Indebtedness having a term not exceeding 365 days (inclusive of any roll-over or extensions of terms) and made in the ordinary course of business consistent with past practice.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Indemnified Liabilities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Indemnified Person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Indemnified Taxes</w:t>
      </w:r>
      <w:r>
        <w:rPr>
          <w:color w:val="000000"/>
        </w:rPr>
        <w:t xml:space="preserve">” </w:t>
      </w:r>
      <w:r>
        <w:rPr>
          <w:rFonts w:ascii="Times New Roman;sans-serif" w:hAnsi="Times New Roman;sans-serif"/>
          <w:b w:val="false"/>
          <w:color w:val="000000"/>
          <w:sz w:val="22"/>
        </w:rPr>
        <w:t>shall mean all Taxes imposed on or with respect to any payment by or on account of any obligation of any Credit Party hereunder or under any other Credit Document, other than Excluded Taxes or Other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Investors</w:t>
      </w:r>
      <w:r>
        <w:rPr>
          <w:color w:val="000000"/>
        </w:rPr>
        <w:t xml:space="preserve">” </w:t>
      </w:r>
      <w:r>
        <w:rPr>
          <w:rFonts w:ascii="Times New Roman;sans-serif" w:hAnsi="Times New Roman;sans-serif"/>
          <w:b w:val="false"/>
          <w:color w:val="000000"/>
          <w:sz w:val="22"/>
        </w:rPr>
        <w:t xml:space="preserve">shall mean shall mean Kohlberg Kravis Roberts &amp; Co. L.P and its Affiliates, but not including, however, any portfolio companies of any of the foregoing.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w:t>
      </w:r>
      <w:r>
        <w:rPr>
          <w:color w:val="000000"/>
        </w:rPr>
        <w:t xml:space="preserve">” </w:t>
      </w:r>
      <w:r>
        <w:rPr>
          <w:rFonts w:ascii="Times New Roman;sans-serif" w:hAnsi="Times New Roman;sans-serif"/>
          <w:b w:val="false"/>
          <w:color w:val="000000"/>
          <w:sz w:val="22"/>
        </w:rPr>
        <w:t xml:space="preserve">shall mean any loan in Dollars converted or made pursuant to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respectively.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 Commitment</w:t>
      </w:r>
      <w:r>
        <w:rPr>
          <w:color w:val="000000"/>
        </w:rPr>
        <w:t xml:space="preserve">” </w:t>
      </w:r>
      <w:r>
        <w:rPr>
          <w:rFonts w:ascii="Times New Roman;sans-serif" w:hAnsi="Times New Roman;sans-serif"/>
          <w:b w:val="false"/>
          <w:color w:val="000000"/>
          <w:sz w:val="22"/>
        </w:rPr>
        <w:t>shall mean, in the case of each Lender that is a Lender on the Amendment No. 4 Effective Date, (x) such Lender’s Additional Initial Term Commitment and (y) the agreement of such Lender to convert the principal amount of its Existing Term Loans (as set forth in such Lender’s Consent (as defined in Amendment No. 4)) for an equal principal amount of Initial Term Loans on the Amendment No. 4 Effective Date. The aggregate amount of the Initial Term Loan Commitments as of the Amendment No. 4 Effective Date is $300,000,000, which shall be deemed reduced to $0 upon the occurrence of the Amendment No. 4 Effective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 Lender</w:t>
      </w:r>
      <w:r>
        <w:rPr>
          <w:color w:val="000000"/>
        </w:rPr>
        <w:t xml:space="preserve">” </w:t>
      </w:r>
      <w:r>
        <w:rPr>
          <w:rFonts w:ascii="Times New Roman;sans-serif" w:hAnsi="Times New Roman;sans-serif"/>
          <w:b w:val="false"/>
          <w:color w:val="000000"/>
          <w:sz w:val="22"/>
        </w:rPr>
        <w:t>shall mean each Additional Initial Term Lender and Converting Term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 Maturity Date</w:t>
      </w:r>
      <w:r>
        <w:rPr>
          <w:color w:val="000000"/>
        </w:rPr>
        <w:t xml:space="preserve">” </w:t>
      </w:r>
      <w:r>
        <w:rPr>
          <w:rFonts w:ascii="Times New Roman;sans-serif" w:hAnsi="Times New Roman;sans-serif"/>
          <w:b w:val="false"/>
          <w:color w:val="000000"/>
          <w:sz w:val="22"/>
        </w:rPr>
        <w:t>shall mean November 6, 2027 or, if such date is not a Business Day, the immediately preceding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 Repayment Amount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2.5(b)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Initial Term Loan Repayment Date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2.5(b)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Insolvent</w:t>
      </w:r>
      <w:r>
        <w:rPr>
          <w:color w:val="000000"/>
        </w:rPr>
        <w:t xml:space="preserve">” </w:t>
      </w:r>
      <w:r>
        <w:rPr>
          <w:rFonts w:ascii="Times New Roman;sans-serif" w:hAnsi="Times New Roman;sans-serif"/>
          <w:b w:val="false"/>
          <w:color w:val="000000"/>
          <w:sz w:val="22"/>
        </w:rPr>
        <w:t>shall mean, with respect to any Multiemployer Plan, the condition that such Multiemployer Plan is “insolvent” within the meaning of Section 4245 of ERISA.</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Intellectual Property</w:t>
      </w:r>
      <w:r>
        <w:rPr>
          <w:color w:val="000000"/>
          <w:shd w:fill="FFFFFF" w:val="clear"/>
        </w:rPr>
        <w:t xml:space="preserve">” </w:t>
      </w:r>
      <w:r>
        <w:rPr>
          <w:rFonts w:ascii="Times New Roman;sans-serif" w:hAnsi="Times New Roman;sans-serif"/>
          <w:b w:val="false"/>
          <w:color w:val="000000"/>
          <w:sz w:val="22"/>
          <w:shd w:fill="FFFFFF" w:val="clear"/>
        </w:rPr>
        <w:t xml:space="preserve">shall mean U.S. intellectual property, including all (i) (a) patents, inventions, processes, developments, technology, and know-how; (b) copyrights and works of authorship in any media, including graphics, advertising materials, labels, package designs, and photographs;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(c) trademarks, service marks, trade names, brand names, corporate names, Internet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divisionals, re-issues, re-examinations, or similar legal protections related to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Interest Period</w:t>
      </w:r>
      <w:r>
        <w:rPr>
          <w:color w:val="000000"/>
        </w:rPr>
        <w:t xml:space="preserve">” </w:t>
      </w:r>
      <w:r>
        <w:rPr>
          <w:rFonts w:ascii="Times New Roman;sans-serif" w:hAnsi="Times New Roman;sans-serif"/>
          <w:b w:val="false"/>
          <w:color w:val="000000"/>
          <w:sz w:val="22"/>
        </w:rPr>
        <w:t xml:space="preserve">shall mean, with respect to any Loan, the interest period applicable thereto, as determined pursuant to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Intermediate Holdcos</w:t>
      </w:r>
      <w:r>
        <w:rPr>
          <w:color w:val="000000"/>
        </w:rPr>
        <w:t xml:space="preserve">” </w:t>
      </w:r>
      <w:r>
        <w:rPr>
          <w:rFonts w:ascii="Times New Roman;sans-serif" w:hAnsi="Times New Roman;sans-serif"/>
          <w:b w:val="false"/>
          <w:color w:val="000000"/>
          <w:sz w:val="22"/>
        </w:rPr>
        <w:t xml:space="preserve">shall mean the Texas Intermediate Holdcos and any other Subsidiary of Holdings that becomes a party to the Guarantee in the form of </w:t>
      </w:r>
      <w:r>
        <w:rPr>
          <w:rFonts w:ascii="Times New Roman;sans-serif" w:hAnsi="Times New Roman;sans-serif"/>
          <w:b w:val="false"/>
          <w:color w:val="000000"/>
          <w:sz w:val="22"/>
          <w:u w:val="single"/>
        </w:rPr>
        <w:t>Exhibit B-1</w:t>
      </w:r>
      <w:r>
        <w:rPr>
          <w:color w:val="000000"/>
        </w:rPr>
        <w:t xml:space="preserve"> </w:t>
      </w:r>
      <w:r>
        <w:rPr>
          <w:rFonts w:ascii="Times New Roman;sans-serif" w:hAnsi="Times New Roman;sans-serif"/>
          <w:b w:val="false"/>
          <w:color w:val="000000"/>
          <w:sz w:val="22"/>
        </w:rPr>
        <w:t xml:space="preserve">after the Restatement Effective Date pursuant to </w:t>
      </w:r>
      <w:r>
        <w:rPr>
          <w:rFonts w:ascii="Times New Roman;sans-serif" w:hAnsi="Times New Roman;sans-serif"/>
          <w:b w:val="false"/>
          <w:color w:val="000000"/>
          <w:sz w:val="22"/>
          <w:u w:val="single"/>
        </w:rPr>
        <w:t>Section 9.11(y)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Investment</w:t>
      </w:r>
      <w:r>
        <w:rPr>
          <w:color w:val="000000"/>
        </w:rPr>
        <w:t xml:space="preserve">” </w:t>
      </w:r>
      <w:r>
        <w:rPr>
          <w:rFonts w:ascii="Times New Roman;sans-serif" w:hAnsi="Times New Roman;sans-serif"/>
          <w:b w:val="false"/>
          <w:color w:val="000000"/>
          <w:sz w:val="22"/>
        </w:rPr>
        <w:t xml:space="preserve">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Investments shall not include, in the case of the Borrower and the Restricted Subsidiaries, intercompany loans (including guarantees), advances, or Indebtedness either (i) having a term not exceeding 364 days (inclusive of any roll-over or extensions of terms) and made in the ordinary course of business or (ii) arising from cash management, tax and/or accounting operations.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For purposes of the definition of Unrestricted Subsidiary and </w:t>
      </w:r>
      <w:r>
        <w:rPr>
          <w:rFonts w:ascii="Times New Roman;sans-serif" w:hAnsi="Times New Roman;sans-serif"/>
          <w:b w:val="false"/>
          <w:color w:val="000000"/>
          <w:sz w:val="22"/>
          <w:u w:val="single"/>
        </w:rPr>
        <w:t>Section 10.5</w:t>
      </w:r>
      <w:r>
        <w:rPr>
          <w:rFonts w:ascii="Times New Roman;sans-serif" w:hAnsi="Times New Roman;sans-serif"/>
          <w:b w:val="false"/>
          <w:color w:val="000000"/>
          <w:sz w:val="22"/>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    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upon a redesignation of such Subsidiary as a Restricted Subsidiary, the Borrower shall be deemed to continue to have a permanent Investment in an Unrestricted Subsidiary in an amount (if positive) equal to (a) the Borrower’s Investment in such Subsidiary at the time of such redesignation </w:t>
      </w:r>
      <w:r>
        <w:rPr>
          <w:rFonts w:ascii="Times New Roman;sans-serif" w:hAnsi="Times New Roman;sans-serif"/>
          <w:b w:val="false"/>
          <w:i/>
          <w:color w:val="000000"/>
          <w:sz w:val="22"/>
        </w:rPr>
        <w:t>less</w:t>
      </w:r>
      <w:r>
        <w:rPr>
          <w:color w:val="000000"/>
        </w:rPr>
        <w:t xml:space="preserve"> </w:t>
      </w:r>
      <w:r>
        <w:rPr>
          <w:rFonts w:ascii="Times New Roman;sans-serif" w:hAnsi="Times New Roman;sans-serif"/>
          <w:b w:val="false"/>
          <w:color w:val="000000"/>
          <w:sz w:val="22"/>
        </w:rPr>
        <w:t>(b) the portion (proportionate to the Borrower’s equity interest in such Subsidiary) of the Fair Market Value of the net assets of such Subsidiary at the time of such redesignation; and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(ii)    any property transferred to or from an Unrestricted Subsidiary shall be valued at its Fair Market Value at the time of such transfer.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The amount of any Investment outstanding at any time shall be the original cost of such Investment, reduced by any dividend, distribution, interest payment, return of capital, repayment, or other amount received by the Borrower or a Restricted Subsidiary in respect of such Investment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with respect to amounts received other than in the form of Cash Equivalents, such amount shall be equal to the Fair Market Value of such consideration).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Investment Grade Rating</w:t>
      </w:r>
      <w:r>
        <w:rPr>
          <w:color w:val="000000"/>
        </w:rPr>
        <w:t xml:space="preserve">” </w:t>
      </w:r>
      <w:r>
        <w:rPr>
          <w:rFonts w:ascii="Times New Roman;sans-serif" w:hAnsi="Times New Roman;sans-serif"/>
          <w:b w:val="false"/>
          <w:color w:val="000000"/>
          <w:sz w:val="22"/>
        </w:rPr>
        <w:t>shall mean a rating equal to or higher than Baa3 (or the equivalent) by Moody’s and BBB- (or the equivalent) by S&amp;P, or an equivalent rating by any other Rating Agency.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Investment Grade Securities</w:t>
      </w:r>
      <w:r>
        <w:rPr>
          <w:color w:val="000000"/>
        </w:rPr>
        <w:t xml:space="preserve">” </w:t>
      </w:r>
      <w:r>
        <w:rPr>
          <w:rFonts w:ascii="Times New Roman;sans-serif" w:hAnsi="Times New Roman;sans-serif"/>
          <w:b w:val="false"/>
          <w:color w:val="000000"/>
          <w:sz w:val="22"/>
        </w:rPr>
        <w:t>shall mean: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    securities issued or directly and fully guaranteed or insured by the United States government or any agency or instrumentality thereof (other than Cash Equivalents),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(ii)    debt securities or debt instruments with an Investment Grade Rating, but excluding any debt securities or instruments constituting loans or advances among a the Borrower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(iii)    investments in any fund that invest at least 90% in investments of the type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which fund may also hold immaterial amounts of cash pending investment or distribution, and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(iv)    corresponding instruments in countries other than the United States customarily utilized for high-quality investments.</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IPO</w:t>
      </w:r>
      <w:r>
        <w:rPr>
          <w:color w:val="000000"/>
          <w:shd w:fill="FFFFFF" w:val="clear"/>
        </w:rPr>
        <w:t xml:space="preserve">” </w:t>
      </w:r>
      <w:r>
        <w:rPr>
          <w:rFonts w:ascii="Times New Roman;sans-serif" w:hAnsi="Times New Roman;sans-serif"/>
          <w:b w:val="false"/>
          <w:color w:val="000000"/>
          <w:sz w:val="22"/>
          <w:shd w:fill="FFFFFF" w:val="clear"/>
        </w:rPr>
        <w:t xml:space="preserve">refers to the initial public offering of Academy Sports and Outdoors, Inc.’s common stock on the NASDAQ Global Select Market, which such IPO closed on October 6, 2020. </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ISDA Definitions</w:t>
      </w:r>
      <w:r>
        <w:rPr>
          <w:color w:val="000000"/>
          <w:shd w:fill="FFFFFF" w:val="clear"/>
        </w:rPr>
        <w:t xml:space="preserve">” </w:t>
      </w:r>
      <w:r>
        <w:rPr>
          <w:rFonts w:ascii="Times New Roman;sans-serif" w:hAnsi="Times New Roman;sans-serif"/>
          <w:b w:val="false"/>
          <w:color w:val="000000"/>
          <w:sz w:val="22"/>
          <w:shd w:fill="FFFFFF" w:val="clear"/>
        </w:rPr>
        <w:t>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Joinder Agreement</w:t>
      </w:r>
      <w:r>
        <w:rPr>
          <w:color w:val="000000"/>
          <w:shd w:fill="FFFFFF" w:val="clear"/>
        </w:rPr>
        <w:t xml:space="preserve">” </w:t>
      </w:r>
      <w:r>
        <w:rPr>
          <w:rFonts w:ascii="Times New Roman;sans-serif" w:hAnsi="Times New Roman;sans-serif"/>
          <w:b w:val="false"/>
          <w:color w:val="000000"/>
          <w:sz w:val="22"/>
          <w:shd w:fill="FFFFFF" w:val="clear"/>
        </w:rPr>
        <w:t xml:space="preserve">shall mean an agreement substantially in the form of </w:t>
      </w:r>
      <w:r>
        <w:rPr>
          <w:rFonts w:ascii="Times New Roman;sans-serif" w:hAnsi="Times New Roman;sans-serif"/>
          <w:b w:val="false"/>
          <w:color w:val="000000"/>
          <w:sz w:val="22"/>
          <w:u w:val="single"/>
          <w:shd w:fill="FFFFFF" w:val="clear"/>
        </w:rPr>
        <w:t>Exhibit A</w:t>
      </w:r>
      <w:r>
        <w:rPr>
          <w:rFonts w:ascii="Times New Roman;sans-serif" w:hAnsi="Times New Roman;sans-serif"/>
          <w:b w:val="false"/>
          <w:color w:val="000000"/>
          <w:sz w:val="22"/>
          <w:shd w:fill="FFFFFF" w:val="clear"/>
        </w:rPr>
        <w:t>, which may include additional provisions to ensure fungibility of the Loans and to provide for mechanics for borrowings in currencies other than Dollars.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Joint Lead Arrangers and Bookrunners</w:t>
      </w:r>
      <w:r>
        <w:rPr>
          <w:color w:val="000000"/>
        </w:rPr>
        <w:t xml:space="preserve">” </w:t>
      </w:r>
      <w:r>
        <w:rPr>
          <w:rFonts w:ascii="Times New Roman;sans-serif" w:hAnsi="Times New Roman;sans-serif"/>
          <w:b w:val="false"/>
          <w:color w:val="000000"/>
          <w:sz w:val="22"/>
        </w:rPr>
        <w:t xml:space="preserve">shall mean Credit Suisse Loan Funding LLC, KKR Capital Markets LLC and J.P. Morgan Securities LLC, Wells Fargo Securities, LLC, BofA Securities, Inc., Capital One N.A., U.S. Bank National Association, Regions Capital Markets (a division of Regions Bank) and BBVA Securities Inc.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Junior Debt</w:t>
      </w:r>
      <w:r>
        <w:rPr>
          <w:color w:val="000000"/>
        </w:rPr>
        <w:t xml:space="preserve">” </w:t>
      </w:r>
      <w:r>
        <w:rPr>
          <w:rFonts w:ascii="Times New Roman;sans-serif" w:hAnsi="Times New Roman;sans-serif"/>
          <w:b w:val="false"/>
          <w:color w:val="000000"/>
          <w:sz w:val="22"/>
        </w:rPr>
        <w:t>shall mean any Indebtedness (other than any permitted intercompany Indebtedness owing to the Borrower or any Restricted Subsidiary) in respect Subordinated Indebtedness in excess of $50,000,000.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KKR</w:t>
      </w:r>
      <w:r>
        <w:rPr>
          <w:color w:val="000000"/>
        </w:rPr>
        <w:t xml:space="preserve">” </w:t>
      </w:r>
      <w:r>
        <w:rPr>
          <w:rFonts w:ascii="Times New Roman;sans-serif" w:hAnsi="Times New Roman;sans-serif"/>
          <w:b w:val="false"/>
          <w:color w:val="000000"/>
          <w:sz w:val="22"/>
        </w:rPr>
        <w:t>shall mean each of Kohlberg Kravis Roberts &amp; Co. L.P. and KKR 2006 Fund L.P.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Latest Term Loan Maturity Date</w:t>
      </w:r>
      <w:r>
        <w:rPr>
          <w:color w:val="000000"/>
        </w:rPr>
        <w:t xml:space="preserve">” </w:t>
      </w:r>
      <w:r>
        <w:rPr>
          <w:rFonts w:ascii="Times New Roman;sans-serif" w:hAnsi="Times New Roman;sans-serif"/>
          <w:b w:val="false"/>
          <w:color w:val="000000"/>
          <w:sz w:val="22"/>
        </w:rPr>
        <w:t>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LCT Election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1.12(a)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LCT Test Date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1.12(a)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Lender</w:t>
      </w:r>
      <w:r>
        <w:rPr>
          <w:color w:val="000000"/>
        </w:rPr>
        <w:t xml:space="preserve">” </w:t>
      </w:r>
      <w:r>
        <w:rPr>
          <w:rFonts w:ascii="Times New Roman;sans-serif" w:hAnsi="Times New Roman;sans-serif"/>
          <w:b w:val="false"/>
          <w:color w:val="000000"/>
          <w:sz w:val="22"/>
        </w:rPr>
        <w:t>shall have the meaning provided in the preamble to this Agreement, which, for the avoidance of doubt, shall include each Initial Term Loan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Lender Default</w:t>
      </w:r>
      <w:r>
        <w:rPr>
          <w:color w:val="000000"/>
        </w:rPr>
        <w:t xml:space="preserve">” </w:t>
      </w:r>
      <w:r>
        <w:rPr>
          <w:rFonts w:ascii="Times New Roman;sans-serif" w:hAnsi="Times New Roman;sans-serif"/>
          <w:b w:val="false"/>
          <w:color w:val="000000"/>
          <w:sz w:val="22"/>
        </w:rPr>
        <w:t xml:space="preserve">shall mean (i) the refusal or failure of any Lender to make available its portion of any incurrence of Loans,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or any other Lender any other amount required to be paid by it hereunder within one business day of the date when due, unless the subject of a good faith dispute, (iii) a Lender has notified, in writing, the Borrower or the Administrative Agent that it does not intend to comply with its funding obligations under this Agreement or has made a public statement to that effect with respect to its funding obligations under this Agreement or the ABL Facility,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Distressed Person has admitted in writing that it is insolvent or such Distressed Person becomes subject to a Lender-Related Distress Event or (vi) a Lender becomes the subject of a Bail-in Action.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Lender Presentation”</w:t>
      </w:r>
      <w:r>
        <w:rPr>
          <w:color w:val="000000"/>
        </w:rPr>
        <w:t xml:space="preserve"> </w:t>
      </w:r>
      <w:r>
        <w:rPr>
          <w:rFonts w:ascii="Times New Roman;sans-serif" w:hAnsi="Times New Roman;sans-serif"/>
          <w:b w:val="false"/>
          <w:color w:val="000000"/>
          <w:sz w:val="22"/>
        </w:rPr>
        <w:t>shall mean the lender presentation dated October 21, 2020 and presented to the Lenders in connection with the syndication of the Loans under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Lender-Related Distress Event</w:t>
      </w:r>
      <w:r>
        <w:rPr>
          <w:color w:val="000000"/>
        </w:rPr>
        <w:t xml:space="preserve">” </w:t>
      </w:r>
      <w:r>
        <w:rPr>
          <w:rFonts w:ascii="Times New Roman;sans-serif" w:hAnsi="Times New Roman;sans-serif"/>
          <w:b w:val="false"/>
          <w:color w:val="000000"/>
          <w:sz w:val="22"/>
        </w:rPr>
        <w:t>shall mean, with respect to any Lender or any other Person that directly or indirectly controls such Lender (each, a “</w:t>
      </w:r>
      <w:r>
        <w:rPr>
          <w:rFonts w:ascii="Times New Roman;sans-serif" w:hAnsi="Times New Roman;sans-serif"/>
          <w:b/>
          <w:color w:val="000000"/>
          <w:sz w:val="22"/>
        </w:rPr>
        <w:t>Distressed Person</w:t>
      </w:r>
      <w:r>
        <w:rPr>
          <w:color w:val="000000"/>
        </w:rPr>
        <w:t>”</w:t>
      </w:r>
      <w:r>
        <w:rPr>
          <w:rFonts w:ascii="Times New Roman;sans-serif" w:hAnsi="Times New Roman;sans-serif"/>
          <w:b w:val="false"/>
          <w:color w:val="000000"/>
          <w:sz w:val="22"/>
        </w:rPr>
        <w:t xml:space="preserve">), other than via an Undisclosed Administration,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pStyle w:val="TextBody"/>
        <w:bidi w:val="0"/>
        <w:spacing w:lineRule="auto" w:line="240" w:before="0" w:after="240"/>
        <w:ind w:left="0" w:right="0" w:firstLine="720"/>
        <w:jc w:val="both"/>
        <w:rPr>
          <w:strike/>
          <w:color w:val="FF0000"/>
        </w:rPr>
      </w:pPr>
      <w:r>
        <w:rPr>
          <w:strike/>
          <w:color w:val="FF0000"/>
        </w:rPr>
        <w:t>“</w:t>
      </w:r>
      <w:r>
        <w:rPr>
          <w:rFonts w:ascii="Times New Roman;sans-serif" w:hAnsi="Times New Roman;sans-serif"/>
          <w:b/>
          <w:strike/>
          <w:color w:val="FF0000"/>
          <w:sz w:val="22"/>
        </w:rPr>
        <w:t>LIBOR” shall have the meaning provided in the definition of LIBOR Rate.</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2"/>
        </w:rPr>
        <w:t xml:space="preserve">LIBOR </w:t>
      </w:r>
      <w:r>
        <w:rPr>
          <w:rFonts w:ascii="Times New Roman;sans-serif" w:hAnsi="Times New Roman;sans-serif"/>
          <w:b/>
          <w:i/>
          <w:strike/>
          <w:color w:val="008000"/>
          <w:sz w:val="22"/>
        </w:rPr>
        <w:t>Loan</w:t>
      </w:r>
      <w:r>
        <w:rPr>
          <w:strike/>
          <w:color w:val="008000"/>
        </w:rPr>
        <w:t xml:space="preserve">” </w:t>
      </w:r>
      <w:r>
        <w:rPr>
          <w:rFonts w:ascii="Times New Roman;sans-serif" w:hAnsi="Times New Roman;sans-serif"/>
          <w:b w:val="false"/>
          <w:i/>
          <w:strike/>
          <w:color w:val="008000"/>
          <w:sz w:val="22"/>
        </w:rPr>
        <w:t xml:space="preserve">shall mean any Loan bearing interest at a rate determined by reference to </w:t>
      </w:r>
      <w:r>
        <w:rPr>
          <w:rFonts w:ascii="Times New Roman;sans-serif" w:hAnsi="Times New Roman;sans-serif"/>
          <w:b/>
          <w:strike/>
          <w:color w:val="FF0000"/>
          <w:sz w:val="22"/>
        </w:rPr>
        <w:t>the Adjusted LIBOR Rate.</w:t>
      </w:r>
    </w:p>
    <w:p>
      <w:pPr>
        <w:pStyle w:val="TextBody"/>
        <w:bidi w:val="0"/>
        <w:spacing w:lineRule="auto" w:line="240" w:before="0" w:after="240"/>
        <w:ind w:left="0" w:right="0" w:firstLine="720"/>
        <w:jc w:val="both"/>
        <w:rPr>
          <w:strike/>
          <w:color w:val="FF0000"/>
        </w:rPr>
      </w:pPr>
      <w:r>
        <w:rPr>
          <w:strike/>
          <w:color w:val="FF0000"/>
        </w:rPr>
        <w:t>“</w:t>
      </w:r>
      <w:r>
        <w:rPr>
          <w:rFonts w:ascii="Times New Roman;sans-serif" w:hAnsi="Times New Roman;sans-serif"/>
          <w:b/>
          <w:strike/>
          <w:color w:val="FF0000"/>
          <w:sz w:val="22"/>
        </w:rPr>
        <w:t xml:space="preserve">LIBOR Rate” shall mean, </w:t>
      </w:r>
    </w:p>
    <w:p>
      <w:pPr>
        <w:pStyle w:val="TextBody"/>
        <w:bidi w:val="0"/>
        <w:spacing w:lineRule="auto" w:line="240" w:before="0" w:after="240"/>
        <w:jc w:val="both"/>
        <w:rPr/>
      </w:pPr>
      <w:r>
        <w:rPr>
          <w:color w:val="000000"/>
        </w:rPr>
        <w:t>    </w:t>
      </w:r>
      <w:r>
        <w:rPr>
          <w:rFonts w:ascii="Times New Roman;sans-serif" w:hAnsi="Times New Roman;sans-serif"/>
          <w:b/>
          <w:strike/>
          <w:color w:val="FF0000"/>
          <w:sz w:val="22"/>
        </w:rPr>
        <w:t>(i)</w:t>
      </w:r>
      <w:r>
        <w:rPr>
          <w:color w:val="000000"/>
        </w:rPr>
        <w:t>    </w:t>
      </w:r>
      <w:r>
        <w:rPr>
          <w:rFonts w:ascii="Times New Roman;sans-serif" w:hAnsi="Times New Roman;sans-serif"/>
          <w:b/>
          <w:strike/>
          <w:color w:val="FF0000"/>
          <w:sz w:val="22"/>
        </w:rPr>
        <w:t>for any Interest Period with respect to a LIBOR Loan, the rate per annum equal to the offered rate administered by ICE Benchmark Administration (“LIBOR”) or successor rate, which rate is approved by the Administrative Agent, on the applicable Reuters screen page (or such other commercially available source providing such quotations of LIBOR as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pStyle w:val="TextBody"/>
        <w:bidi w:val="0"/>
        <w:spacing w:lineRule="auto" w:line="240" w:before="0" w:after="240"/>
        <w:jc w:val="both"/>
        <w:rPr/>
      </w:pPr>
      <w:r>
        <w:rPr>
          <w:color w:val="000000"/>
        </w:rPr>
        <w:t>    </w:t>
      </w:r>
      <w:r>
        <w:rPr>
          <w:rFonts w:ascii="Times New Roman;sans-serif" w:hAnsi="Times New Roman;sans-serif"/>
          <w:b/>
          <w:strike/>
          <w:color w:val="FF0000"/>
          <w:sz w:val="22"/>
        </w:rPr>
        <w:t>(ii)</w:t>
      </w:r>
      <w:r>
        <w:rPr>
          <w:color w:val="000000"/>
        </w:rPr>
        <w:t>    </w:t>
      </w:r>
      <w:r>
        <w:rPr>
          <w:rFonts w:ascii="Times New Roman;sans-serif" w:hAnsi="Times New Roman;sans-serif"/>
          <w:b/>
          <w:strike/>
          <w:color w:val="FF0000"/>
          <w:sz w:val="22"/>
        </w:rPr>
        <w:t xml:space="preserve">for any interest calculation with respect to an ABR Loan on any date, the rate per annum equal to LIBOR, at or about 11:00 a.m., London time, determined on such date for Dollar deposits with a term of one month commencing that day; </w:t>
      </w:r>
      <w:r>
        <w:rPr>
          <w:rFonts w:ascii="Times New Roman;sans-serif" w:hAnsi="Times New Roman;sans-serif"/>
          <w:b/>
          <w:strike/>
          <w:color w:val="FF0000"/>
          <w:sz w:val="22"/>
          <w:u w:val="single"/>
        </w:rPr>
        <w:t>provided</w:t>
      </w:r>
      <w:r>
        <w:rPr>
          <w:strike/>
          <w:color w:val="FF0000"/>
        </w:rPr>
        <w:t xml:space="preserve"> </w:t>
      </w:r>
      <w:r>
        <w:rPr>
          <w:rFonts w:ascii="Times New Roman;sans-serif" w:hAnsi="Times New Roman;sans-serif"/>
          <w:b/>
          <w:strike/>
          <w:color w:val="FF0000"/>
          <w:sz w:val="22"/>
          <w:u w:val="single"/>
        </w:rPr>
        <w:t>that</w:t>
      </w:r>
      <w:r>
        <w:rPr>
          <w:strike/>
          <w:color w:val="FF0000"/>
        </w:rPr>
        <w:t xml:space="preserve"> </w:t>
      </w:r>
      <w:r>
        <w:rPr>
          <w:rFonts w:ascii="Times New Roman;sans-serif" w:hAnsi="Times New Roman;sans-serif"/>
          <w:b/>
          <w:strike/>
          <w:color w:val="FF0000"/>
          <w:sz w:val="22"/>
        </w:rPr>
        <w:t xml:space="preserve">to the extent a comparable or successor rate is approved by the Administrative Agent in connection herewith, the approved rate shall be applied in a manner consistent with market practice; </w:t>
      </w:r>
      <w:r>
        <w:rPr>
          <w:rFonts w:ascii="Times New Roman;sans-serif" w:hAnsi="Times New Roman;sans-serif"/>
          <w:b/>
          <w:strike/>
          <w:color w:val="FF0000"/>
          <w:sz w:val="22"/>
          <w:u w:val="single"/>
        </w:rPr>
        <w:t>provided</w:t>
      </w:r>
      <w:r>
        <w:rPr>
          <w:rFonts w:ascii="Times New Roman;sans-serif" w:hAnsi="Times New Roman;sans-serif"/>
          <w:b/>
          <w:strike/>
          <w:color w:val="FF0000"/>
          <w:sz w:val="22"/>
        </w:rPr>
        <w:t xml:space="preserve">, </w:t>
      </w:r>
      <w:r>
        <w:rPr>
          <w:rFonts w:ascii="Times New Roman;sans-serif" w:hAnsi="Times New Roman;sans-serif"/>
          <w:b/>
          <w:strike/>
          <w:color w:val="FF0000"/>
          <w:sz w:val="22"/>
          <w:u w:val="single"/>
        </w:rPr>
        <w:t>further</w:t>
      </w:r>
      <w:r>
        <w:rPr>
          <w:rFonts w:ascii="Times New Roman;sans-serif" w:hAnsi="Times New Roman;sans-serif"/>
          <w:b/>
          <w:strike/>
          <w:color w:val="FF0000"/>
          <w:sz w:val="22"/>
        </w:rPr>
        <w:t>, that to the extent such market practice is not administratively feasible for the Administrative Agent, such approved rate shall be applied in a manner as otherwise reasonably determined by the Administrative Agent in consultation with the Borrower.</w:t>
      </w:r>
    </w:p>
    <w:p>
      <w:pPr>
        <w:pStyle w:val="TextBody"/>
        <w:bidi w:val="0"/>
        <w:spacing w:lineRule="auto" w:line="240" w:before="0" w:after="240"/>
        <w:ind w:left="0" w:right="0" w:firstLine="720"/>
        <w:jc w:val="both"/>
        <w:rPr>
          <w:strike/>
          <w:color w:val="FF0000"/>
        </w:rPr>
      </w:pPr>
      <w:r>
        <w:rPr>
          <w:strike/>
          <w:color w:val="FF0000"/>
        </w:rPr>
        <w:t>“</w:t>
      </w:r>
      <w:r>
        <w:rPr>
          <w:rFonts w:ascii="Times New Roman;sans-serif" w:hAnsi="Times New Roman;sans-serif"/>
          <w:b/>
          <w:strike/>
          <w:color w:val="FF0000"/>
          <w:sz w:val="22"/>
        </w:rPr>
        <w:t>LIBOR Screen Rate” means the LIBOR quote on the applicable screen page the Administrative Agent designates to determine LIBOR (or such other commercially available source providing such quotations as may be designated by the Administrative Agent from time to time).</w:t>
      </w:r>
    </w:p>
    <w:p>
      <w:pPr>
        <w:pStyle w:val="TextBody"/>
        <w:bidi w:val="0"/>
        <w:spacing w:lineRule="auto" w:line="240" w:before="0" w:after="240"/>
        <w:ind w:left="0" w:right="0" w:firstLine="720"/>
        <w:jc w:val="both"/>
        <w:rPr>
          <w:strike/>
          <w:color w:val="FF0000"/>
        </w:rPr>
      </w:pPr>
      <w:r>
        <w:rPr>
          <w:strike/>
          <w:color w:val="FF0000"/>
        </w:rPr>
        <w:t>“</w:t>
      </w:r>
      <w:r>
        <w:rPr>
          <w:rFonts w:ascii="Times New Roman;sans-serif" w:hAnsi="Times New Roman;sans-serif"/>
          <w:b/>
          <w:strike/>
          <w:color w:val="FF0000"/>
          <w:sz w:val="22"/>
        </w:rPr>
        <w:t xml:space="preserve">LIBOR Successor Rate Conforming Changes” means, with respect to any proposed LIBOR Successor Rate, any conforming changes to the definition of ABR,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strike/>
          <w:color w:val="FF0000"/>
          <w:sz w:val="22"/>
        </w:rPr>
      </w:pPr>
      <w:r>
        <w:rPr>
          <w:rFonts w:ascii="Times New Roman;sans-serif" w:hAnsi="Times New Roman;sans-serif"/>
          <w:b/>
          <w:strike/>
          <w:color w:val="FF0000"/>
          <w:sz w:val="22"/>
        </w:rPr>
        <w:t>Successor Rate exists, in such other manner of administration as the Administrative Agent determines in consultation with the Borrower).</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2"/>
        </w:rPr>
        <w:t xml:space="preserve">LIBOR Successor Rate” shall have the meaning provided in </w:t>
      </w:r>
      <w:r>
        <w:rPr>
          <w:rFonts w:ascii="Times New Roman;sans-serif" w:hAnsi="Times New Roman;sans-serif"/>
          <w:b/>
          <w:strike/>
          <w:color w:val="FF0000"/>
          <w:sz w:val="22"/>
          <w:u w:val="single"/>
        </w:rPr>
        <w:t>Section 3.1(c)</w:t>
      </w:r>
      <w:r>
        <w:rPr>
          <w:rFonts w:ascii="Times New Roman;sans-serif" w:hAnsi="Times New Roman;sans-serif"/>
          <w:b/>
          <w:strike/>
          <w:color w:val="FF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Lien</w:t>
      </w:r>
      <w:r>
        <w:rPr>
          <w:color w:val="000000"/>
        </w:rPr>
        <w:t xml:space="preserve">” </w:t>
      </w:r>
      <w:r>
        <w:rPr>
          <w:rFonts w:ascii="Times New Roman;sans-serif" w:hAnsi="Times New Roman;sans-serif"/>
          <w:b w:val="false"/>
          <w:color w:val="000000"/>
          <w:sz w:val="22"/>
        </w:rPr>
        <w:t xml:space="preserve">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in no event shall an operating lease or a license, sub-license or cross-license to Intellectual Property be deemed to constitute a Lien.</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Limited Condition Transaction</w:t>
      </w:r>
      <w:r>
        <w:rPr>
          <w:color w:val="000000"/>
          <w:shd w:fill="FFFFFF" w:val="clear"/>
        </w:rPr>
        <w:t xml:space="preserve">” </w:t>
      </w:r>
      <w:r>
        <w:rPr>
          <w:rFonts w:ascii="Times New Roman;sans-serif" w:hAnsi="Times New Roman;sans-serif"/>
          <w:b w:val="false"/>
          <w:color w:val="000000"/>
          <w:sz w:val="22"/>
          <w:shd w:fill="FFFFFF" w:val="clear"/>
        </w:rPr>
        <w:t>shall mean any transaction by one or more of Holdings, the Borrower and the Restricted Subsidiaries whose consummation is not conditioned on the availability of, or on obtaining, third party financing.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Loan</w:t>
      </w:r>
      <w:r>
        <w:rPr>
          <w:color w:val="000000"/>
        </w:rPr>
        <w:t xml:space="preserve">” </w:t>
      </w:r>
      <w:r>
        <w:rPr>
          <w:rFonts w:ascii="Times New Roman;sans-serif" w:hAnsi="Times New Roman;sans-serif"/>
          <w:b w:val="false"/>
          <w:color w:val="000000"/>
          <w:sz w:val="22"/>
        </w:rPr>
        <w:t>shall mean any Term Loan or any other loan made by any Lender pursuant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Master Agreement</w:t>
      </w:r>
      <w:r>
        <w:rPr>
          <w:color w:val="000000"/>
        </w:rPr>
        <w:t xml:space="preserve">” </w:t>
      </w:r>
      <w:r>
        <w:rPr>
          <w:rFonts w:ascii="Times New Roman;sans-serif" w:hAnsi="Times New Roman;sans-serif"/>
          <w:b w:val="false"/>
          <w:color w:val="000000"/>
          <w:sz w:val="22"/>
        </w:rPr>
        <w:t xml:space="preserve">shall have the meaning provided in the definition of the term “Hedge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Material Adverse Effect</w:t>
      </w:r>
      <w:r>
        <w:rPr>
          <w:color w:val="000000"/>
        </w:rPr>
        <w:t xml:space="preserve">” </w:t>
      </w:r>
      <w:r>
        <w:rPr>
          <w:rFonts w:ascii="Times New Roman;sans-serif" w:hAnsi="Times New Roman;sans-serif"/>
          <w:b w:val="false"/>
          <w:color w:val="000000"/>
          <w:sz w:val="22"/>
        </w:rPr>
        <w:t>shall mean a circumstance or condition affecting the business, assets, operations, properties, or financial condition of the Borrower and its Subsidiaries, taken as a whole, that would, individually or in the aggregate, materially adversely affect (i) the ability of the Borrower and the other Credit Parties, taken as a whole, to perform their payment obligations under this Agreement or any of the other Credit Documents or (ii) the rights and remedies of the Administrative Agent and the Lenders under the Credit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Material Subsidiary</w:t>
      </w:r>
      <w:r>
        <w:rPr>
          <w:color w:val="000000"/>
        </w:rPr>
        <w:t xml:space="preserve">” </w:t>
      </w:r>
      <w:r>
        <w:rPr>
          <w:rFonts w:ascii="Times New Roman;sans-serif" w:hAnsi="Times New Roman;sans-serif"/>
          <w:b w:val="false"/>
          <w:color w:val="000000"/>
          <w:sz w:val="22"/>
        </w:rPr>
        <w:t xml:space="preserve">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the Borrower and the Restricted Subsidiaries at such date or (ii) whose revenues during such Test Period were equal to or greater than 5.0% of the consolidated revenues of the Borrower and the Restricted Subsidiaries for such period, in each case determined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if, at any time and from time to time after the Restatement Effective Date, Restricted Subsidiaries that are not Material Subsidiaries (other than Subsidiaries that are Excluded Subsidiaries by virtue of any of </w:t>
      </w:r>
      <w:r>
        <w:rPr>
          <w:rFonts w:ascii="Times New Roman;sans-serif" w:hAnsi="Times New Roman;sans-serif"/>
          <w:b w:val="false"/>
          <w:color w:val="000000"/>
          <w:sz w:val="22"/>
          <w:u w:val="single"/>
        </w:rPr>
        <w:t>clauses (ii)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(xiii)</w:t>
      </w:r>
      <w:r>
        <w:rPr>
          <w:color w:val="000000"/>
        </w:rPr>
        <w:t xml:space="preserve"> </w:t>
      </w:r>
      <w:r>
        <w:rPr>
          <w:rFonts w:ascii="Times New Roman;sans-serif" w:hAnsi="Times New Roman;sans-serif"/>
          <w:b w:val="false"/>
          <w:color w:val="000000"/>
          <w:sz w:val="22"/>
        </w:rPr>
        <w:t xml:space="preserve">of the definition of “Excluded Subsidiary”) have, in the aggregate, (a) total assets at the last day of such Test Period equal to or greater than 10.0% of the Consolidated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 </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Maturity Carveout Amount</w:t>
      </w:r>
      <w:r>
        <w:rPr>
          <w:color w:val="000000"/>
          <w:shd w:fill="FFFFFF" w:val="clear"/>
        </w:rPr>
        <w:t xml:space="preserve">” </w:t>
      </w:r>
      <w:r>
        <w:rPr>
          <w:rFonts w:ascii="Times New Roman;sans-serif" w:hAnsi="Times New Roman;sans-serif"/>
          <w:b w:val="false"/>
          <w:color w:val="000000"/>
          <w:sz w:val="22"/>
          <w:shd w:fill="FFFFFF" w:val="clear"/>
        </w:rPr>
        <w:t xml:space="preserve">shall have the meaning provided in </w:t>
      </w:r>
      <w:r>
        <w:rPr>
          <w:rFonts w:ascii="Times New Roman;sans-serif" w:hAnsi="Times New Roman;sans-serif"/>
          <w:b w:val="false"/>
          <w:color w:val="000000"/>
          <w:sz w:val="22"/>
          <w:u w:val="single"/>
          <w:shd w:fill="FFFFFF" w:val="clear"/>
        </w:rPr>
        <w:t>Section 2.14(d)</w:t>
      </w:r>
      <w:r>
        <w:rPr>
          <w:rFonts w:ascii="Times New Roman;sans-serif" w:hAnsi="Times New Roman;sans-serif"/>
          <w:b w:val="false"/>
          <w:color w:val="000000"/>
          <w:sz w:val="22"/>
          <w:shd w:fill="FFFFFF" w:val="clear"/>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Maturity Date</w:t>
      </w:r>
      <w:r>
        <w:rPr>
          <w:color w:val="000000"/>
        </w:rPr>
        <w:t xml:space="preserve">” </w:t>
      </w:r>
      <w:r>
        <w:rPr>
          <w:rFonts w:ascii="Times New Roman;sans-serif" w:hAnsi="Times New Roman;sans-serif"/>
          <w:b w:val="false"/>
          <w:color w:val="000000"/>
          <w:sz w:val="22"/>
        </w:rPr>
        <w:t>shall mean the Initial Term Loan Maturity Date, the New Term Loan Maturity Date or the maturity date of an Extended Term Loan,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Maximum Incremental Facilities Amount</w:t>
      </w:r>
      <w:r>
        <w:rPr>
          <w:color w:val="000000"/>
        </w:rPr>
        <w:t xml:space="preserve">” </w:t>
      </w:r>
      <w:r>
        <w:rPr>
          <w:rFonts w:ascii="Times New Roman;sans-serif" w:hAnsi="Times New Roman;sans-serif"/>
          <w:b w:val="false"/>
          <w:color w:val="000000"/>
          <w:sz w:val="22"/>
        </w:rPr>
        <w:t xml:space="preserve">shall mean, at any date of determination, the sum of (i) (x) the greater of (A) $480,000,000 and (B) 100% of Consolidated EBITDA for the most recently ended Test Period (calculated on a Pro Forma Basis)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(ii) the aggregate amount of voluntary prepayments of the Term Loans (including purchases of Initial Term Loans by the Borrower and its Subsidiaries at or below par, in which case the amount of voluntary prepayments of such Term Loans shall be deemed to equal the face amount of such Term Loans so purchased) and Permitted Other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Indebtedness that is secured on a pari passu basis with the Term Loans, in each case, other than from proceeds of the Incurrence of long-term Indebtedness,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(iii) an amount equal to the aggregate outstanding principal amount of Indebtedness that is secured on a pari passu basis with the Term Loans that is substantially simultaneously refinanced with New Term Loans incurred pursuant to this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(iv)  an amount such that, after giving effect to the Incurrence of such amount the Borrower would be (a) in compliance on a Pro Forma Basis (including any adjustments required by such definition as a result of a contemplated Permitted Acquisition or Permitted Investment, but excluding any concurrent incurrence of Indebtedness pursuant to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above or the ABL Facility and without netting the cash proceeds of any New Term Loans), with the First Lien Secured Leverage Test (assuming that all Indebtedness Incurred pursuant to </w:t>
      </w:r>
      <w:r>
        <w:rPr>
          <w:rFonts w:ascii="Times New Roman;sans-serif" w:hAnsi="Times New Roman;sans-serif"/>
          <w:b w:val="false"/>
          <w:color w:val="000000"/>
          <w:sz w:val="22"/>
          <w:u w:val="single"/>
        </w:rPr>
        <w:t>Section 2.14(a)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10.1(x)</w:t>
      </w:r>
      <w:r>
        <w:rPr>
          <w:color w:val="000000"/>
        </w:rPr>
        <w:t xml:space="preserve"> </w:t>
      </w:r>
      <w:r>
        <w:rPr>
          <w:rFonts w:ascii="Times New Roman;sans-serif" w:hAnsi="Times New Roman;sans-serif"/>
          <w:b w:val="false"/>
          <w:color w:val="000000"/>
          <w:sz w:val="22"/>
        </w:rPr>
        <w:t xml:space="preserve">on such date of determination would be included in the definition of Consolidated First Lien Secured Debt, whether or not such Indebtedness would otherwise be so included)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 xml:space="preserve">(v) the sum of (a) the aggregate principal amount of New Term Loan Commitments incurred pursuant to </w:t>
      </w:r>
      <w:r>
        <w:rPr>
          <w:rFonts w:ascii="Times New Roman;sans-serif" w:hAnsi="Times New Roman;sans-serif"/>
          <w:b w:val="false"/>
          <w:color w:val="000000"/>
          <w:sz w:val="22"/>
          <w:u w:val="single"/>
        </w:rPr>
        <w:t>Section 2.14(a)</w:t>
      </w:r>
      <w:r>
        <w:rPr>
          <w:color w:val="000000"/>
        </w:rPr>
        <w:t xml:space="preserve"> </w:t>
      </w:r>
      <w:r>
        <w:rPr>
          <w:rFonts w:ascii="Times New Roman;sans-serif" w:hAnsi="Times New Roman;sans-serif"/>
          <w:b w:val="false"/>
          <w:color w:val="000000"/>
          <w:sz w:val="22"/>
        </w:rPr>
        <w:t xml:space="preserve">in reliance on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of this definition prior to such date and (b) the aggregate principal amount of Permitted Other Indebtedness issued or incurred (including any unused commitments obtained) pursuant to </w:t>
      </w:r>
      <w:r>
        <w:rPr>
          <w:rFonts w:ascii="Times New Roman;sans-serif" w:hAnsi="Times New Roman;sans-serif"/>
          <w:b w:val="false"/>
          <w:color w:val="000000"/>
          <w:sz w:val="22"/>
          <w:u w:val="single"/>
        </w:rPr>
        <w:t>Section 10.1(x)(i)(a)</w:t>
      </w:r>
      <w:r>
        <w:rPr>
          <w:color w:val="000000"/>
        </w:rPr>
        <w:t xml:space="preserve"> </w:t>
      </w:r>
      <w:r>
        <w:rPr>
          <w:rFonts w:ascii="Times New Roman;sans-serif" w:hAnsi="Times New Roman;sans-serif"/>
          <w:b w:val="false"/>
          <w:color w:val="000000"/>
          <w:sz w:val="22"/>
        </w:rPr>
        <w:t xml:space="preserve">in reliance on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of this definition prior to such date.</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MFN Protection</w:t>
      </w:r>
      <w:r>
        <w:rPr>
          <w:color w:val="000000"/>
          <w:shd w:fill="FFFFFF" w:val="clear"/>
        </w:rPr>
        <w:t xml:space="preserve">” </w:t>
      </w:r>
      <w:r>
        <w:rPr>
          <w:rFonts w:ascii="Times New Roman;sans-serif" w:hAnsi="Times New Roman;sans-serif"/>
          <w:b w:val="false"/>
          <w:color w:val="000000"/>
          <w:sz w:val="22"/>
          <w:shd w:fill="FFFFFF" w:val="clear"/>
        </w:rPr>
        <w:t xml:space="preserve">shall have the meaning set forth in the proviso to </w:t>
      </w:r>
      <w:r>
        <w:rPr>
          <w:rFonts w:ascii="Times New Roman;sans-serif" w:hAnsi="Times New Roman;sans-serif"/>
          <w:b w:val="false"/>
          <w:color w:val="000000"/>
          <w:sz w:val="22"/>
          <w:u w:val="single"/>
          <w:shd w:fill="FFFFFF" w:val="clear"/>
        </w:rPr>
        <w:t>Section 2.14(d)(iii)</w:t>
      </w:r>
      <w:r>
        <w:rPr>
          <w:rFonts w:ascii="Times New Roman;sans-serif" w:hAnsi="Times New Roman;sans-serif"/>
          <w:b w:val="false"/>
          <w:color w:val="000000"/>
          <w:sz w:val="22"/>
          <w:shd w:fill="FFFFFF" w:val="clear"/>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Minimum Borrowing Amount</w:t>
      </w:r>
      <w:r>
        <w:rPr>
          <w:color w:val="000000"/>
        </w:rPr>
        <w:t xml:space="preserve">” </w:t>
      </w:r>
      <w:r>
        <w:rPr>
          <w:rFonts w:ascii="Times New Roman;sans-serif" w:hAnsi="Times New Roman;sans-serif"/>
          <w:b w:val="false"/>
          <w:color w:val="000000"/>
          <w:sz w:val="22"/>
        </w:rPr>
        <w:t xml:space="preserve">shall mean (i) with respect to a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$5,000,000 and (ii) with respect to a Borrowing of ABR Loans, $1,000,000.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Minimum Tender Condition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2.15(b)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Moody’s</w:t>
      </w:r>
      <w:r>
        <w:rPr>
          <w:color w:val="000000"/>
        </w:rPr>
        <w:t xml:space="preserve">” </w:t>
      </w:r>
      <w:r>
        <w:rPr>
          <w:rFonts w:ascii="Times New Roman;sans-serif" w:hAnsi="Times New Roman;sans-serif"/>
          <w:b w:val="false"/>
          <w:color w:val="000000"/>
          <w:sz w:val="22"/>
        </w:rPr>
        <w:t>shall mean Moody’s Investors Service, Inc. or any successor by merger or consolidation to its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Mortgage</w:t>
      </w:r>
      <w:r>
        <w:rPr>
          <w:color w:val="000000"/>
        </w:rPr>
        <w:t xml:space="preserve">” </w:t>
      </w:r>
      <w:r>
        <w:rPr>
          <w:rFonts w:ascii="Times New Roman;sans-serif" w:hAnsi="Times New Roman;sans-serif"/>
          <w:b w:val="false"/>
          <w:color w:val="000000"/>
          <w:sz w:val="22"/>
        </w:rPr>
        <w:t>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 as the same may be amended, restated, amended and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Mortgaged Property</w:t>
      </w:r>
      <w:r>
        <w:rPr>
          <w:color w:val="000000"/>
        </w:rPr>
        <w:t xml:space="preserve">” </w:t>
      </w:r>
      <w:r>
        <w:rPr>
          <w:rFonts w:ascii="Times New Roman;sans-serif" w:hAnsi="Times New Roman;sans-serif"/>
          <w:b w:val="false"/>
          <w:color w:val="000000"/>
          <w:sz w:val="22"/>
        </w:rPr>
        <w:t xml:space="preserve">shall mean, initially, each parcel of real estate and the improvements thereto owned in fee by a Credit Party and identified on </w:t>
      </w:r>
      <w:r>
        <w:rPr>
          <w:rFonts w:ascii="Times New Roman;sans-serif" w:hAnsi="Times New Roman;sans-serif"/>
          <w:b w:val="false"/>
          <w:color w:val="000000"/>
          <w:sz w:val="22"/>
          <w:u w:val="single"/>
        </w:rPr>
        <w:t>Schedule 1.1(a)</w:t>
      </w:r>
      <w:r>
        <w:rPr>
          <w:rFonts w:ascii="Times New Roman;sans-serif" w:hAnsi="Times New Roman;sans-serif"/>
          <w:b w:val="false"/>
          <w:color w:val="000000"/>
          <w:sz w:val="22"/>
        </w:rPr>
        <w:t xml:space="preserve">, and each other parcel of owned real property and improvements thereto with respect to which a Mortgage is granted pursuant to </w:t>
      </w:r>
      <w:r>
        <w:rPr>
          <w:rFonts w:ascii="Times New Roman;sans-serif" w:hAnsi="Times New Roman;sans-serif"/>
          <w:b w:val="false"/>
          <w:color w:val="000000"/>
          <w:sz w:val="22"/>
          <w:u w:val="single"/>
        </w:rPr>
        <w:t>Section 9.14</w:t>
      </w:r>
      <w:r>
        <w:rPr>
          <w:rFonts w:ascii="Times New Roman;sans-serif" w:hAnsi="Times New Roman;sans-serif"/>
          <w:b w:val="false"/>
          <w:color w:val="000000"/>
          <w:sz w:val="22"/>
        </w:rPr>
        <w:t>. For the avoidance of doubt, Mortgaged Property shall not include any owned real property located in a special flood hazard area.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Multiemployer Plan</w:t>
      </w:r>
      <w:r>
        <w:rPr>
          <w:color w:val="000000"/>
        </w:rPr>
        <w:t xml:space="preserve">” </w:t>
      </w:r>
      <w:r>
        <w:rPr>
          <w:rFonts w:ascii="Times New Roman;sans-serif" w:hAnsi="Times New Roman;sans-serif"/>
          <w:b w:val="false"/>
          <w:color w:val="000000"/>
          <w:sz w:val="22"/>
        </w:rPr>
        <w:t>shall mean a “multiemployer plan” as defined in Section 4001(a)(3) of ERISA to which any Credit Party or ERISA Affiliate makes or is obligated to make contributions, or during the five preceding calendar years, has made or been obligated to make contributions.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Net Cash Proceeds</w:t>
      </w:r>
      <w:r>
        <w:rPr>
          <w:color w:val="000000"/>
        </w:rPr>
        <w:t xml:space="preserve">” </w:t>
      </w:r>
      <w:r>
        <w:rPr>
          <w:rFonts w:ascii="Times New Roman;sans-serif" w:hAnsi="Times New Roman;sans-serif"/>
          <w:b w:val="false"/>
          <w:color w:val="000000"/>
          <w:sz w:val="22"/>
        </w:rPr>
        <w:t xml:space="preserve">shall mean, with respect to any Prepayment Event and any incurrence of Permitted Other Indebtedness, (i) the gross cash proceeds (including payments from time to time in respect of installment obligations, if applicable, but only as and when received) received by or on behalf of the Borrower or any of its Restricted Subsidiaries in respect of such Prepayment Event or incurrence of Permitted Other Indebtedness, as the case may be, less (ii) the sum of: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the amount, if any, of all taxes (without duplication with the netting of such taxes envisioned in </w:t>
      </w:r>
      <w:r>
        <w:rPr>
          <w:rFonts w:ascii="Times New Roman;sans-serif" w:hAnsi="Times New Roman;sans-serif"/>
          <w:b w:val="false"/>
          <w:color w:val="000000"/>
          <w:sz w:val="22"/>
          <w:u w:val="single"/>
        </w:rPr>
        <w:t>Section 5.2(a)(iv)</w:t>
      </w:r>
      <w:r>
        <w:rPr>
          <w:rFonts w:ascii="Times New Roman;sans-serif" w:hAnsi="Times New Roman;sans-serif"/>
          <w:b w:val="false"/>
          <w:color w:val="000000"/>
          <w:sz w:val="22"/>
        </w:rPr>
        <w:t>, including in connection with any repatriation of funds) paid or estimated to be payable by the Borrower or any of its Restricted Subsidiaries in connection with such Prepayment Event or incurrence of Permitted Other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the amount of any reasonable reserve established in accordance with GAAP against any liabilities (other than any taxes deducted pursuant to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(1) associated with the assets that are the subject of such Prepayment Event and (2) retained by the Borrower or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any of the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amount of any subsequent reduction of such reserve (other than in connection with a payment in respect of any such liability) shall be deemed to be Net Cash Proceeds of such a Prepayment Event occurring on the date of such reduction,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(d)    in the case of any Asset Sale Prepayment Event or Casualty Event or Permitted Sale Leaseback, the amount of any proceeds of such Prepayment Event that the Borrower or any Restricted Subsidiary has reinvested (or intends to reinvest within the Reinvestment Period or has entered into a binding commitment prior to the last day of the Reinvestment Period to reinvest) in the business of the Borrower or any of the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any portion of such proceeds that has not been so reinvested within such Reinvestment Period (with respect to such Prepayment Event, the “</w:t>
      </w:r>
      <w:r>
        <w:rPr>
          <w:rFonts w:ascii="Times New Roman;sans-serif" w:hAnsi="Times New Roman;sans-serif"/>
          <w:b/>
          <w:color w:val="000000"/>
          <w:sz w:val="22"/>
        </w:rPr>
        <w:t>Deferred Net Cash Proceeds</w:t>
      </w:r>
      <w:r>
        <w:rPr>
          <w:color w:val="000000"/>
        </w:rPr>
        <w:t>”</w:t>
      </w:r>
      <w:r>
        <w:rPr>
          <w:rFonts w:ascii="Times New Roman;sans-serif" w:hAnsi="Times New Roman;sans-serif"/>
          <w:b w:val="false"/>
          <w:color w:val="000000"/>
          <w:sz w:val="22"/>
        </w:rPr>
        <w:t>) shall, unless the Borrower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the Borrower or such Restricted Subsidiary has entered into such binding commitment, as applicable (such last day or 180th day, as applicable, the “</w:t>
      </w:r>
      <w:r>
        <w:rPr>
          <w:rFonts w:ascii="Times New Roman;sans-serif" w:hAnsi="Times New Roman;sans-serif"/>
          <w:b/>
          <w:color w:val="000000"/>
          <w:sz w:val="22"/>
        </w:rPr>
        <w:t>Deferred Net Cash Proceeds Payment Date</w:t>
      </w:r>
      <w:r>
        <w:rPr>
          <w:color w:val="000000"/>
        </w:rPr>
        <w:t>”</w:t>
      </w:r>
      <w:r>
        <w:rPr>
          <w:rFonts w:ascii="Times New Roman;sans-serif" w:hAnsi="Times New Roman;sans-serif"/>
          <w:b w:val="false"/>
          <w:color w:val="000000"/>
          <w:sz w:val="22"/>
        </w:rPr>
        <w:t xml:space="preserve">), and (2) be applied to the repayment of Term Loans in accordance with </w:t>
      </w:r>
      <w:r>
        <w:rPr>
          <w:rFonts w:ascii="Times New Roman;sans-serif" w:hAnsi="Times New Roman;sans-serif"/>
          <w:b w:val="false"/>
          <w:color w:val="000000"/>
          <w:sz w:val="22"/>
          <w:u w:val="single"/>
        </w:rPr>
        <w:t>Section 5.2(a)(i)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    in the case of any Asset Sale Prepayment Event, Casualty Event, or Permitted Sale Leaseback by a non-Wholly-Owned Restricted Subsidiary, the pro rata portion of the Net Cash Proceeds thereof (calculated without regard to this </w:t>
      </w:r>
      <w:r>
        <w:rPr>
          <w:rFonts w:ascii="Times New Roman;sans-serif" w:hAnsi="Times New Roman;sans-serif"/>
          <w:b w:val="false"/>
          <w:color w:val="000000"/>
          <w:sz w:val="22"/>
          <w:u w:val="single"/>
        </w:rPr>
        <w:t>clause (e)</w:t>
      </w:r>
      <w:r>
        <w:rPr>
          <w:rFonts w:ascii="Times New Roman;sans-serif" w:hAnsi="Times New Roman;sans-serif"/>
          <w:b w:val="false"/>
          <w:color w:val="000000"/>
          <w:sz w:val="22"/>
        </w:rPr>
        <w:t>) attributable to non-controlling interests and not available for distribution to or for the account of the Borrower or a Wholly-Owned Restricted Subsidiary as a result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(f)    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amount of any subsequent reduction of such escrow (other than in connection with a payment in respect of any such liability) shall be deemed to be Net Cash Proceeds of such a Prepayment Event occurring on the date of such reduction solely to the extent that the Borrower and/or any Restricted Subsidiaries receives cash in an amount equal to the amount of such reduction;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all fees and out-of-pocket expenses paid by the Borrower or a Restricted Subsidiary in connection with any of the foregoing (for the avoidance of doubt, including, (1) in the case of the issuance of Permitted Other Indebtedness,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pStyle w:val="TextBody"/>
        <w:bidi w:val="0"/>
        <w:spacing w:lineRule="auto" w:line="240" w:before="0" w:after="240"/>
        <w:jc w:val="both"/>
        <w:rPr/>
      </w:pPr>
      <w:r>
        <w:rPr>
          <w:rFonts w:ascii="Times New Roman;sans-serif" w:hAnsi="Times New Roman;sans-serif"/>
          <w:b w:val="false"/>
          <w:color w:val="000000"/>
          <w:sz w:val="22"/>
        </w:rPr>
        <w:t xml:space="preserve">in each case, only to the extent not already deducted in arriving at the amount referred to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Net Income</w:t>
      </w:r>
      <w:r>
        <w:rPr>
          <w:color w:val="000000"/>
        </w:rPr>
        <w:t xml:space="preserve">” </w:t>
      </w:r>
      <w:r>
        <w:rPr>
          <w:rFonts w:ascii="Times New Roman;sans-serif" w:hAnsi="Times New Roman;sans-serif"/>
          <w:b w:val="false"/>
          <w:color w:val="000000"/>
          <w:sz w:val="22"/>
        </w:rPr>
        <w:t>shall mean, with respect to any Person, the net income (loss) of such Person, determined in accordance with GAAP and before any reduction in respect of preferred stock dividends.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New Senior Notes</w:t>
      </w:r>
      <w:r>
        <w:rPr>
          <w:color w:val="000000"/>
        </w:rPr>
        <w:t xml:space="preserve">” </w:t>
      </w:r>
      <w:r>
        <w:rPr>
          <w:rFonts w:ascii="Times New Roman;sans-serif" w:hAnsi="Times New Roman;sans-serif"/>
          <w:b w:val="false"/>
          <w:color w:val="000000"/>
          <w:sz w:val="22"/>
        </w:rPr>
        <w:t>shall have the meaning provided in the recitals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Net Short Lender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New Term Loan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New Term Loan Commitments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New Term Loan Lender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New Term Loan Maturity Date</w:t>
      </w:r>
      <w:r>
        <w:rPr>
          <w:color w:val="000000"/>
        </w:rPr>
        <w:t xml:space="preserve">” </w:t>
      </w:r>
      <w:r>
        <w:rPr>
          <w:rFonts w:ascii="Times New Roman;sans-serif" w:hAnsi="Times New Roman;sans-serif"/>
          <w:b w:val="false"/>
          <w:color w:val="000000"/>
          <w:sz w:val="22"/>
        </w:rPr>
        <w:t>shall mean the date on which a New Term Loan matures.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New Term Loan Repayment Amount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2.5(c)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New Term Loan Repayment Date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2.5(c)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Non-Bank Tax Certificate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5.4(e)(ii)(B)(3)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Non-Consenting Lender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13.7(b)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Non-Credit Party Permitted Other Indebtedness</w:t>
      </w:r>
      <w:r>
        <w:rPr>
          <w:color w:val="000000"/>
          <w:shd w:fill="FFFFFF" w:val="clear"/>
        </w:rPr>
        <w:t xml:space="preserve">” </w:t>
      </w:r>
      <w:r>
        <w:rPr>
          <w:rFonts w:ascii="Times New Roman;sans-serif" w:hAnsi="Times New Roman;sans-serif"/>
          <w:b w:val="false"/>
          <w:color w:val="000000"/>
          <w:sz w:val="22"/>
          <w:shd w:fill="FFFFFF" w:val="clear"/>
        </w:rPr>
        <w:t>shall have the meaning specified in the definition of Permitted Other Indebtedness.</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Non-Credit Party Permitted Other Indebtedness Amount</w:t>
      </w:r>
      <w:r>
        <w:rPr>
          <w:color w:val="000000"/>
          <w:shd w:fill="FFFFFF" w:val="clear"/>
        </w:rPr>
        <w:t xml:space="preserve">” </w:t>
      </w:r>
      <w:r>
        <w:rPr>
          <w:rFonts w:ascii="Times New Roman;sans-serif" w:hAnsi="Times New Roman;sans-serif"/>
          <w:b w:val="false"/>
          <w:color w:val="000000"/>
          <w:sz w:val="22"/>
          <w:shd w:fill="FFFFFF" w:val="clear"/>
        </w:rPr>
        <w:t>means the greater of (A) $480,000,000 and (B) 100.0% of Consolidated EBITDA for the most recently ended Test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Non-Converting Term Loan</w:t>
      </w:r>
      <w:r>
        <w:rPr>
          <w:color w:val="000000"/>
        </w:rPr>
        <w:t xml:space="preserve">” </w:t>
      </w:r>
      <w:r>
        <w:rPr>
          <w:rFonts w:ascii="Times New Roman;sans-serif" w:hAnsi="Times New Roman;sans-serif"/>
          <w:b w:val="false"/>
          <w:color w:val="000000"/>
          <w:sz w:val="22"/>
        </w:rPr>
        <w:t>means each Term Loan outstanding immediately prior to the Amendment No. 4 Effective Date other than a Converting Term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Non-Defaulting Lender</w:t>
      </w:r>
      <w:r>
        <w:rPr>
          <w:color w:val="000000"/>
        </w:rPr>
        <w:t xml:space="preserve">” </w:t>
      </w:r>
      <w:r>
        <w:rPr>
          <w:rFonts w:ascii="Times New Roman;sans-serif" w:hAnsi="Times New Roman;sans-serif"/>
          <w:b w:val="false"/>
          <w:color w:val="000000"/>
          <w:sz w:val="22"/>
        </w:rPr>
        <w:t>shall mean and include each Lender other than a Defaulting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Non-U.S. Lender</w:t>
      </w:r>
      <w:r>
        <w:rPr>
          <w:color w:val="000000"/>
        </w:rPr>
        <w:t xml:space="preserve">” </w:t>
      </w:r>
      <w:r>
        <w:rPr>
          <w:rFonts w:ascii="Times New Roman;sans-serif" w:hAnsi="Times New Roman;sans-serif"/>
          <w:b w:val="false"/>
          <w:color w:val="000000"/>
          <w:sz w:val="22"/>
        </w:rPr>
        <w:t>shall mean any Lender that is not a “United States person” as defined by Section 7701(a)(30)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Notice of Borrowing</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2.3(a)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Notice of Conversion or</w:t>
      </w:r>
      <w:r>
        <w:rPr>
          <w:color w:val="000000"/>
        </w:rPr>
        <w:t xml:space="preserve"> </w:t>
      </w:r>
      <w:r>
        <w:rPr>
          <w:rFonts w:ascii="Times New Roman;sans-serif" w:hAnsi="Times New Roman;sans-serif"/>
          <w:b/>
          <w:color w:val="000000"/>
          <w:sz w:val="22"/>
        </w:rPr>
        <w:t>Continuation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2.6(a)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Obligations</w:t>
      </w:r>
      <w:r>
        <w:rPr>
          <w:color w:val="000000"/>
        </w:rPr>
        <w:t xml:space="preserve">” </w:t>
      </w:r>
      <w:r>
        <w:rPr>
          <w:rFonts w:ascii="Times New Roman;sans-serif" w:hAnsi="Times New Roman;sans-serif"/>
          <w:b w:val="false"/>
          <w:color w:val="000000"/>
          <w:sz w:val="22"/>
        </w:rPr>
        <w:t>shall mean all advances to, and debts, liabilities, obligations, covenants, and duties of, any Credit Party arising under any Credit Document or otherwise with respect to any Loan or under any Secured Cash Management Agreement or Secured Hedge Agreement (other than with respect to any Credit Party’s obligations that constitute Excluded Swap Obligations solely with respect to such Credit Party), in each case, entered into with the Borrower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OFAC</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8.10</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Other Taxes</w:t>
      </w:r>
      <w:r>
        <w:rPr>
          <w:color w:val="000000"/>
        </w:rPr>
        <w:t xml:space="preserve">” </w:t>
      </w:r>
      <w:r>
        <w:rPr>
          <w:rFonts w:ascii="Times New Roman;sans-serif" w:hAnsi="Times New Roman;sans-serif"/>
          <w:b w:val="false"/>
          <w:color w:val="000000"/>
          <w:sz w:val="22"/>
        </w:rPr>
        <w:t xml:space="preserve">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from the receipt or perfection of a security interest under, or otherwise with respect to, this Agreement or any other Credit Document;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such term shall not include (i) any Taxes that result from an assignment, (“</w:t>
      </w:r>
      <w:r>
        <w:rPr>
          <w:rFonts w:ascii="Times New Roman;sans-serif" w:hAnsi="Times New Roman;sans-serif"/>
          <w:b/>
          <w:color w:val="000000"/>
          <w:sz w:val="22"/>
        </w:rPr>
        <w:t>Assignment Taxes</w:t>
      </w:r>
      <w:r>
        <w:rPr>
          <w:color w:val="000000"/>
        </w:rPr>
        <w:t>”</w:t>
      </w:r>
      <w:r>
        <w:rPr>
          <w:rFonts w:ascii="Times New Roman;sans-serif" w:hAnsi="Times New Roman;sans-serif"/>
          <w:b w:val="false"/>
          <w:color w:val="000000"/>
          <w:sz w:val="22"/>
        </w:rPr>
        <w:t xml:space="preserve">) to the extent such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Assignment Taxes are imposed as a result of a present or former connection between the Lender and the taxing jurisdiction (other than a connection arising solely from having executed, delivered, become a party to, performed its obligations under, received payments under, received or perfected a security interest under, engaged in any transaction pursuant to or enforced any Credit Document, or sold or assigned an interest in any Loan or Credit Document), except to the extent that any such action described in this proviso is requested or required by the Borrower </w:t>
      </w:r>
      <w:r>
        <w:rPr>
          <w:rFonts w:ascii="Times New Roman;sans-serif" w:hAnsi="Times New Roman;sans-serif"/>
          <w:b w:val="false"/>
          <w:color w:val="000000"/>
          <w:sz w:val="22"/>
          <w:u w:val="single"/>
        </w:rPr>
        <w:t>pursuant to Section 13.7</w:t>
      </w:r>
      <w:r>
        <w:rPr>
          <w:color w:val="000000"/>
        </w:rPr>
        <w:t xml:space="preserve"> </w:t>
      </w:r>
      <w:r>
        <w:rPr>
          <w:rFonts w:ascii="Times New Roman;sans-serif" w:hAnsi="Times New Roman;sans-serif"/>
          <w:b w:val="false"/>
          <w:color w:val="000000"/>
          <w:sz w:val="22"/>
        </w:rPr>
        <w:t>or (ii) Excluded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Overnight Rate</w:t>
      </w:r>
      <w:r>
        <w:rPr>
          <w:color w:val="000000"/>
        </w:rPr>
        <w:t xml:space="preserve">” </w:t>
      </w:r>
      <w:r>
        <w:rPr>
          <w:rFonts w:ascii="Times New Roman;sans-serif" w:hAnsi="Times New Roman;sans-serif"/>
          <w:b w:val="false"/>
          <w:color w:val="000000"/>
          <w:sz w:val="22"/>
        </w:rPr>
        <w:t>shall mean, for any day, the greater of (a) the Federal Funds Effective Rate and (b) an overnight rate determined by the Administrative Agent in accordance with banking industry rules on interbank compensation.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Entity</w:t>
      </w:r>
      <w:r>
        <w:rPr>
          <w:color w:val="000000"/>
        </w:rPr>
        <w:t xml:space="preserve">” </w:t>
      </w:r>
      <w:r>
        <w:rPr>
          <w:rFonts w:ascii="Times New Roman;sans-serif" w:hAnsi="Times New Roman;sans-serif"/>
          <w:b w:val="false"/>
          <w:color w:val="000000"/>
          <w:sz w:val="22"/>
        </w:rPr>
        <w:t>shall mean any Person that is a direct or indirect parent company (which may be organized as, among other things, a partnership), including any managing member, of Holdings and/or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Participant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13.6(c)(i)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Participant Register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13.6(c)(ii)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Participating Member State</w:t>
      </w:r>
      <w:r>
        <w:rPr>
          <w:color w:val="000000"/>
        </w:rPr>
        <w:t xml:space="preserve">” </w:t>
      </w:r>
      <w:r>
        <w:rPr>
          <w:rFonts w:ascii="Times New Roman;sans-serif" w:hAnsi="Times New Roman;sans-serif"/>
          <w:b w:val="false"/>
          <w:color w:val="000000"/>
          <w:sz w:val="22"/>
        </w:rPr>
        <w:t>shall mean any member state of the European Union that adopts or has adopted the Euro as its lawful currency in accordance with legislation of the European Union relating to economic and monetary union.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Patriot Act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PBGC</w:t>
      </w:r>
      <w:r>
        <w:rPr>
          <w:color w:val="000000"/>
        </w:rPr>
        <w:t xml:space="preserve">” </w:t>
      </w:r>
      <w:r>
        <w:rPr>
          <w:rFonts w:ascii="Times New Roman;sans-serif" w:hAnsi="Times New Roman;sans-serif"/>
          <w:b w:val="false"/>
          <w:color w:val="000000"/>
          <w:sz w:val="22"/>
        </w:rPr>
        <w:t>shall mean the Pension Benefit Guaranty Corporation referred to and defined in ERISA and any successor entity performing similar functions.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Pension Plan</w:t>
      </w:r>
      <w:r>
        <w:rPr>
          <w:color w:val="000000"/>
        </w:rPr>
        <w:t xml:space="preserve">” </w:t>
      </w:r>
      <w:r>
        <w:rPr>
          <w:rFonts w:ascii="Times New Roman;sans-serif" w:hAnsi="Times New Roman;sans-serif"/>
          <w:b w:val="false"/>
          <w:color w:val="000000"/>
          <w:sz w:val="22"/>
        </w:rPr>
        <w:t>shall mean any “employee pension benefit plan” (as defined in Section 3(2) of ERISA), but excluding any Multiemployer Plan, that is subject to Title IV of ERISA, Section 302 of ERISA or Section 412 of the Code, in respect of which any Credit Party or any ERISA Affiliate is (or, if such plan were terminated, would under Section 4062 or Section 4069 of ERISA, be deemed to be) an “employer” as defined in Section 3(5) of ERISA.</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Periodic Term SOFR Determination Day” shall have the meaning specified in the definition of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Acquisition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of the definition of Permitted Investment.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Asset Swap</w:t>
      </w:r>
      <w:r>
        <w:rPr>
          <w:color w:val="000000"/>
        </w:rPr>
        <w:t xml:space="preserve">” </w:t>
      </w:r>
      <w:r>
        <w:rPr>
          <w:rFonts w:ascii="Times New Roman;sans-serif" w:hAnsi="Times New Roman;sans-serif"/>
          <w:b w:val="false"/>
          <w:color w:val="000000"/>
          <w:sz w:val="22"/>
        </w:rPr>
        <w:t xml:space="preserve">shall mean the concurrent purchase and sale or exchange of Related Business Assets or a combination of Related Business Assets and cash or Cash Equivalents between the Borrower or a Restricted Subsidiary and another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any cash or Cash Equivalents received must be applied in accordance with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Debt Exchange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Debt Exchange Notes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Debt Exchange Offer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Holders</w:t>
      </w:r>
      <w:r>
        <w:rPr>
          <w:color w:val="000000"/>
        </w:rPr>
        <w:t xml:space="preserve">” </w:t>
      </w:r>
      <w:r>
        <w:rPr>
          <w:rFonts w:ascii="Times New Roman;sans-serif" w:hAnsi="Times New Roman;sans-serif"/>
          <w:b w:val="false"/>
          <w:color w:val="000000"/>
          <w:sz w:val="22"/>
        </w:rPr>
        <w:t xml:space="preserve">shall mean each of (i) the Initial Investors and the Gochman Investors and their respective Affiliates (other than any portfolio company of an Initial Investor) and members of management of the Borrower (or their respective direct or indirect parent or management investment vehicle) who are holders of Equity Interests of Holdings (or its direct or indirect parent company or management investment vehicle) and any group (within the meaning of Section 13(d)(3) or Section 14(d)(2) of the Exchange Act or any successor provision) of which any of the foregoing are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members;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in the case of such group and without giving effect to the existence of such group or any other group, such Initial Investors and the Gochman Investors, their respective Affiliates (other than any portfolio company of an Initial Investor) and members of management, collectively, have beneficial ownership of more than 50% of the total voting power of the Voting Stock of Holdings or any other direct or indirect Parent Entity, (ii) any direct or indirect Parent Entity formed not in connection with, or in contemplation of, a transaction (other than the Transactions) that, assuming such parent was not formed after giving effect thereto, would constitute a Change of Control and (iii) any entity (other than a Parent Entity) through which a Parent Entity described in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directly or indirectly holds Equity Interests of Holdings and has no other material operations other than those incidental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Investments</w:t>
      </w:r>
      <w:r>
        <w:rPr>
          <w:color w:val="000000"/>
        </w:rPr>
        <w:t xml:space="preserve">” </w:t>
      </w:r>
      <w:r>
        <w:rPr>
          <w:rFonts w:ascii="Times New Roman;sans-serif" w:hAnsi="Times New Roman;sans-serif"/>
          <w:b w:val="false"/>
          <w:color w:val="000000"/>
          <w:sz w:val="22"/>
        </w:rPr>
        <w:t>shall mean: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    any Investment in the Borrower or any Restricted Subsidiary;</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(ii)    any Investment in cash, Cash Equivalents, or Investment Grade Securities at the time such Investment is made;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(iii)    any Investment by the Borrower or any Restricted Subsidiary in a Person that is engaged in a Similar Business if as a result of such Investment (a “</w:t>
      </w:r>
      <w:r>
        <w:rPr>
          <w:rFonts w:ascii="Times New Roman;sans-serif" w:hAnsi="Times New Roman;sans-serif"/>
          <w:b/>
          <w:color w:val="000000"/>
          <w:sz w:val="22"/>
        </w:rPr>
        <w:t>Permitted Acquisition</w:t>
      </w:r>
      <w:r>
        <w:rPr>
          <w:color w:val="000000"/>
        </w:rPr>
        <w:t>”</w:t>
      </w:r>
      <w:r>
        <w:rPr>
          <w:rFonts w:ascii="Times New Roman;sans-serif" w:hAnsi="Times New Roman;sans-serif"/>
          <w:b w:val="false"/>
          <w:color w:val="000000"/>
          <w:sz w:val="22"/>
        </w:rPr>
        <w:t xml:space="preserve">), (1) such Person becomes a Restricted Subsidiary or (2) such Person, in one transaction or a series of related transactions, is merged, consolidated, or amalgamated with or into, or transfers or conveys substantially all of its assets to, or is liquidated into, the Borrower or a Restricted Subsidiary, and, in each case, any Investment held by such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such Investment was not acquired by such Person in contemplation of such acquisition, merger, consolidation, or transfer;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(iv)    any Investment in securities or other assets not constituting cash, Cash Equivalents, or Investment Grade Securities and received in connection with an Asset Sale made pursuant to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or any other disposition of assets not constituting an Asset Sale;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(v)    (a) any Investment existing or contemplated on the Restatement Effective Date and, in each case, listed on </w:t>
      </w:r>
      <w:r>
        <w:rPr>
          <w:rFonts w:ascii="Times New Roman;sans-serif" w:hAnsi="Times New Roman;sans-serif"/>
          <w:b w:val="false"/>
          <w:color w:val="000000"/>
          <w:sz w:val="22"/>
          <w:u w:val="single"/>
        </w:rPr>
        <w:t>Schedule 10.5</w:t>
      </w:r>
      <w:r>
        <w:rPr>
          <w:color w:val="000000"/>
        </w:rPr>
        <w:t xml:space="preserve"> </w:t>
      </w:r>
      <w:r>
        <w:rPr>
          <w:rFonts w:ascii="Times New Roman;sans-serif" w:hAnsi="Times New Roman;sans-serif"/>
          <w:b w:val="false"/>
          <w:color w:val="000000"/>
          <w:sz w:val="22"/>
        </w:rPr>
        <w:t xml:space="preserve">and (b) Investments consisting of any modification, replacement, renewal, reinvestment, or extension of any such Investment;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amount of any such Investment is not increased from the amount of such Investment on the Restatement Effective Date except pursuant to the terms of such Investment (including in respect of any unused commitment),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 Effective Date;</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(vi)    any Investment acquired by the Borrower or any Restricted Subsidiary (a) in exchange for any other Investment or accounts receivable held by the Borrower or any such Restricted Subsidiary in connection with or as a result of a bankruptcy, workout, reorganization, or recapitalization of the Borrower of such other Investment or accounts receivable or (b) as a result of a foreclosure by the Borrower or any Restricted Subsidiary with respect to any secured Investment or other transfer of title with respect to any secured Investment in default;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(vii)    Hedging Obligations permitted under </w:t>
      </w:r>
      <w:r>
        <w:rPr>
          <w:rFonts w:ascii="Times New Roman;sans-serif" w:hAnsi="Times New Roman;sans-serif"/>
          <w:b w:val="false"/>
          <w:color w:val="000000"/>
          <w:sz w:val="22"/>
          <w:u w:val="single"/>
        </w:rPr>
        <w:t>clause (j)</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and Cash Management Services;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(viii)    any Investment in a Similar Business having an aggregate Fair Market Value, taken together with all other Investments made pursuant to this </w:t>
      </w:r>
      <w:r>
        <w:rPr>
          <w:rFonts w:ascii="Times New Roman;sans-serif" w:hAnsi="Times New Roman;sans-serif"/>
          <w:b w:val="false"/>
          <w:color w:val="000000"/>
          <w:sz w:val="22"/>
          <w:u w:val="single"/>
        </w:rPr>
        <w:t>clause (viii)</w:t>
      </w:r>
      <w:r>
        <w:rPr>
          <w:color w:val="000000"/>
        </w:rPr>
        <w:t xml:space="preserve"> </w:t>
      </w:r>
      <w:r>
        <w:rPr>
          <w:rFonts w:ascii="Times New Roman;sans-serif" w:hAnsi="Times New Roman;sans-serif"/>
          <w:b w:val="false"/>
          <w:color w:val="000000"/>
          <w:sz w:val="22"/>
        </w:rPr>
        <w:t xml:space="preserve">that are at that time outstanding, not to exceed the greater of (a) $168,000,000 and (b) 35%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any Investment pursuant to this </w:t>
      </w:r>
      <w:r>
        <w:rPr>
          <w:rFonts w:ascii="Times New Roman;sans-serif" w:hAnsi="Times New Roman;sans-serif"/>
          <w:b w:val="false"/>
          <w:color w:val="000000"/>
          <w:sz w:val="22"/>
          <w:u w:val="single"/>
        </w:rPr>
        <w:t>clause (viii)</w:t>
      </w:r>
      <w:r>
        <w:rPr>
          <w:color w:val="000000"/>
        </w:rPr>
        <w:t xml:space="preserve"> </w:t>
      </w:r>
      <w:r>
        <w:rPr>
          <w:rFonts w:ascii="Times New Roman;sans-serif" w:hAnsi="Times New Roman;sans-serif"/>
          <w:b w:val="false"/>
          <w:color w:val="000000"/>
          <w:sz w:val="22"/>
        </w:rPr>
        <w:t xml:space="preserve">is made in any Person that is not a Restricted Subsidiary at the date of the making of such Investment and such Person becomes a Restricted Subsidiary after such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date, such Investment shall thereafter be deemed to have been made pursuant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and shall cease to have been made pursuant to this </w:t>
      </w:r>
      <w:r>
        <w:rPr>
          <w:rFonts w:ascii="Times New Roman;sans-serif" w:hAnsi="Times New Roman;sans-serif"/>
          <w:b w:val="false"/>
          <w:color w:val="000000"/>
          <w:sz w:val="22"/>
          <w:u w:val="single"/>
        </w:rPr>
        <w:t>clause (viii)</w:t>
      </w:r>
      <w:r>
        <w:rPr>
          <w:color w:val="000000"/>
        </w:rPr>
        <w:t xml:space="preserve"> </w:t>
      </w:r>
      <w:r>
        <w:rPr>
          <w:rFonts w:ascii="Times New Roman;sans-serif" w:hAnsi="Times New Roman;sans-serif"/>
          <w:b w:val="false"/>
          <w:color w:val="000000"/>
          <w:sz w:val="22"/>
        </w:rPr>
        <w:t>for so long as such Person continues to be a Restricted Subsidiary;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(ix)    Investments the payment for which consists of Equity Interests of Holdings or any direct or indirect parent company of Holdings (exclusive of Disqualified Stock);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Equity Interests will not increase the amount available for Restricted Payments under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10.5(a)</w:t>
      </w:r>
      <w:r>
        <w:rPr>
          <w:rFonts w:ascii="Times New Roman;sans-serif" w:hAnsi="Times New Roman;sans-serif"/>
          <w:b w:val="false"/>
          <w:color w:val="000000"/>
          <w:sz w:val="22"/>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    guarantees of Indebtedness permitted under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and Investments to the extent constituting Permitted Liens;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(xi)    any transaction to the extent it constitutes an Investment that is permitted and made in accordance with the provisions of </w:t>
      </w:r>
      <w:r>
        <w:rPr>
          <w:rFonts w:ascii="Times New Roman;sans-serif" w:hAnsi="Times New Roman;sans-serif"/>
          <w:b w:val="false"/>
          <w:color w:val="000000"/>
          <w:sz w:val="22"/>
          <w:u w:val="single"/>
        </w:rPr>
        <w:t>Section 9.9</w:t>
      </w:r>
      <w:r>
        <w:rPr>
          <w:color w:val="000000"/>
        </w:rPr>
        <w:t xml:space="preserve"> </w:t>
      </w:r>
      <w:r>
        <w:rPr>
          <w:rFonts w:ascii="Times New Roman;sans-serif" w:hAnsi="Times New Roman;sans-serif"/>
          <w:b w:val="false"/>
          <w:color w:val="000000"/>
          <w:sz w:val="22"/>
        </w:rPr>
        <w:t xml:space="preserve">(except transactions described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of such paragraph);</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(xii)    Investments consisting of purchases and acquisitions of inventory, supplies, material, equipment, or other similar assets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(xiii)    additional Investments having an aggregate Fair Market Value, taken together with all other Investments made pursuant to this </w:t>
      </w:r>
      <w:r>
        <w:rPr>
          <w:rFonts w:ascii="Times New Roman;sans-serif" w:hAnsi="Times New Roman;sans-serif"/>
          <w:b w:val="false"/>
          <w:color w:val="000000"/>
          <w:sz w:val="22"/>
          <w:u w:val="single"/>
        </w:rPr>
        <w:t>clause (xiii)</w:t>
      </w:r>
      <w:r>
        <w:rPr>
          <w:color w:val="000000"/>
        </w:rPr>
        <w:t xml:space="preserve"> </w:t>
      </w:r>
      <w:r>
        <w:rPr>
          <w:rFonts w:ascii="Times New Roman;sans-serif" w:hAnsi="Times New Roman;sans-serif"/>
          <w:b w:val="false"/>
          <w:color w:val="000000"/>
          <w:sz w:val="22"/>
        </w:rPr>
        <w:t xml:space="preserve">that are at that time outstanding (without giving effect to the sale of an Unrestricted Subsidiary to the extent the proceeds of such sale do not consist of cash or marketable securities), not to exceed the greater of (a) $190,000,000 and (b) 40%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any Investment pursuant to this </w:t>
      </w:r>
      <w:r>
        <w:rPr>
          <w:rFonts w:ascii="Times New Roman;sans-serif" w:hAnsi="Times New Roman;sans-serif"/>
          <w:b w:val="false"/>
          <w:color w:val="000000"/>
          <w:sz w:val="22"/>
          <w:u w:val="single"/>
        </w:rPr>
        <w:t>clause (xiii)</w:t>
      </w:r>
      <w:r>
        <w:rPr>
          <w:color w:val="000000"/>
        </w:rPr>
        <w:t xml:space="preserve"> </w:t>
      </w:r>
      <w:r>
        <w:rPr>
          <w:rFonts w:ascii="Times New Roman;sans-serif" w:hAnsi="Times New Roman;sans-serif"/>
          <w:b w:val="false"/>
          <w:color w:val="000000"/>
          <w:sz w:val="22"/>
        </w:rPr>
        <w:t xml:space="preserve">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and shall cease to have been made pursuant to this </w:t>
      </w:r>
      <w:r>
        <w:rPr>
          <w:rFonts w:ascii="Times New Roman;sans-serif" w:hAnsi="Times New Roman;sans-serif"/>
          <w:b w:val="false"/>
          <w:color w:val="000000"/>
          <w:sz w:val="22"/>
          <w:u w:val="single"/>
        </w:rPr>
        <w:t>clause (xiii)</w:t>
      </w:r>
      <w:r>
        <w:rPr>
          <w:color w:val="000000"/>
        </w:rPr>
        <w:t xml:space="preserve"> </w:t>
      </w:r>
      <w:r>
        <w:rPr>
          <w:rFonts w:ascii="Times New Roman;sans-serif" w:hAnsi="Times New Roman;sans-serif"/>
          <w:b w:val="false"/>
          <w:color w:val="000000"/>
          <w:sz w:val="22"/>
        </w:rPr>
        <w:t>for so long as such Person continues to be a Restricted Subsidiary;</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(xiv)    Investments relating to any Receivables Subsidiary that, in the good faith determination of the board of directors of the Borrower, are necessary or advisable to effect a Receivables Facility or any repurchases in connection therewith;</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(xv)    advances to, or guarantees of Indebtedness of, employees not in excess of the greater of (a) $25,000,000 and (b) 5% of Consolidated EBITDA for the most recently ended Test Period (calculated on a Pro Forma Basis) at the time of such Investment;</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(xvi)    (a)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the Borrower or any direct or indirect parent company thereof and (b) promissory notes received from stockholders of the Borrower, any direct or indirect parent company of the Borrower or any Subsidiary in connection with the exercise of stock options in respect of the Equity Interests of the Borrower, any direct or indirect parent company of the Borrower and the Subsidiaries;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(xvii)    Investments consisting of extensions of trade credit in the ordinary course of business;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(xviii)    Investments in the ordinary course of business consisting of Uniform Commercial Code Article 3 endorsements for collection or deposit and Uniform Commercial Code Article 4 customary trade arrangements with customers consistent with past practices;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(xix)    non-cash Investments in connection with tax planning and reorganization activities;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after giving effect to any such activities, the security interests of the Lenders in the Collateral, taken as a whole, would not be materially impaired;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(xx)    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(xxi)    the licensing and contribution of Intellectual Property pursuant to joint marketing arrangements with other Persons, in the ordinary course of business;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(xxii)    advances of payroll payments to employees in the ordinary course of business;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(xxiii)    contributions to a “rabbi” trust for the benefit of employees, directors, consultants, independent contractors or other service providers or other grantor trust subject to claims of creditors in the case of a bankruptcy of the Borrower;</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(xxiv)    Investments by an Unrestricted Subsidiary entered into prior to the day such Unrestricted Subsidiary is redesignated as a Restricted Subsidiary pursuant to the definition of “Unrestricted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Liens</w:t>
      </w:r>
      <w:r>
        <w:rPr>
          <w:color w:val="000000"/>
        </w:rPr>
        <w:t xml:space="preserve">” </w:t>
      </w:r>
      <w:r>
        <w:rPr>
          <w:rFonts w:ascii="Times New Roman;sans-serif" w:hAnsi="Times New Roman;sans-serif"/>
          <w:b w:val="false"/>
          <w:color w:val="000000"/>
          <w:sz w:val="22"/>
        </w:rPr>
        <w:t>shall mean, with respect to any Person: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    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or deposits made to secure obligations arising from contractual or warranty refunds, in each case, incurred in the ordinary course of business;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(ii)    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(iii)    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Times New Roman;sans-serif" w:hAnsi="Times New Roman;sans-serif"/>
          <w:b w:val="false"/>
          <w:color w:val="000000"/>
          <w:sz w:val="22"/>
          <w:u w:val="single"/>
        </w:rPr>
        <w:t>Section 8.11</w:t>
      </w:r>
      <w:r>
        <w:rPr>
          <w:rFonts w:ascii="Times New Roman;sans-serif" w:hAnsi="Times New Roman;sans-serif"/>
          <w:b w:val="false"/>
          <w:color w:val="000000"/>
          <w:sz w:val="22"/>
        </w:rPr>
        <w:t>, or for property Taxes on property of the Borrower or one of its Subsidiaries has determined to abandon if the sole recourse for such Tax is to such property;</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(iv)    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(v)    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taken as a whole;</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(vi)    Liens securing Indebtedness permitted to be outstanding pursuant to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(b)(i)</w:t>
      </w:r>
      <w:r>
        <w:rPr>
          <w:color w:val="000000"/>
        </w:rPr>
        <w:t xml:space="preserve"> </w:t>
      </w:r>
      <w:r>
        <w:rPr>
          <w:rFonts w:ascii="Times New Roman;sans-serif" w:hAnsi="Times New Roman;sans-serif"/>
          <w:b w:val="false"/>
          <w:color w:val="000000"/>
          <w:sz w:val="22"/>
        </w:rPr>
        <w:t xml:space="preserve">(so long as such Liens are subject to the ABL Intercreditor Agreement), (b)(ii),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(l)(ii)</w:t>
      </w:r>
      <w:r>
        <w:rPr>
          <w:rFonts w:ascii="Times New Roman;sans-serif" w:hAnsi="Times New Roman;sans-serif"/>
          <w:b w:val="false"/>
          <w:color w:val="000000"/>
          <w:sz w:val="22"/>
        </w:rPr>
        <w:t xml:space="preserve">, (m) (to the extent relating to another clause of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set forth in this </w:t>
      </w:r>
      <w:r>
        <w:rPr>
          <w:rFonts w:ascii="Times New Roman;sans-serif" w:hAnsi="Times New Roman;sans-serif"/>
          <w:b w:val="false"/>
          <w:color w:val="000000"/>
          <w:sz w:val="22"/>
          <w:u w:val="single"/>
        </w:rPr>
        <w:t>clause (vi)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(w)</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(y)</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(aa)</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 in the case of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such Lien may not extend to any property or equipment (or assets affixed or appurtenant thereto) other than the property or equipment being financed or refinanced under such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replacements of such property, equipment or assets, and additions and accessions and in the case of multiple financings of equipment provided by any lender, other equipment financed by such lender; (b) in the case of </w:t>
      </w:r>
      <w:r>
        <w:rPr>
          <w:rFonts w:ascii="Times New Roman;sans-serif" w:hAnsi="Times New Roman;sans-serif"/>
          <w:b w:val="false"/>
          <w:color w:val="000000"/>
          <w:sz w:val="22"/>
          <w:u w:val="single"/>
        </w:rPr>
        <w:t>clause (r)</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such Lien may not extend to any assets other than the assets owned by the Restricted Subsidiaries that are not Credit Parties; (c) in the case of Liens on the Collateral pursuant to this </w:t>
      </w:r>
      <w:r>
        <w:rPr>
          <w:rFonts w:ascii="Times New Roman;sans-serif" w:hAnsi="Times New Roman;sans-serif"/>
          <w:b w:val="false"/>
          <w:color w:val="000000"/>
          <w:sz w:val="22"/>
          <w:u w:val="single"/>
        </w:rPr>
        <w:t>clause (vi)</w:t>
      </w:r>
      <w:r>
        <w:rPr>
          <w:color w:val="000000"/>
        </w:rPr>
        <w:t xml:space="preserve"> </w:t>
      </w:r>
      <w:r>
        <w:rPr>
          <w:rFonts w:ascii="Times New Roman;sans-serif" w:hAnsi="Times New Roman;sans-serif"/>
          <w:b w:val="false"/>
          <w:color w:val="000000"/>
          <w:sz w:val="22"/>
        </w:rPr>
        <w:t xml:space="preserve">securing Permitted Other Indebtedness Obligations,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in each case that constitute First Lien Obligations, the applicable Permitted Other Indebtedness Secured Parties or lenders with respect to such Ratio Debt, New Term Loans or Indebtedness incurred pursuant to </w:t>
      </w:r>
      <w:r>
        <w:rPr>
          <w:rFonts w:ascii="Times New Roman;sans-serif" w:hAnsi="Times New Roman;sans-serif"/>
          <w:b w:val="false"/>
          <w:color w:val="000000"/>
          <w:sz w:val="22"/>
          <w:u w:val="single"/>
        </w:rPr>
        <w:t>Section 10.1(l)(ii)</w:t>
      </w:r>
      <w:r>
        <w:rPr>
          <w:color w:val="000000"/>
        </w:rPr>
        <w:t xml:space="preserve"> </w:t>
      </w:r>
      <w:r>
        <w:rPr>
          <w:rFonts w:ascii="Times New Roman;sans-serif" w:hAnsi="Times New Roman;sans-serif"/>
          <w:b w:val="false"/>
          <w:color w:val="000000"/>
          <w:sz w:val="22"/>
        </w:rPr>
        <w:t xml:space="preserve">(or a representative thereof on behalf of such holders), as applicable, shall enter into security documents with terms and conditions not materially more restrictive to the Credit Parties, taken as a whole, than the terms and conditions of the Security Documents and (1) in the case of the first such issuance of Permitted Other Indebtedness Obligations,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the Collateral Agent, the Administrative Agent and the representative for the holders of such Permitted Other Indebtedness Obligations,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as applicable, shall have entered into the First Lien Intercreditor Agreement, and (2) in the case of subsequent issuances of Permitted Other Indebtedness Obligations,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the representative for the holders of such Permitted Other Indebtedness Obligations,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as applicable, shall have become a party to the First Lien Intercreditor Agreement in accordance with the terms thereof; and (d) in the case of Liens on the Collateral pursuant to this </w:t>
      </w:r>
      <w:r>
        <w:rPr>
          <w:rFonts w:ascii="Times New Roman;sans-serif" w:hAnsi="Times New Roman;sans-serif"/>
          <w:b w:val="false"/>
          <w:color w:val="000000"/>
          <w:sz w:val="22"/>
          <w:u w:val="single"/>
        </w:rPr>
        <w:t>clause (vi)</w:t>
      </w:r>
      <w:r>
        <w:rPr>
          <w:color w:val="000000"/>
        </w:rPr>
        <w:t xml:space="preserve"> </w:t>
      </w:r>
      <w:r>
        <w:rPr>
          <w:rFonts w:ascii="Times New Roman;sans-serif" w:hAnsi="Times New Roman;sans-serif"/>
          <w:b w:val="false"/>
          <w:color w:val="000000"/>
          <w:sz w:val="22"/>
        </w:rPr>
        <w:t xml:space="preserve">securing Permitted Other Indebtedness Obligations,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in each case that do not constitute First Lien Obligations, the applicable Permitted Other Indebtedness Secured Parties or lenders with respect to such Ratio Debt, New Term Loans or Indebtedness incurred pursuant to </w:t>
      </w:r>
      <w:r>
        <w:rPr>
          <w:rFonts w:ascii="Times New Roman;sans-serif" w:hAnsi="Times New Roman;sans-serif"/>
          <w:b w:val="false"/>
          <w:color w:val="000000"/>
          <w:sz w:val="22"/>
          <w:u w:val="single"/>
        </w:rPr>
        <w:t>Section 10.1(l)(ii)</w:t>
      </w:r>
      <w:r>
        <w:rPr>
          <w:color w:val="000000"/>
        </w:rPr>
        <w:t xml:space="preserve"> </w:t>
      </w:r>
      <w:r>
        <w:rPr>
          <w:rFonts w:ascii="Times New Roman;sans-serif" w:hAnsi="Times New Roman;sans-serif"/>
          <w:b w:val="false"/>
          <w:color w:val="000000"/>
          <w:sz w:val="22"/>
        </w:rPr>
        <w:t xml:space="preserve">(or a representative thereof on behalf of such holders), as applicable, shall enter into security documents with terms and conditions not materially more restrictive to the Credit Parties, taken as a whole, than the terms and conditions of the Security Documents and (1) in the case of the first such issuance of Permitted Other Indebtedness, Ratio Debt, New Term Loans or Indebtedness incurred pursuant to Section 10.1(l)(ii), the Collateral Agent, the Administrative Agent and the representative of the holders of such Permitted Other Indebtedness Obligations,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as applicable, shall have entered into the Second Lien Intercreditor Agreement, and (2) in the case of subsequent issuances of Permitted Other Indebtedness,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the representative for the holders of such Permitted Other Indebtedness, Ratio Debt, New Term Loans or Indebtedness incurred pursuant to </w:t>
      </w:r>
      <w:r>
        <w:rPr>
          <w:rFonts w:ascii="Times New Roman;sans-serif" w:hAnsi="Times New Roman;sans-serif"/>
          <w:b w:val="false"/>
          <w:color w:val="000000"/>
          <w:sz w:val="22"/>
          <w:u w:val="single"/>
        </w:rPr>
        <w:t>Section 10.1(l)(ii)</w:t>
      </w:r>
      <w:r>
        <w:rPr>
          <w:rFonts w:ascii="Times New Roman;sans-serif" w:hAnsi="Times New Roman;sans-serif"/>
          <w:b w:val="false"/>
          <w:color w:val="000000"/>
          <w:sz w:val="22"/>
        </w:rPr>
        <w:t xml:space="preserve">, as applicable,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as contemplated by this </w:t>
      </w:r>
      <w:r>
        <w:rPr>
          <w:rFonts w:ascii="Times New Roman;sans-serif" w:hAnsi="Times New Roman;sans-serif"/>
          <w:b w:val="false"/>
          <w:color w:val="000000"/>
          <w:sz w:val="22"/>
          <w:u w:val="single"/>
        </w:rPr>
        <w:t>clause (vi)</w:t>
      </w:r>
      <w:r>
        <w:rPr>
          <w:rFonts w:ascii="Times New Roman;sans-serif" w:hAnsi="Times New Roman;sans-serif"/>
          <w:b w:val="false"/>
          <w:color w:val="000000"/>
          <w:sz w:val="22"/>
        </w:rPr>
        <w:t>;</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(vii)    subject to </w:t>
      </w:r>
      <w:r>
        <w:rPr>
          <w:rFonts w:ascii="Times New Roman;sans-serif" w:hAnsi="Times New Roman;sans-serif"/>
          <w:b w:val="false"/>
          <w:color w:val="000000"/>
          <w:sz w:val="22"/>
          <w:u w:val="single"/>
        </w:rPr>
        <w:t>Section 9.14</w:t>
      </w:r>
      <w:r>
        <w:rPr>
          <w:rFonts w:ascii="Times New Roman;sans-serif" w:hAnsi="Times New Roman;sans-serif"/>
          <w:b w:val="false"/>
          <w:color w:val="000000"/>
          <w:sz w:val="22"/>
        </w:rPr>
        <w:t xml:space="preserve">, other than with respect to Mortgaged Property, Liens existing on the Restatement Effective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any Lien securing Indebtedness or other obligations in excess of (a) $5,000,000 individually or (b) $25,000,000 in the aggregate (when taken together with all other Liens securing obligations outstanding in reliance on this </w:t>
      </w:r>
      <w:r>
        <w:rPr>
          <w:rFonts w:ascii="Times New Roman;sans-serif" w:hAnsi="Times New Roman;sans-serif"/>
          <w:b w:val="false"/>
          <w:color w:val="000000"/>
          <w:sz w:val="22"/>
          <w:u w:val="single"/>
        </w:rPr>
        <w:t>clause (b)</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that are not listed on </w:t>
      </w:r>
      <w:r>
        <w:rPr>
          <w:rFonts w:ascii="Times New Roman;sans-serif" w:hAnsi="Times New Roman;sans-serif"/>
          <w:b w:val="false"/>
          <w:color w:val="000000"/>
          <w:sz w:val="22"/>
          <w:u w:val="single"/>
        </w:rPr>
        <w:t>Schedule 10.2</w:t>
      </w:r>
      <w:r>
        <w:rPr>
          <w:rFonts w:ascii="Times New Roman;sans-serif" w:hAnsi="Times New Roman;sans-serif"/>
          <w:b w:val="false"/>
          <w:color w:val="000000"/>
          <w:sz w:val="22"/>
        </w:rPr>
        <w:t xml:space="preserve">) shall only be permitted if set forth on </w:t>
      </w:r>
      <w:r>
        <w:rPr>
          <w:rFonts w:ascii="Times New Roman;sans-serif" w:hAnsi="Times New Roman;sans-serif"/>
          <w:b w:val="false"/>
          <w:color w:val="000000"/>
          <w:sz w:val="22"/>
          <w:u w:val="single"/>
        </w:rPr>
        <w:t>Schedule 10.2</w:t>
      </w:r>
      <w:r>
        <w:rPr>
          <w:rFonts w:ascii="Times New Roman;sans-serif" w:hAnsi="Times New Roman;sans-serif"/>
          <w:b w:val="false"/>
          <w:color w:val="000000"/>
          <w:sz w:val="22"/>
        </w:rPr>
        <w:t>, and, in each case, any modifications, replacements, renewals, or extensions thereof;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(viii)    Liens on property or shares of stock of a Person at the time such Person becomes a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Liens are not created or incurred in connection with, or in contemplation of, such other Person becoming a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Liens may not extend to any other property owned by the Borrower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(ix)    Liens on property at the time the Borrower or a Restricted Subsidiary acquired the property, including any acquisition by means of a merger or consolidation with or into the Borrower or any Restricted Subsidiary or the designation of an Unrestricted Subsidiary as a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Liens are not created or incurred in connection with, or in contemplation of, such acquisition, merger, consolidation, or designation;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Liens may not extend to any other property owned by the Borrower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(iii)    </w:t>
      </w:r>
      <w:r>
        <w:rPr>
          <w:rFonts w:ascii="Times New Roman;sans-serif" w:hAnsi="Times New Roman;sans-serif"/>
          <w:b w:val="false"/>
          <w:color w:val="000000"/>
          <w:sz w:val="22"/>
          <w:shd w:fill="FFFFFF" w:val="clear"/>
        </w:rPr>
        <w:t xml:space="preserve">(x)    Liens securing Indebtedness or other obligations of a Restricted Subsidiary that is not a Credit Party owing to the Borrower or another Restricted Subsidiary permitted to be incurred in accordance with </w:t>
      </w:r>
      <w:r>
        <w:rPr>
          <w:rFonts w:ascii="Times New Roman;sans-serif" w:hAnsi="Times New Roman;sans-serif"/>
          <w:b w:val="false"/>
          <w:color w:val="000000"/>
          <w:sz w:val="22"/>
          <w:u w:val="single"/>
          <w:shd w:fill="FFFFFF" w:val="clear"/>
        </w:rPr>
        <w:t>Section 10.1</w:t>
      </w:r>
      <w:r>
        <w:rPr>
          <w:rFonts w:ascii="Times New Roman;sans-serif" w:hAnsi="Times New Roman;sans-serif"/>
          <w:b w:val="false"/>
          <w:color w:val="000000"/>
          <w:sz w:val="22"/>
          <w:shd w:fill="FFFFFF" w:val="clear"/>
        </w:rPr>
        <w:t>;</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    Liens securing Hedging Obligations and Cash Management Services so long as the related Indebtedness is, and is permitted hereunder to be, secured by a Lien on the same property securing such Hedging Obligations and Cash Management Services;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(xii)    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(xiii)    leases, subleases, licenses, or sublicenses (including of Intellectual Property) granted to others in the ordinary course of business;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(xiv)    Liens arising from Uniform Commercial Code financing statement filings regarding operating leases or consignments entered into by the Borrower or any Restricted Subsidiary in the ordinary course of business;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(xv)    Liens in favor of the Borrower or any other Subsidiary Guarantor;</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(xvi)    Liens on equipment of the Borrower or any Restricted Subsidiary granted in the ordinary course of business to the Borrower’s or such Restricted Subsidiary’s client at which such equipment is located;</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(xvii)    Liens on accounts receivable and related assets incurred in connection with a Receivables Facility;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(xviii)    Liens to secure any refinancing, refunding, extension, renewal, or replacement (or successive refinancing, refunding, extensions, renewals, or replacements) as a whole, or in part, of any Indebtedness secured by any Lien referred to in </w:t>
      </w:r>
      <w:r>
        <w:rPr>
          <w:rFonts w:ascii="Times New Roman;sans-serif" w:hAnsi="Times New Roman;sans-serif"/>
          <w:b w:val="false"/>
          <w:color w:val="000000"/>
          <w:sz w:val="22"/>
          <w:u w:val="single"/>
        </w:rPr>
        <w:t>clauses (vi)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(xv)</w:t>
      </w:r>
      <w:r>
        <w:rPr>
          <w:color w:val="000000"/>
        </w:rPr>
        <w:t xml:space="preserve"> </w:t>
      </w:r>
      <w:r>
        <w:rPr>
          <w:rFonts w:ascii="Times New Roman;sans-serif" w:hAnsi="Times New Roman;sans-serif"/>
          <w:b w:val="false"/>
          <w:color w:val="000000"/>
          <w:sz w:val="22"/>
        </w:rPr>
        <w:t xml:space="preserve">of this definition of Permitted Liens;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the committed amount of the Indebtedness described under </w:t>
      </w:r>
      <w:r>
        <w:rPr>
          <w:rFonts w:ascii="Times New Roman;sans-serif" w:hAnsi="Times New Roman;sans-serif"/>
          <w:b w:val="false"/>
          <w:color w:val="000000"/>
          <w:sz w:val="22"/>
          <w:u w:val="single"/>
        </w:rPr>
        <w:t>clauses (vi)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(xv)</w:t>
      </w:r>
      <w:r>
        <w:rPr>
          <w:color w:val="000000"/>
        </w:rPr>
        <w:t xml:space="preserve"> </w:t>
      </w:r>
      <w:r>
        <w:rPr>
          <w:rFonts w:ascii="Times New Roman;sans-serif" w:hAnsi="Times New Roman;sans-serif"/>
          <w:b w:val="false"/>
          <w:color w:val="000000"/>
          <w:sz w:val="22"/>
        </w:rPr>
        <w:t>at the time the original Lien became a Permitted Lien under this Agreement, and (2) an amount necessary to pay any fees and expenses, including premiums and accrued and unpaid interest, related to such refinancing, refunding, extension, renewal, or replacement;</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(xix)    deposits made or other security provided to secure liabilities to insurance carriers under insurance or self-insurance arrangements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(xx)    other Liens securing obligations (including Capitalized Lease Obligations) which do not exceed the greater of (a) $240,000,000 and (b) 50% of Consolidated EBITDA for the most recently ended Test Period (calculated on a Pro Forma Basis) at the time of the incurrence of such Lien;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at the Borrower’s election, (i) in the case of Liens securing Permitted Other Indebtedness Obligations that constitute First Lien Obligations (the “</w:t>
      </w:r>
      <w:r>
        <w:rPr>
          <w:rFonts w:ascii="Times New Roman;sans-serif" w:hAnsi="Times New Roman;sans-serif"/>
          <w:b/>
          <w:color w:val="000000"/>
          <w:sz w:val="22"/>
        </w:rPr>
        <w:t>Permitted First Lien Indebtedness</w:t>
      </w:r>
      <w:r>
        <w:rPr>
          <w:color w:val="000000"/>
        </w:rPr>
        <w:t>”</w:t>
      </w:r>
      <w:r>
        <w:rPr>
          <w:rFonts w:ascii="Times New Roman;sans-serif" w:hAnsi="Times New Roman;sans-serif"/>
          <w:b w:val="false"/>
          <w:color w:val="000000"/>
          <w:sz w:val="22"/>
        </w:rPr>
        <w:t xml:space="preserve">),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(ii) in the case of Liens securing Permitted Other Indebtedness Obligations that do not constitute First Lien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sans-serif" w:hAnsi="Times New Roman;sans-serif"/>
          <w:b w:val="false"/>
          <w:color w:val="000000"/>
          <w:sz w:val="22"/>
          <w:u w:val="single"/>
        </w:rPr>
        <w:t>clause (xx)</w:t>
      </w:r>
      <w:r>
        <w:rPr>
          <w:rFonts w:ascii="Times New Roman;sans-serif" w:hAnsi="Times New Roman;sans-serif"/>
          <w:b w:val="false"/>
          <w:color w:val="000000"/>
          <w:sz w:val="22"/>
        </w:rPr>
        <w:t xml:space="preserve">; provided that any such Permitted First Lien Indebtedness incurred in the form of term loans shall be subject to the Effective Yield restrictions applicable to New Term Loans pursuant to </w:t>
      </w:r>
      <w:r>
        <w:rPr>
          <w:rFonts w:ascii="Times New Roman;sans-serif" w:hAnsi="Times New Roman;sans-serif"/>
          <w:b w:val="false"/>
          <w:color w:val="000000"/>
          <w:sz w:val="22"/>
          <w:u w:val="single"/>
        </w:rPr>
        <w:t>Section 2.14(d)(iii)</w:t>
      </w: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(xxi)    Liens securing judgments for the payment of money not constituting an Event of Default under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11.10</w:t>
      </w:r>
      <w:r>
        <w:rPr>
          <w:rFonts w:ascii="Times New Roman;sans-serif" w:hAnsi="Times New Roman;sans-serif"/>
          <w:b w:val="false"/>
          <w:color w:val="000000"/>
          <w:sz w:val="22"/>
        </w:rPr>
        <w:t>;</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(xxii)    Liens in favor of customs and revenue authorities arising as a matter of law to secure payment of customs duties in connection with the importation of goods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(xxiii)    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(xxiv)    Liens deemed to exist in connection with Investments in repurchase agreements permitted under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such Liens do not extend to any assets other than those that are the subject of such repurchase agreement;</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(xxv)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(xxvi)    Liens that are contractual rights of set-off (a) relating to the establishment of depository relations with banks not given in connection with the issuance of Indebtedness, (b) relating to pooled deposits or sweep accounts of the Borrower or any of the Restricted Subsidiaries to permit satisfaction of overdraft or similar obligations incurred in the ordinary course of business of the Borrower and the Restricted Subsidiaries, or (c) relating to purchase orders and other agreements entered into by the Borrower or any of the Restricted Subsidiaries in the ordinary course of business;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(xxvii)    Liens (a) solely on any cash earnest money deposits made by the Borrower or any of the Restricted Subsidiaries in connection with any letter of intent or purchase agreement permitted under this Agreement or (b) consisting of an agreement to dispose of any property pursuant to a disposition permitted hereunder;</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(xxviii)    rights reserved or vested in any Person by the terms of any lease, license, franchise, grant, or permit held by the Borrower or any of the Restricted Subsidiaries or by a statutory provision, to terminate any such lease, license, franchise, grant, or permit, or to require annual or periodic payments as a condition to the continuance thereof;</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(xxix)    restrictive covenants affecting the use to which real property may be put;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covenants are complied with;</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(xxx)    security given to a public utility or any municipality or governmental authority when required by such utility or authority in connection with the operations of that Person in the ordinary course of business;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(xxxi)    zoning by-laws and other land use restrictions, including, without limitation, site plan agreements, development agreements, and contract zoning agreements;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 xml:space="preserve">(xxxii)    Liens arising out of conditional sale, title retention, consignment, or similar arrangements for sale of goods entered into by Holdings or any Restricted Subsidiary in the ordinary course of business; </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(xxxiii)    Liens arising under the Security Documents;</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(xxxiv)    Liens on goods purchased in the ordinary course of business, the purchase price of which is financed by a documentary letter of credit issued for the account of the Borrower or any of its Subsidiaries;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(xxxv)    (a) Liens on Equity Interests in joint ventures;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any such Lien is in favor of a creditor of such joint venture and such creditor is not an Affiliate of any partner to such joint venture and (b) purchase options, call, and similar rights of, and restrictions for the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a third party with respect to Equity Interests held by the Borrower or any Restricted Subsidiary in joint ventures; </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(xxxvi)    Liens on cash and Cash Equivalents that are earmarked to be used to satisfy or discharge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(xxxvii)    with respect to any Foreign Subsidiary, other Liens and privileges arising mandatorily by any Requirements of Law, and</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2"/>
        </w:rPr>
        <w:t>(xxxviii)    to the extent pursuant to a Requirements of Law, Liens on cash or Permitted Investments securing Swap Agreements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definition, the term “Indebtedness” shall be deemed to include interest on, and fees, expenses and other obligations payable with respect to, such Indebtedness.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Other Indebtedness</w:t>
      </w:r>
      <w:r>
        <w:rPr>
          <w:color w:val="000000"/>
        </w:rPr>
        <w:t xml:space="preserve">” </w:t>
      </w:r>
      <w:r>
        <w:rPr>
          <w:rFonts w:ascii="Times New Roman;sans-serif" w:hAnsi="Times New Roman;sans-serif"/>
          <w:b w:val="false"/>
          <w:color w:val="000000"/>
          <w:sz w:val="22"/>
        </w:rPr>
        <w:t xml:space="preserve">shall mean subordinated or senior Indebtedness (which Indebtedness may (i) be unsecured, (ii) have the same lien priority as the First Lien Obligations (without regard to control of remedies);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Indebtedness is in the form of secured first lien term loans, then such Indebtedness shall be subject to any applicable MFN Protection as if such Indebtedness were New Term Loans, or (iii) be secured by a Lien ranking junior to the Liens securing the First Lien Obligations), (a) except with respect to (x) the Maturity Carveout Amount and (y) customary bridge loans, the terms of which do not provide for any scheduled repayment, mandatory repayment, or redemption or sinking fund obligations prior to, at the time of Incurrence, the Latest Term Loan Maturity Date (or in the case of refinancing Indebtedness, the maturity debt of such Refinanced Indebtedness) (other than, in each case, customary offers or obligations to repurchase or repay upon a change of control, excess cash flow sweep, asset sale, or casualty or condemnation event, AHYDO payments and customary acceleration rights after an event of default), (b) of which no financial maintenance covenant is included for the benefit of any such Indebtedness unless such financial maintenance covenant is also added for the benefit of any corresponding Loans remaining outstanding after the issuance or Incurrence of such Indebtedness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the remaining outstanding Loans or (2) no consent shall be required by the Administrative Agent or any of the Lenders if any covenants are only applicable after the Latest Term Loan Maturity Date) and (c) except with respect to such Indebtedness in an aggregate amount at any time outstanding not to exceed the Non-Credit Party Permitted Other Indebtedness Amount (“</w:t>
      </w:r>
      <w:r>
        <w:rPr>
          <w:rFonts w:ascii="Times New Roman;sans-serif" w:hAnsi="Times New Roman;sans-serif"/>
          <w:b/>
          <w:color w:val="000000"/>
          <w:sz w:val="22"/>
        </w:rPr>
        <w:t>Non-Credit Party Permitted Other Indebtedness</w:t>
      </w:r>
      <w:r>
        <w:rPr>
          <w:color w:val="000000"/>
        </w:rPr>
        <w:t>”</w:t>
      </w:r>
      <w:r>
        <w:rPr>
          <w:rFonts w:ascii="Times New Roman;sans-serif" w:hAnsi="Times New Roman;sans-serif"/>
          <w:b w:val="false"/>
          <w:color w:val="000000"/>
          <w:sz w:val="22"/>
        </w:rPr>
        <w:t>), (A) of which no Subsidiary of Holdings (other than the Borrower or a Guarantor) is an obligor and (B) that, if secured, is not secured by a lien on any assets of Holdings or its Subsidiaries other than the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Other Indebtedness Documents</w:t>
      </w:r>
      <w:r>
        <w:rPr>
          <w:color w:val="000000"/>
        </w:rPr>
        <w:t xml:space="preserve">” </w:t>
      </w:r>
      <w:r>
        <w:rPr>
          <w:rFonts w:ascii="Times New Roman;sans-serif" w:hAnsi="Times New Roman;sans-serif"/>
          <w:b w:val="false"/>
          <w:color w:val="000000"/>
          <w:sz w:val="22"/>
        </w:rPr>
        <w:t>shall mean any document or instrument (including any guarantee, security agreement, or mortgage and which may include any or all of the Credit Documents) issued or executed and delivered with respect to any Permitted Other Indebtedness by the Borrower or any Subsidiary Credit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Other Indebtedness Obligations</w:t>
      </w:r>
      <w:r>
        <w:rPr>
          <w:color w:val="000000"/>
        </w:rPr>
        <w:t xml:space="preserve">” </w:t>
      </w:r>
      <w:r>
        <w:rPr>
          <w:rFonts w:ascii="Times New Roman;sans-serif" w:hAnsi="Times New Roman;sans-serif"/>
          <w:b w:val="false"/>
          <w:color w:val="000000"/>
          <w:sz w:val="22"/>
        </w:rPr>
        <w:t xml:space="preserve">shall mean, if any Permitted Other Indebtedness is issued or incurred, all advances to, and debts, liabilities, obligations, covenants, and duties of, the Borrower or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the Borrower or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Permitted Other Indebtedness Obligations of the Borrower and/or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Person under any Permitted Other Indebtedness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Other Indebtedness Secured Parties</w:t>
      </w:r>
      <w:r>
        <w:rPr>
          <w:color w:val="000000"/>
        </w:rPr>
        <w:t xml:space="preserve">” </w:t>
      </w:r>
      <w:r>
        <w:rPr>
          <w:rFonts w:ascii="Times New Roman;sans-serif" w:hAnsi="Times New Roman;sans-serif"/>
          <w:b w:val="false"/>
          <w:color w:val="000000"/>
          <w:sz w:val="22"/>
        </w:rPr>
        <w:t>shall mean the holders from time to time of secured Permitted Other Indebtedness Obligations (and any representative on their behalf).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Other Provision</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2.14(g)(i)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Sale Leaseback</w:t>
      </w:r>
      <w:r>
        <w:rPr>
          <w:color w:val="000000"/>
        </w:rPr>
        <w:t xml:space="preserve">” </w:t>
      </w:r>
      <w:r>
        <w:rPr>
          <w:rFonts w:ascii="Times New Roman;sans-serif" w:hAnsi="Times New Roman;sans-serif"/>
          <w:b w:val="false"/>
          <w:color w:val="000000"/>
          <w:sz w:val="22"/>
        </w:rPr>
        <w:t xml:space="preserve">shall mean any Sale Leaseback consummated by the Borrower or any of the Restricted Subsidiaries after the Restatement Effective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any such Sale Leaseback not between the Borrower and a Restricted Subsidiary is consummated for fair value as determined at the time of consummation in good faith by (i) the Borrower or such Restricted Subsidiary or (ii) in the case of any Sale Leaseback (or series of related Sales Leasebacks) the aggregate proceeds of which exceed the greater of (a) $192,000,000 and (b) 40% of Consolidated EBITDA for the most recently ended Test Period (calculated on a Pro Forma Basis) at the time of the incurrence of such Sale Leaseback, the board of directors (or analogous governing body) of the Borrower or such Restricted Subsidiary (which such determination may take into account any retained interest or other Investment of the Borrower or such Restricted Subsidiary in connection with, and any other material economic terms of, such Sale Leaseback).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shall mean any individual, partnership, joint venture, firm, corporation, limited liability company, association, trust, or other enterprise or any Governmental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Plan</w:t>
      </w:r>
      <w:r>
        <w:rPr>
          <w:color w:val="000000"/>
        </w:rPr>
        <w:t xml:space="preserve">” </w:t>
      </w:r>
      <w:r>
        <w:rPr>
          <w:rFonts w:ascii="Times New Roman;sans-serif" w:hAnsi="Times New Roman;sans-serif"/>
          <w:b w:val="false"/>
          <w:color w:val="000000"/>
          <w:sz w:val="22"/>
        </w:rPr>
        <w:t>shall mean, other than any “multiemployer plan” (as defined in Section 3(37) of ERISA),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with respect to any such plan that is that is subject to Title IV of ERISA, Section 302 of ERISA or Section 412 of the Code, any ERISA Affiliate is (or, if such Plan were terminated, would under Section 4062 or Section 4069 of ERISA be reasonably likely to be deemed to be) an “employer” as defined in Section 3(5)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Platform</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13.17(a)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Pledge Agreement</w:t>
      </w:r>
      <w:r>
        <w:rPr>
          <w:color w:val="000000"/>
        </w:rPr>
        <w:t xml:space="preserve">” </w:t>
      </w:r>
      <w:r>
        <w:rPr>
          <w:rFonts w:ascii="Times New Roman;sans-serif" w:hAnsi="Times New Roman;sans-serif"/>
          <w:b w:val="false"/>
          <w:color w:val="000000"/>
          <w:sz w:val="22"/>
        </w:rPr>
        <w:t xml:space="preserve">shall mean the Amended and Restated Pledge Agreement, entered into by the Credit Parties party thereto and the Collateral Agent for the benefit of the Secured Parties, substantially in the form of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Post-Acquisition Period</w:t>
      </w:r>
      <w:r>
        <w:rPr>
          <w:color w:val="000000"/>
        </w:rPr>
        <w:t xml:space="preserve">” </w:t>
      </w:r>
      <w:r>
        <w:rPr>
          <w:rFonts w:ascii="Times New Roman;sans-serif" w:hAnsi="Times New Roman;sans-serif"/>
          <w:b w:val="false"/>
          <w:color w:val="000000"/>
          <w:sz w:val="22"/>
        </w:rPr>
        <w:t>shall mean, with respect to any Permitted Acquisition, the period beginning on the date such Permitted Acquisition is consummated and ending on the last day of the sixth full consecutive fiscal quarter immediately following the date on which such Permitted Acquisition is consummated.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Prepayment Event</w:t>
      </w:r>
      <w:r>
        <w:rPr>
          <w:color w:val="000000"/>
        </w:rPr>
        <w:t xml:space="preserve">” </w:t>
      </w:r>
      <w:r>
        <w:rPr>
          <w:rFonts w:ascii="Times New Roman;sans-serif" w:hAnsi="Times New Roman;sans-serif"/>
          <w:b w:val="false"/>
          <w:color w:val="000000"/>
          <w:sz w:val="22"/>
        </w:rPr>
        <w:t>shall mean any Asset Sale Prepayment Event, Debt Incurrence Prepayment Event, Casualty Event, or any Permitted Sale Leaseback.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primary obligor</w:t>
      </w:r>
      <w:r>
        <w:rPr>
          <w:color w:val="000000"/>
        </w:rPr>
        <w:t xml:space="preserve">” </w:t>
      </w:r>
      <w:r>
        <w:rPr>
          <w:rFonts w:ascii="Times New Roman;sans-serif" w:hAnsi="Times New Roman;sans-serif"/>
          <w:b w:val="false"/>
          <w:color w:val="000000"/>
          <w:sz w:val="22"/>
        </w:rPr>
        <w:t>shall have the meaning provided such term in the definition of Contingent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Prime Rate</w:t>
      </w:r>
      <w:r>
        <w:rPr>
          <w:color w:val="000000"/>
        </w:rPr>
        <w:t xml:space="preserve">” </w:t>
      </w:r>
      <w:r>
        <w:rPr>
          <w:rFonts w:ascii="Times New Roman;sans-serif" w:hAnsi="Times New Roman;sans-serif"/>
          <w:b w:val="false"/>
          <w:color w:val="000000"/>
          <w:sz w:val="22"/>
        </w:rPr>
        <w:t>shall mean the “prime rate” referred to in the definition of ABR.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 Forma Adjustment</w:t>
      </w:r>
      <w:r>
        <w:rPr>
          <w:color w:val="000000"/>
        </w:rPr>
        <w:t xml:space="preserve">” </w:t>
      </w:r>
      <w:r>
        <w:rPr>
          <w:rFonts w:ascii="Times New Roman;sans-serif" w:hAnsi="Times New Roman;sans-serif"/>
          <w:b w:val="false"/>
          <w:color w:val="000000"/>
          <w:sz w:val="22"/>
        </w:rPr>
        <w:t xml:space="preserve">shall mean, for any Test Period that includes all or any part of a fiscal quarter included in any Post-Acquisition Period, with respect to the Acquired EBITDA of the applicable Acquired Entity or Business or Converted Restricted Subsidiary or the Consolidated EBITDA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Borrower, the pro forma increase or decrease in such Acquired EBITDA or such Consolidated EBITDA, as the case may be, projected by the Borrower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 at the election of the Borrower,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 Forma Basis</w:t>
      </w:r>
      <w:r>
        <w:rPr>
          <w:rFonts w:ascii="Times New Roman;sans-serif" w:hAnsi="Times New Roman;sans-serif"/>
          <w:b w:val="false"/>
          <w:color w:val="000000"/>
          <w:sz w:val="22"/>
        </w:rPr>
        <w:t>,”</w:t>
      </w:r>
      <w:r>
        <w:rPr>
          <w:color w:val="000000"/>
        </w:rPr>
        <w:t xml:space="preserve"> “</w:t>
      </w:r>
      <w:r>
        <w:rPr>
          <w:rFonts w:ascii="Times New Roman;sans-serif" w:hAnsi="Times New Roman;sans-serif"/>
          <w:b/>
          <w:color w:val="000000"/>
          <w:sz w:val="22"/>
        </w:rPr>
        <w:t>Pro Forma Compliance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Pro Forma Effect</w:t>
      </w:r>
      <w:r>
        <w:rPr>
          <w:color w:val="000000"/>
        </w:rPr>
        <w:t xml:space="preserve">” </w:t>
      </w:r>
      <w:r>
        <w:rPr>
          <w:rFonts w:ascii="Times New Roman;sans-serif" w:hAnsi="Times New Roman;sans-serif"/>
          <w:b w:val="false"/>
          <w:color w:val="000000"/>
          <w:sz w:val="22"/>
        </w:rPr>
        <w:t xml:space="preserve">shall mean, with respect to compliance with any test, financial ratio, or covenant hereunder, that (i) to the extent applicable, a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the Borrower or any division, product line, or facility used for operations of the Borrower 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the Borrower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without limiting the application of the Pro Forma Adjustment pursuant to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the Borrower or any of the Restricted Subsidiaries, and (3) factually supportable or (y) otherwise consistent with the definition of Pro Forma Adjustment.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 Forma Entity</w:t>
      </w:r>
      <w:r>
        <w:rPr>
          <w:color w:val="000000"/>
        </w:rPr>
        <w:t xml:space="preserve">” </w:t>
      </w:r>
      <w:r>
        <w:rPr>
          <w:rFonts w:ascii="Times New Roman;sans-serif" w:hAnsi="Times New Roman;sans-serif"/>
          <w:b w:val="false"/>
          <w:color w:val="000000"/>
          <w:sz w:val="22"/>
        </w:rPr>
        <w:t>shall have the meaning provided in the definition of the term Acquired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 Forma Financial Statements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Prohibited Transaction</w:t>
      </w:r>
      <w:r>
        <w:rPr>
          <w:color w:val="000000"/>
        </w:rPr>
        <w:t xml:space="preserve">” </w:t>
      </w:r>
      <w:r>
        <w:rPr>
          <w:rFonts w:ascii="Times New Roman;sans-serif" w:hAnsi="Times New Roman;sans-serif"/>
          <w:b w:val="false"/>
          <w:color w:val="000000"/>
          <w:sz w:val="22"/>
        </w:rPr>
        <w:t>shall have the meaning assigned to such term in Section 406 of ERISA and Section 4975(c)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Public Company Costs</w:t>
      </w:r>
      <w:r>
        <w:rPr>
          <w:color w:val="000000"/>
        </w:rPr>
        <w:t xml:space="preserve">” </w:t>
      </w:r>
      <w:r>
        <w:rPr>
          <w:rFonts w:ascii="Times New Roman;sans-serif" w:hAnsi="Times New Roman;sans-serif"/>
          <w:b w:val="false"/>
          <w:color w:val="000000"/>
          <w:sz w:val="22"/>
        </w:rPr>
        <w:t xml:space="preserve">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debtholders, directors’ and officers’ insurance and other executive costs, legal and other professional fees, and listing fees.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Qualified Proceeds</w:t>
      </w:r>
      <w:r>
        <w:rPr>
          <w:color w:val="000000"/>
        </w:rPr>
        <w:t xml:space="preserve">” </w:t>
      </w:r>
      <w:r>
        <w:rPr>
          <w:rFonts w:ascii="Times New Roman;sans-serif" w:hAnsi="Times New Roman;sans-serif"/>
          <w:b w:val="false"/>
          <w:color w:val="000000"/>
          <w:sz w:val="22"/>
        </w:rPr>
        <w:t>shall mean assets that are used or useful in, or Capital Stock of any Person engaged in, a Similar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Qualified Stock</w:t>
      </w:r>
      <w:r>
        <w:rPr>
          <w:color w:val="000000"/>
        </w:rPr>
        <w:t xml:space="preserve">” </w:t>
      </w:r>
      <w:r>
        <w:rPr>
          <w:rFonts w:ascii="Times New Roman;sans-serif" w:hAnsi="Times New Roman;sans-serif"/>
          <w:b w:val="false"/>
          <w:color w:val="000000"/>
          <w:sz w:val="22"/>
        </w:rPr>
        <w:t>of any Person shall mean Capital Stock of such Person other than Disqualified Stock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Real Estate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9.1(f)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Receivables Assets</w:t>
      </w:r>
      <w:r>
        <w:rPr>
          <w:color w:val="000000"/>
          <w:shd w:fill="FFFFFF" w:val="clear"/>
        </w:rPr>
        <w:t xml:space="preserve">” </w:t>
      </w:r>
      <w:r>
        <w:rPr>
          <w:rFonts w:ascii="Times New Roman;sans-serif" w:hAnsi="Times New Roman;sans-serif"/>
          <w:b w:val="false"/>
          <w:color w:val="000000"/>
          <w:sz w:val="22"/>
          <w:shd w:fill="FFFFFF" w:val="clear"/>
        </w:rPr>
        <w:t>means (a) the accounts receivable, royalties or other revenue streams, (b) rights to payment (including pursuant to the terms of Joint Ventures) subject to a Receivables Facility and (c) other assets customarily transferred together with any of the foregoing in a Receivables Facility and the proceeds thereof, including for the avoidance of doubt the underlying assets and related contracts generating any such receivables, royalties, revenue or rights to payment.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Receivables Facility</w:t>
      </w:r>
      <w:r>
        <w:rPr>
          <w:color w:val="000000"/>
        </w:rPr>
        <w:t xml:space="preserve">” </w:t>
      </w:r>
      <w:r>
        <w:rPr>
          <w:rFonts w:ascii="Times New Roman;sans-serif" w:hAnsi="Times New Roman;sans-serif"/>
          <w:b w:val="false"/>
          <w:color w:val="000000"/>
          <w:sz w:val="22"/>
        </w:rPr>
        <w:t>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Receivables Assets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Receivables Fee</w:t>
      </w:r>
      <w:r>
        <w:rPr>
          <w:color w:val="000000"/>
        </w:rPr>
        <w:t xml:space="preserve">” </w:t>
      </w:r>
      <w:r>
        <w:rPr>
          <w:rFonts w:ascii="Times New Roman;sans-serif" w:hAnsi="Times New Roman;sans-serif"/>
          <w:b w:val="false"/>
          <w:color w:val="000000"/>
          <w:sz w:val="22"/>
        </w:rPr>
        <w:t>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Receivables Subsidiary</w:t>
      </w:r>
      <w:r>
        <w:rPr>
          <w:color w:val="000000"/>
        </w:rPr>
        <w:t xml:space="preserve">” </w:t>
      </w:r>
      <w:r>
        <w:rPr>
          <w:rFonts w:ascii="Times New Roman;sans-serif" w:hAnsi="Times New Roman;sans-serif"/>
          <w:b w:val="false"/>
          <w:color w:val="000000"/>
          <w:sz w:val="22"/>
        </w:rPr>
        <w:t>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the Borrower or any Subsidiary makes an Investment and to which the Borrower or any Subsidiary transfers accounts receivables and related assets.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Reference Time</w:t>
      </w:r>
      <w:r>
        <w:rPr>
          <w:color w:val="000000"/>
        </w:rPr>
        <w:t xml:space="preserve">” </w:t>
      </w:r>
      <w:r>
        <w:rPr>
          <w:rFonts w:ascii="Times New Roman;sans-serif" w:hAnsi="Times New Roman;sans-serif"/>
          <w:b/>
          <w:color w:val="0000FF"/>
          <w:sz w:val="22"/>
          <w:u w:val="single"/>
        </w:rPr>
        <w:t xml:space="preserve">shall mean, </w:t>
      </w:r>
      <w:r>
        <w:rPr>
          <w:rFonts w:ascii="Times New Roman;sans-serif" w:hAnsi="Times New Roman;sans-serif"/>
          <w:b w:val="false"/>
          <w:color w:val="000000"/>
          <w:sz w:val="22"/>
        </w:rPr>
        <w:t>with respect to any setting of the then-current Benchmark</w:t>
      </w:r>
      <w:r>
        <w:rPr>
          <w:strike/>
          <w:color w:val="FF0000"/>
        </w:rPr>
        <w:t xml:space="preserve"> </w:t>
      </w:r>
      <w:r>
        <w:rPr>
          <w:rFonts w:ascii="Times New Roman;sans-serif" w:hAnsi="Times New Roman;sans-serif"/>
          <w:b/>
          <w:strike/>
          <w:color w:val="FF0000"/>
          <w:sz w:val="22"/>
        </w:rPr>
        <w:t>means (1) if such Benchmark is the LIBOR Rate, 11:00 a.m. (London time) on the day that is two London banking days preceding the date of such setting, and (2) if such Benchmark is not the LIBOR Rate</w:t>
      </w:r>
      <w:r>
        <w:rPr>
          <w:rFonts w:ascii="Times New Roman;sans-serif" w:hAnsi="Times New Roman;sans-serif"/>
          <w:b w:val="false"/>
          <w:color w:val="000000"/>
          <w:sz w:val="22"/>
        </w:rPr>
        <w:t>, the time determined by the Administrative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Refinanced Term Loans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Refinancing Indebtedness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10.1(m)</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Refinancing Permitted Other Indebtedness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10.1(x)</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Refunding Capital Stock</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10.5(b)(2)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Register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13.6(b)(iv)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Regulation T</w:t>
      </w:r>
      <w:r>
        <w:rPr>
          <w:color w:val="000000"/>
        </w:rPr>
        <w:t xml:space="preserve">” </w:t>
      </w:r>
      <w:r>
        <w:rPr>
          <w:rFonts w:ascii="Times New Roman;sans-serif" w:hAnsi="Times New Roman;sans-serif"/>
          <w:b w:val="false"/>
          <w:color w:val="000000"/>
          <w:sz w:val="22"/>
        </w:rPr>
        <w:t>shall mean Regulation T of the Board as from time to time in effect and any successor to all or a portion thereof establishing margin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Regulation U</w:t>
      </w:r>
      <w:r>
        <w:rPr>
          <w:color w:val="000000"/>
        </w:rPr>
        <w:t xml:space="preserve">” </w:t>
      </w:r>
      <w:r>
        <w:rPr>
          <w:rFonts w:ascii="Times New Roman;sans-serif" w:hAnsi="Times New Roman;sans-serif"/>
          <w:b w:val="false"/>
          <w:color w:val="000000"/>
          <w:sz w:val="22"/>
        </w:rPr>
        <w:t>shall mean Regulation U of the Board as from time to time in effect and any successor to all or a portion thereof establishing margin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Regulation X</w:t>
      </w:r>
      <w:r>
        <w:rPr>
          <w:color w:val="000000"/>
        </w:rPr>
        <w:t xml:space="preserve">” </w:t>
      </w:r>
      <w:r>
        <w:rPr>
          <w:rFonts w:ascii="Times New Roman;sans-serif" w:hAnsi="Times New Roman;sans-serif"/>
          <w:b w:val="false"/>
          <w:color w:val="000000"/>
          <w:sz w:val="22"/>
        </w:rPr>
        <w:t>shall mean Regulation X of the Board as from time to time in effect and any successor to all or a portion thereof establishing margin requirements.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Reinvestment Period</w:t>
      </w:r>
      <w:r>
        <w:rPr>
          <w:color w:val="000000"/>
        </w:rPr>
        <w:t xml:space="preserve">” </w:t>
      </w:r>
      <w:r>
        <w:rPr>
          <w:rFonts w:ascii="Times New Roman;sans-serif" w:hAnsi="Times New Roman;sans-serif"/>
          <w:b w:val="false"/>
          <w:color w:val="000000"/>
          <w:sz w:val="22"/>
        </w:rPr>
        <w:t>shall mean 540 days following the date of receipt of Net Cash Proceeds of an Asset Sale Prepayment Event, Casualty Event, or Permitted Sale Leaseback.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Rejection Notice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5.2(f)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Related Business Assets</w:t>
      </w:r>
      <w:r>
        <w:rPr>
          <w:color w:val="000000"/>
        </w:rPr>
        <w:t xml:space="preserve">” </w:t>
      </w:r>
      <w:r>
        <w:rPr>
          <w:rFonts w:ascii="Times New Roman;sans-serif" w:hAnsi="Times New Roman;sans-serif"/>
          <w:b w:val="false"/>
          <w:color w:val="000000"/>
          <w:sz w:val="22"/>
        </w:rPr>
        <w:t xml:space="preserve">shall mean assets (other than cash or Cash Equivalents) used or useful in a Similar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any assets received by the Borrower or the Restricted Subsidiaries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Related Fund</w:t>
      </w:r>
      <w:r>
        <w:rPr>
          <w:color w:val="000000"/>
        </w:rPr>
        <w:t xml:space="preserve">” </w:t>
      </w:r>
      <w:r>
        <w:rPr>
          <w:rFonts w:ascii="Times New Roman;sans-serif" w:hAnsi="Times New Roman;sans-serif"/>
          <w:b w:val="false"/>
          <w:color w:val="000000"/>
          <w:sz w:val="22"/>
        </w:rPr>
        <w:t>shall mean, with respect to any Lender that is a Fund, any other Fund that is advised or managed by (a) such Lender, (b) an Affiliate of such Lender or (c) an entity or an Affiliate of such entity that administers, advises or manages such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Related Parties</w:t>
      </w:r>
      <w:r>
        <w:rPr>
          <w:color w:val="000000"/>
        </w:rPr>
        <w:t xml:space="preserve">” </w:t>
      </w:r>
      <w:r>
        <w:rPr>
          <w:rFonts w:ascii="Times New Roman;sans-serif" w:hAnsi="Times New Roman;sans-serif"/>
          <w:b w:val="false"/>
          <w:color w:val="000000"/>
          <w:sz w:val="22"/>
        </w:rPr>
        <w:t>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Release</w:t>
      </w:r>
      <w:r>
        <w:rPr>
          <w:color w:val="000000"/>
        </w:rPr>
        <w:t xml:space="preserve">” </w:t>
      </w:r>
      <w:r>
        <w:rPr>
          <w:rFonts w:ascii="Times New Roman;sans-serif" w:hAnsi="Times New Roman;sans-serif"/>
          <w:b w:val="false"/>
          <w:color w:val="000000"/>
          <w:sz w:val="22"/>
        </w:rPr>
        <w:t>shall mean any release, spill, emission, discharge, disposal, escaping, leaking, pumping, pouring, dumping, emptying, injection, or leaching into or migration through the environment.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Relevant Governmental Body</w:t>
      </w:r>
      <w:r>
        <w:rPr>
          <w:color w:val="000000"/>
        </w:rPr>
        <w:t xml:space="preserve">” </w:t>
      </w:r>
      <w:r>
        <w:rPr>
          <w:rFonts w:ascii="Times New Roman;sans-serif" w:hAnsi="Times New Roman;sans-serif"/>
          <w:b w:val="false"/>
          <w:color w:val="000000"/>
          <w:sz w:val="22"/>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Removal Effective Date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12.9(b)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Repayment Amount</w:t>
      </w:r>
      <w:r>
        <w:rPr>
          <w:color w:val="000000"/>
        </w:rPr>
        <w:t xml:space="preserve">” </w:t>
      </w:r>
      <w:r>
        <w:rPr>
          <w:rFonts w:ascii="Times New Roman;sans-serif" w:hAnsi="Times New Roman;sans-serif"/>
          <w:b w:val="false"/>
          <w:color w:val="000000"/>
          <w:sz w:val="22"/>
        </w:rPr>
        <w:t>shall mean the Initial Term Loan Repayment Amount, a New Term Loan Repayment Amount with respect to any Series, or an Extended Term Loan Repayment Amount with respect to any Extension Series,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Replacement Term Loan Commitment</w:t>
      </w:r>
      <w:r>
        <w:rPr>
          <w:color w:val="000000"/>
        </w:rPr>
        <w:t xml:space="preserve">” </w:t>
      </w:r>
      <w:r>
        <w:rPr>
          <w:rFonts w:ascii="Times New Roman;sans-serif" w:hAnsi="Times New Roman;sans-serif"/>
          <w:b w:val="false"/>
          <w:color w:val="000000"/>
          <w:sz w:val="22"/>
        </w:rPr>
        <w:t>shall mean the commitments of the Lenders to make Replacement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Replacement Term Loans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Reportable Event</w:t>
      </w:r>
      <w:r>
        <w:rPr>
          <w:color w:val="000000"/>
        </w:rPr>
        <w:t xml:space="preserve">” </w:t>
      </w:r>
      <w:r>
        <w:rPr>
          <w:rFonts w:ascii="Times New Roman;sans-serif" w:hAnsi="Times New Roman;sans-serif"/>
          <w:b w:val="false"/>
          <w:color w:val="000000"/>
          <w:sz w:val="22"/>
        </w:rPr>
        <w:t>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DOL Reg. § 4043.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Repricing Transaction</w:t>
      </w:r>
      <w:r>
        <w:rPr>
          <w:color w:val="000000"/>
        </w:rPr>
        <w:t xml:space="preserve">” </w:t>
      </w:r>
      <w:r>
        <w:rPr>
          <w:rFonts w:ascii="Times New Roman;sans-serif" w:hAnsi="Times New Roman;sans-serif"/>
          <w:b w:val="false"/>
          <w:color w:val="000000"/>
          <w:sz w:val="22"/>
        </w:rPr>
        <w:t xml:space="preserve">shall mean (i) the incurrence by the Borrower of any Indebtedness in the form of a similar term B loan that is broadly marketed or syndicated to banks and other institutional investors (a) having an Effective Yield for the respective Type of such Indebtedness that is less than the Effective Yield for the Initial Term Loans of the respective equivalent Type, but excluding Indebtedness incurred in connection with a Change of Control, Transformative Acquisition or Transformative Disposition and (b) the proceeds of which are used to prepay (or, in the case of a conversion, deemed to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prepay or replace), in whole or in part, outstanding principal of Initial Term Loans or (ii) any effective reduction in the Effective Yield for the Initial Term Loans (e.g., by way of amendment, waiver or otherwise), except for a reduction in connection with a Change of Control, Transformative Acquisition or Transformative Disposition. Any determination by the Administrative Agent with respect to whether a Repricing Transaction shall have occurred shall be conclusive and binding on all Lenders holding the Initial Term Loans.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Required Lenders</w:t>
      </w:r>
      <w:r>
        <w:rPr>
          <w:color w:val="000000"/>
        </w:rPr>
        <w:t xml:space="preserve">” </w:t>
      </w:r>
      <w:r>
        <w:rPr>
          <w:rFonts w:ascii="Times New Roman;sans-serif" w:hAnsi="Times New Roman;sans-serif"/>
          <w:b w:val="false"/>
          <w:color w:val="000000"/>
          <w:sz w:val="22"/>
        </w:rPr>
        <w:t>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Requirements of Law</w:t>
      </w:r>
      <w:r>
        <w:rPr>
          <w:color w:val="000000"/>
        </w:rPr>
        <w:t xml:space="preserve">” </w:t>
      </w:r>
      <w:r>
        <w:rPr>
          <w:rFonts w:ascii="Times New Roman;sans-serif" w:hAnsi="Times New Roman;sans-serif"/>
          <w:b w:val="false"/>
          <w:color w:val="000000"/>
          <w:sz w:val="22"/>
        </w:rPr>
        <w:t>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Resignation Effective Date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12.9(a)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Restatement Effective Date</w:t>
      </w:r>
      <w:r>
        <w:rPr>
          <w:color w:val="000000"/>
        </w:rPr>
        <w:t xml:space="preserve">” </w:t>
      </w:r>
      <w:r>
        <w:rPr>
          <w:rFonts w:ascii="Times New Roman;sans-serif" w:hAnsi="Times New Roman;sans-serif"/>
          <w:b w:val="false"/>
          <w:color w:val="000000"/>
          <w:sz w:val="22"/>
        </w:rPr>
        <w:t>shall mean the Amendment No. 3 Effective Date (as defined in Amendment No. 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Restatement Effective Date Refinancing</w:t>
      </w:r>
      <w:r>
        <w:rPr>
          <w:color w:val="000000"/>
        </w:rPr>
        <w:t xml:space="preserve">” </w:t>
      </w:r>
      <w:r>
        <w:rPr>
          <w:rFonts w:ascii="Times New Roman;sans-serif" w:hAnsi="Times New Roman;sans-serif"/>
          <w:b w:val="false"/>
          <w:color w:val="000000"/>
          <w:sz w:val="22"/>
        </w:rPr>
        <w:t xml:space="preserve">shall mean the repayment, repurchase, redemption, defeasance or other discharge of the Existing Debt Facilities and termination and/or release of any security interests and guarantees in connection therewith (other than as set forth in </w:t>
      </w:r>
      <w:r>
        <w:rPr>
          <w:rFonts w:ascii="Times New Roman;sans-serif" w:hAnsi="Times New Roman;sans-serif"/>
          <w:b w:val="false"/>
          <w:color w:val="000000"/>
          <w:sz w:val="22"/>
          <w:u w:val="single"/>
        </w:rPr>
        <w:t>Section 13.23</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Restricted Investment</w:t>
      </w:r>
      <w:r>
        <w:rPr>
          <w:color w:val="000000"/>
        </w:rPr>
        <w:t xml:space="preserve">” </w:t>
      </w:r>
      <w:r>
        <w:rPr>
          <w:rFonts w:ascii="Times New Roman;sans-serif" w:hAnsi="Times New Roman;sans-serif"/>
          <w:b w:val="false"/>
          <w:color w:val="000000"/>
          <w:sz w:val="22"/>
        </w:rPr>
        <w:t>shall mean an Investment other than a Permitted Investment.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Restricted Payment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Restricted Subsidiary</w:t>
      </w:r>
      <w:r>
        <w:rPr>
          <w:color w:val="000000"/>
        </w:rPr>
        <w:t xml:space="preserve">” </w:t>
      </w:r>
      <w:r>
        <w:rPr>
          <w:rFonts w:ascii="Times New Roman;sans-serif" w:hAnsi="Times New Roman;sans-serif"/>
          <w:b w:val="false"/>
          <w:color w:val="000000"/>
          <w:sz w:val="22"/>
        </w:rPr>
        <w:t>shall mean any Subsidiary of the Borrower other than an Unrestricted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Retained Asset Sale Proceeds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Retained Declined Proceeds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5.2(f)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Retired Capital Stock</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10.5(b)(2)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S&amp;P</w:t>
      </w:r>
      <w:r>
        <w:rPr>
          <w:color w:val="000000"/>
        </w:rPr>
        <w:t xml:space="preserve">” </w:t>
      </w:r>
      <w:r>
        <w:rPr>
          <w:rFonts w:ascii="Times New Roman;sans-serif" w:hAnsi="Times New Roman;sans-serif"/>
          <w:b w:val="false"/>
          <w:color w:val="000000"/>
          <w:sz w:val="22"/>
        </w:rPr>
        <w:t>shall mean Standard &amp; Poor’s Ratings Services or any successor by merger or consolidation to its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Sale Leaseback</w:t>
      </w:r>
      <w:r>
        <w:rPr>
          <w:color w:val="000000"/>
        </w:rPr>
        <w:t xml:space="preserve">” </w:t>
      </w:r>
      <w:r>
        <w:rPr>
          <w:rFonts w:ascii="Times New Roman;sans-serif" w:hAnsi="Times New Roman;sans-serif"/>
          <w:b w:val="false"/>
          <w:color w:val="000000"/>
          <w:sz w:val="22"/>
        </w:rPr>
        <w:t>shall mean any arrangement with any Person providing for the leasing by the Borrower or any Restricted Subsidiary of any real or tangible personal property, which property has been or is to be sold or transferred by the Borrower or such Restricted Subsidiary to such Person in contemplation of such leasing.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Sanctioned Country</w:t>
      </w:r>
      <w:r>
        <w:rPr>
          <w:color w:val="000000"/>
        </w:rPr>
        <w:t xml:space="preserve">” </w:t>
      </w:r>
      <w:r>
        <w:rPr>
          <w:rFonts w:ascii="Times New Roman;sans-serif" w:hAnsi="Times New Roman;sans-serif"/>
          <w:b w:val="false"/>
          <w:color w:val="000000"/>
          <w:sz w:val="22"/>
        </w:rPr>
        <w:t>means any country or territory that may, from time to time, be the target of Sanctions (presently, Cuba, Iran, North Korea, Syria, or the Crimea region of Ukraine).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Sanctioned Person</w:t>
      </w:r>
      <w:r>
        <w:rPr>
          <w:color w:val="000000"/>
        </w:rPr>
        <w:t xml:space="preserve">” </w:t>
      </w:r>
      <w:r>
        <w:rPr>
          <w:rFonts w:ascii="Times New Roman;sans-serif" w:hAnsi="Times New Roman;sans-serif"/>
          <w:b w:val="false"/>
          <w:color w:val="000000"/>
          <w:sz w:val="22"/>
        </w:rPr>
        <w:t xml:space="preserve">means any Person that is the target of Sanctions, including: (a) any Person listed in any list of designated Persons maintained by OFAC or other applicable U.S. or non-U.S. authority under Sanctions; (b) any Person 50% or more owned or, where relevant under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Sanctions, controlled by any such Person or Persons or acting for or on behalf of such Person; or (c) any person organized or ordinarily resident in a Sanctioned Country.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Sanctions</w:t>
      </w:r>
      <w:r>
        <w:rPr>
          <w:color w:val="000000"/>
        </w:rPr>
        <w:t xml:space="preserve">” </w:t>
      </w:r>
      <w:r>
        <w:rPr>
          <w:rFonts w:ascii="Times New Roman;sans-serif" w:hAnsi="Times New Roman;sans-serif"/>
          <w:b w:val="false"/>
          <w:color w:val="000000"/>
          <w:sz w:val="22"/>
        </w:rPr>
        <w:t>means comprehensive economic or financial sanctions or trade embargoes imposed, administered or enforced from time to time by (a) the U.S. government, including those administered by the OFAC or (b) any other applicable governmental entities of other countries, regions or jurisdictions.</w:t>
      </w:r>
    </w:p>
    <w:p>
      <w:pPr>
        <w:pStyle w:val="TextBody"/>
        <w:bidi w:val="0"/>
        <w:spacing w:lineRule="auto" w:line="240" w:before="0" w:after="240"/>
        <w:ind w:left="0" w:right="0" w:firstLine="720"/>
        <w:jc w:val="both"/>
        <w:rPr/>
      </w:pPr>
      <w:r>
        <w:rPr>
          <w:strike/>
          <w:color w:val="FF0000"/>
        </w:rPr>
        <w:t>“</w:t>
      </w:r>
      <w:r>
        <w:rPr>
          <w:rFonts w:ascii="Times New Roman;sans-serif" w:hAnsi="Times New Roman;sans-serif"/>
          <w:b/>
          <w:strike/>
          <w:color w:val="FF0000"/>
          <w:sz w:val="22"/>
        </w:rPr>
        <w:t xml:space="preserve">Scheduled Unavailability Date” shall have the meaning provided in </w:t>
      </w:r>
      <w:r>
        <w:rPr>
          <w:rFonts w:ascii="Times New Roman;sans-serif" w:hAnsi="Times New Roman;sans-serif"/>
          <w:b/>
          <w:strike/>
          <w:color w:val="FF0000"/>
          <w:sz w:val="22"/>
          <w:u w:val="single"/>
        </w:rPr>
        <w:t>Section 3.1(b)</w:t>
      </w:r>
      <w:r>
        <w:rPr>
          <w:rFonts w:ascii="Times New Roman;sans-serif" w:hAnsi="Times New Roman;sans-serif"/>
          <w:b/>
          <w:strike/>
          <w:color w:val="FF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shall mean the Securities and Exchange Commission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Second Lien Intercreditor Agreement</w:t>
      </w:r>
      <w:r>
        <w:rPr>
          <w:color w:val="000000"/>
        </w:rPr>
        <w:t xml:space="preserve">” </w:t>
      </w:r>
      <w:r>
        <w:rPr>
          <w:rFonts w:ascii="Times New Roman;sans-serif" w:hAnsi="Times New Roman;sans-serif"/>
          <w:b w:val="false"/>
          <w:color w:val="000000"/>
          <w:sz w:val="22"/>
        </w:rPr>
        <w:t xml:space="preserve">shall mean a First Lien/Second Lien Intercreditor Agreement substantially in the form of </w:t>
      </w:r>
      <w:r>
        <w:rPr>
          <w:rFonts w:ascii="Times New Roman;sans-serif" w:hAnsi="Times New Roman;sans-serif"/>
          <w:b w:val="false"/>
          <w:color w:val="000000"/>
          <w:sz w:val="22"/>
          <w:u w:val="single"/>
        </w:rPr>
        <w:t>Exhibit I-2</w:t>
      </w:r>
      <w:r>
        <w:rPr>
          <w:color w:val="000000"/>
        </w:rPr>
        <w:t xml:space="preserve"> </w:t>
      </w:r>
      <w:r>
        <w:rPr>
          <w:rFonts w:ascii="Times New Roman;sans-serif" w:hAnsi="Times New Roman;sans-serif"/>
          <w:b w:val="false"/>
          <w:color w:val="000000"/>
          <w:sz w:val="22"/>
        </w:rPr>
        <w:t>(with such changes to such form as may be reasonably acceptable to the Administrative Agent and the Borrower) among the Administrative Agent, the Collateral Agent and the representatives for purposes thereof of any other Permitted Other Indebtedness Secured Parties that are holders of Permitted Other Indebtedness Obligations having a Lien on the Collateral ranking junior to the Lien securing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Section 2.14 Additional Amendment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2.14(g)(iv)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Section 9.1</w:t>
      </w:r>
      <w:r>
        <w:rPr>
          <w:color w:val="000000"/>
        </w:rPr>
        <w:t xml:space="preserve"> </w:t>
      </w:r>
      <w:r>
        <w:rPr>
          <w:rFonts w:ascii="Times New Roman;sans-serif" w:hAnsi="Times New Roman;sans-serif"/>
          <w:b/>
          <w:color w:val="000000"/>
          <w:sz w:val="22"/>
        </w:rPr>
        <w:t>Financials</w:t>
      </w:r>
      <w:r>
        <w:rPr>
          <w:color w:val="000000"/>
        </w:rPr>
        <w:t xml:space="preserve">” </w:t>
      </w:r>
      <w:r>
        <w:rPr>
          <w:rFonts w:ascii="Times New Roman;sans-serif" w:hAnsi="Times New Roman;sans-serif"/>
          <w:b w:val="false"/>
          <w:color w:val="000000"/>
          <w:sz w:val="22"/>
        </w:rPr>
        <w:t xml:space="preserve">shall mean the financial statements delivered, or required to be delivered, pursuant to </w:t>
      </w:r>
      <w:r>
        <w:rPr>
          <w:rFonts w:ascii="Times New Roman;sans-serif" w:hAnsi="Times New Roman;sans-serif"/>
          <w:b w:val="false"/>
          <w:color w:val="000000"/>
          <w:sz w:val="22"/>
          <w:u w:val="single"/>
        </w:rPr>
        <w:t>Section 9.1(a)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together with the accompanying officer’s certificate delivered, or required to be delivered, pursuant to </w:t>
      </w:r>
      <w:r>
        <w:rPr>
          <w:rFonts w:ascii="Times New Roman;sans-serif" w:hAnsi="Times New Roman;sans-serif"/>
          <w:b w:val="false"/>
          <w:color w:val="000000"/>
          <w:sz w:val="22"/>
          <w:u w:val="single"/>
        </w:rPr>
        <w:t>Section 9.1(d)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Secured Cash Management Agreement</w:t>
      </w:r>
      <w:r>
        <w:rPr>
          <w:color w:val="000000"/>
        </w:rPr>
        <w:t xml:space="preserve">” </w:t>
      </w:r>
      <w:r>
        <w:rPr>
          <w:rFonts w:ascii="Times New Roman;sans-serif" w:hAnsi="Times New Roman;sans-serif"/>
          <w:b w:val="false"/>
          <w:color w:val="000000"/>
          <w:sz w:val="22"/>
        </w:rPr>
        <w:t>shall mean any Cash Management Agreement that is entered into by and between the Borrower or any of the Restricted Subsidiaries and any Cash Management Bank, which is specified in writing by the Borrower to the Administrative Agent as constituting a Secured Cash Management Agreement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Secured Cash Management Obligations</w:t>
      </w:r>
      <w:r>
        <w:rPr>
          <w:color w:val="000000"/>
        </w:rPr>
        <w:t xml:space="preserve">” </w:t>
      </w:r>
      <w:r>
        <w:rPr>
          <w:rFonts w:ascii="Times New Roman;sans-serif" w:hAnsi="Times New Roman;sans-serif"/>
          <w:b w:val="false"/>
          <w:color w:val="000000"/>
          <w:sz w:val="22"/>
        </w:rPr>
        <w:t>shall mean Obligations under Secured Cash Management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Secured Hedge Agreement</w:t>
      </w:r>
      <w:r>
        <w:rPr>
          <w:color w:val="000000"/>
        </w:rPr>
        <w:t xml:space="preserve">” </w:t>
      </w:r>
      <w:r>
        <w:rPr>
          <w:rFonts w:ascii="Times New Roman;sans-serif" w:hAnsi="Times New Roman;sans-serif"/>
          <w:b w:val="false"/>
          <w:color w:val="000000"/>
          <w:sz w:val="22"/>
        </w:rPr>
        <w:t>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 Notwithstanding anything to the contrary, a Hedge Agreement with a Restricted Subsidiary shall remain a Secured Hedge Agreement notwithstanding that such Restricted Subsidiary is subsequently designated an Unrestricted Subsidiary, unless otherwise agreed between such Restricted Subsidiary and Hedge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Secured Hedge Obligations</w:t>
      </w:r>
      <w:r>
        <w:rPr>
          <w:color w:val="000000"/>
        </w:rPr>
        <w:t xml:space="preserve">” </w:t>
      </w:r>
      <w:r>
        <w:rPr>
          <w:rFonts w:ascii="Times New Roman;sans-serif" w:hAnsi="Times New Roman;sans-serif"/>
          <w:b w:val="false"/>
          <w:color w:val="000000"/>
          <w:sz w:val="22"/>
        </w:rPr>
        <w:t>shall mean Obligations under Secured Hedge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Secured Parties</w:t>
      </w:r>
      <w:r>
        <w:rPr>
          <w:color w:val="000000"/>
        </w:rPr>
        <w:t xml:space="preserve">” </w:t>
      </w:r>
      <w:r>
        <w:rPr>
          <w:rFonts w:ascii="Times New Roman;sans-serif" w:hAnsi="Times New Roman;sans-serif"/>
          <w:b w:val="false"/>
          <w:color w:val="000000"/>
          <w:sz w:val="22"/>
        </w:rPr>
        <w:t xml:space="preserve">shall mean the Administrative Agent, the Collateral Agent and each Lender, in each case with respect to the Credit Facilities, each Hedge Bank that is party to any Secured Hedge Agreement with Borrower or any Restricted Subsidiary, each Cash Management Bank that is party to a Secured Cash Management Agreement with the Borrower or any Restricted Subsidiary and each sub-agent pursuant to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appointed by the Administrative Agent with respect to matters relating to the Credit Facilities or the Collateral Agent with respect to matters relating to any Security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Security Agreement</w:t>
      </w:r>
      <w:r>
        <w:rPr>
          <w:color w:val="000000"/>
        </w:rPr>
        <w:t xml:space="preserve">” </w:t>
      </w:r>
      <w:r>
        <w:rPr>
          <w:rFonts w:ascii="Times New Roman;sans-serif" w:hAnsi="Times New Roman;sans-serif"/>
          <w:b w:val="false"/>
          <w:color w:val="000000"/>
          <w:sz w:val="22"/>
        </w:rPr>
        <w:t xml:space="preserve">shall mean the Amended and Restated Security Agreement entered into by the Borrower, the other grantors party thereto, and the Collateral Agent for the benefit of the Secured Parties, substantially in the form of </w:t>
      </w:r>
      <w:r>
        <w:rPr>
          <w:rFonts w:ascii="Times New Roman;sans-serif" w:hAnsi="Times New Roman;sans-serif"/>
          <w:b w:val="false"/>
          <w:color w:val="000000"/>
          <w:sz w:val="22"/>
          <w:u w:val="single"/>
        </w:rPr>
        <w:t>Exhibit D</w:t>
      </w:r>
      <w:r>
        <w:rPr>
          <w:rFonts w:ascii="Times New Roman;sans-serif" w:hAnsi="Times New Roman;sans-serif"/>
          <w:b w:val="false"/>
          <w:color w:val="000000"/>
          <w:sz w:val="22"/>
        </w:rPr>
        <w:t>, as the same may be amended, restated, amended and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Security Documents</w:t>
      </w:r>
      <w:r>
        <w:rPr>
          <w:color w:val="000000"/>
        </w:rPr>
        <w:t xml:space="preserve">” </w:t>
      </w:r>
      <w:r>
        <w:rPr>
          <w:rFonts w:ascii="Times New Roman;sans-serif" w:hAnsi="Times New Roman;sans-serif"/>
          <w:b w:val="false"/>
          <w:color w:val="000000"/>
          <w:sz w:val="22"/>
        </w:rPr>
        <w:t xml:space="preserve">shall mean, collectively, the Pledge Agreement, the Security Agreement, the Mortgages, if executed, the ABL Intercreditor Agreement, if executed, the First Lien Intercreditor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Agreement, if executed, the First Lien/Second Lien Intercreditor Agreement and each other security agreement or other instrument or document executed and delivered pursuant to </w:t>
      </w:r>
      <w:r>
        <w:rPr>
          <w:rFonts w:ascii="Times New Roman;sans-serif" w:hAnsi="Times New Roman;sans-serif"/>
          <w:b w:val="false"/>
          <w:color w:val="000000"/>
          <w:sz w:val="22"/>
          <w:u w:val="single"/>
        </w:rPr>
        <w:t>Sections 9.11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9.12,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9.14</w:t>
      </w:r>
      <w:r>
        <w:rPr>
          <w:color w:val="000000"/>
        </w:rPr>
        <w:t xml:space="preserve"> </w:t>
      </w:r>
      <w:r>
        <w:rPr>
          <w:rFonts w:ascii="Times New Roman;sans-serif" w:hAnsi="Times New Roman;sans-serif"/>
          <w:b w:val="false"/>
          <w:color w:val="000000"/>
          <w:sz w:val="22"/>
        </w:rPr>
        <w:t>or pursuant to any other Security Documents (including intellectual property security agreements) to secure the Obligations or to govern the lien priorities of the holders of Liens on the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Senior Secured Notes Indenture</w:t>
      </w:r>
      <w:r>
        <w:rPr>
          <w:color w:val="000000"/>
        </w:rPr>
        <w:t xml:space="preserve">” </w:t>
      </w:r>
      <w:r>
        <w:rPr>
          <w:rFonts w:ascii="Times New Roman;sans-serif" w:hAnsi="Times New Roman;sans-serif"/>
          <w:b w:val="false"/>
          <w:color w:val="000000"/>
          <w:sz w:val="22"/>
        </w:rPr>
        <w:t xml:space="preserve">shall mean the indenture for the Senior Secured Notes, dated as of the date hereof, between the Borrower, Holdings, Texas Intermediate Holdcos and certain other Subsidiary of the Company party thereto and The Bank of New York Mellon Trust Company, N.A., as trustee.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Series</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Significant Subsidiary</w:t>
      </w:r>
      <w:r>
        <w:rPr>
          <w:color w:val="000000"/>
        </w:rPr>
        <w:t xml:space="preserve">” </w:t>
      </w:r>
      <w:r>
        <w:rPr>
          <w:rFonts w:ascii="Times New Roman;sans-serif" w:hAnsi="Times New Roman;sans-serif"/>
          <w:b w:val="false"/>
          <w:color w:val="000000"/>
          <w:sz w:val="22"/>
        </w:rPr>
        <w:t xml:space="preserve">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the Borrower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 xml:space="preserve">would constitute a “Significant Subsidiary” under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Similar Business</w:t>
      </w:r>
      <w:r>
        <w:rPr>
          <w:color w:val="000000"/>
        </w:rPr>
        <w:t xml:space="preserve">” </w:t>
      </w:r>
      <w:r>
        <w:rPr>
          <w:rFonts w:ascii="Times New Roman;sans-serif" w:hAnsi="Times New Roman;sans-serif"/>
          <w:b w:val="false"/>
          <w:color w:val="000000"/>
          <w:sz w:val="22"/>
        </w:rPr>
        <w:t>shall mean any business conducted or proposed to be conducted by the Borrower and the Restricted Subsidiaries on the Restatement Effective Date or any business that is similar, reasonably related, synergistic, incidental, or ancillary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SOFR</w:t>
      </w:r>
      <w:r>
        <w:rPr>
          <w:color w:val="000000"/>
        </w:rPr>
        <w:t xml:space="preserve">” </w:t>
      </w:r>
      <w:r>
        <w:rPr>
          <w:rFonts w:ascii="Times New Roman;sans-serif" w:hAnsi="Times New Roman;sans-serif"/>
          <w:b w:val="false"/>
          <w:color w:val="000000"/>
          <w:sz w:val="22"/>
        </w:rPr>
        <w:t>shall mean, with respect to any Business Day, a rate per annum equal to the secured overnight financing rate for such Business Day published by the SOFR Administrator on the SOFR Administrator’s Website on the immediately succeeding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SOFR Administrator</w:t>
      </w:r>
      <w:r>
        <w:rPr>
          <w:color w:val="000000"/>
        </w:rPr>
        <w:t xml:space="preserve">” </w:t>
      </w:r>
      <w:r>
        <w:rPr>
          <w:rFonts w:ascii="Times New Roman;sans-serif" w:hAnsi="Times New Roman;sans-serif"/>
          <w:b w:val="false"/>
          <w:color w:val="000000"/>
          <w:sz w:val="22"/>
        </w:rPr>
        <w:t>shall mean the Federal Reserve Bank of New York (or a successor administrator of the secured overnight financing rate).</w:t>
      </w:r>
    </w:p>
    <w:p>
      <w:pPr>
        <w:pStyle w:val="TextBody"/>
        <w:bidi w:val="0"/>
        <w:spacing w:lineRule="auto" w:line="240" w:before="0" w:after="240"/>
        <w:ind w:left="0" w:right="0" w:firstLine="720"/>
        <w:jc w:val="both"/>
        <w:rPr/>
      </w:pPr>
      <w:r>
        <w:rPr>
          <w:color w:val="0000FF"/>
          <w:u w:val="single"/>
        </w:rPr>
        <w:t>“</w:t>
      </w:r>
      <w:r>
        <w:rPr>
          <w:rFonts w:ascii="Times New Roman;sans-serif" w:hAnsi="Times New Roman;sans-serif"/>
          <w:b/>
          <w:color w:val="0000FF"/>
          <w:sz w:val="22"/>
          <w:u w:val="single"/>
        </w:rPr>
        <w:t xml:space="preserve">SOFR </w:t>
      </w:r>
      <w:r>
        <w:rPr>
          <w:rFonts w:ascii="Times New Roman;sans-serif" w:hAnsi="Times New Roman;sans-serif"/>
          <w:b/>
          <w:i/>
          <w:color w:val="008000"/>
          <w:sz w:val="22"/>
          <w:u w:val="single"/>
        </w:rPr>
        <w:t>Loan</w:t>
      </w:r>
      <w:r>
        <w:rPr>
          <w:color w:val="008000"/>
          <w:u w:val="single"/>
        </w:rPr>
        <w:t xml:space="preserve">” </w:t>
      </w:r>
      <w:r>
        <w:rPr>
          <w:rFonts w:ascii="Times New Roman;sans-serif" w:hAnsi="Times New Roman;sans-serif"/>
          <w:b w:val="false"/>
          <w:i/>
          <w:color w:val="008000"/>
          <w:sz w:val="22"/>
          <w:u w:val="single"/>
        </w:rPr>
        <w:t xml:space="preserve">shall mean any Loan bearing interest at a rate determined by reference to </w:t>
      </w:r>
      <w:r>
        <w:rPr>
          <w:rFonts w:ascii="Times New Roman;sans-serif" w:hAnsi="Times New Roman;sans-serif"/>
          <w:b/>
          <w:color w:val="0000FF"/>
          <w:sz w:val="22"/>
          <w:u w:val="single"/>
        </w:rPr>
        <w:t>Adjusted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SOFR Administrator’s Website</w:t>
      </w:r>
      <w:r>
        <w:rPr>
          <w:color w:val="000000"/>
        </w:rPr>
        <w:t xml:space="preserve">” </w:t>
      </w:r>
      <w:r>
        <w:rPr>
          <w:rFonts w:ascii="Times New Roman;sans-serif" w:hAnsi="Times New Roman;sans-serif"/>
          <w:b w:val="false"/>
          <w:color w:val="000000"/>
          <w:sz w:val="22"/>
        </w:rPr>
        <w:t>shall mean the website of the Federal Reserve Bank of New York, currently at http://www.newyorkfed.org, or any successor source for the secured overnight financing rate identified as such by the SOFR Administrator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Sold Entity or Business</w:t>
      </w:r>
      <w:r>
        <w:rPr>
          <w:color w:val="000000"/>
        </w:rPr>
        <w:t xml:space="preserve">” </w:t>
      </w:r>
      <w:r>
        <w:rPr>
          <w:rFonts w:ascii="Times New Roman;sans-serif" w:hAnsi="Times New Roman;sans-serif"/>
          <w:b w:val="false"/>
          <w:color w:val="000000"/>
          <w:sz w:val="22"/>
        </w:rPr>
        <w:t>shall have the meaning provided in the definition of the term Consolidated EBITDA.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Solvent</w:t>
      </w:r>
      <w:r>
        <w:rPr>
          <w:color w:val="000000"/>
        </w:rPr>
        <w:t xml:space="preserve">” </w:t>
      </w:r>
      <w:r>
        <w:rPr>
          <w:rFonts w:ascii="Times New Roman;sans-serif" w:hAnsi="Times New Roman;sans-serif"/>
          <w:b w:val="false"/>
          <w:color w:val="000000"/>
          <w:sz w:val="22"/>
        </w:rPr>
        <w:t>shall mean, after giving effect to the consummation of the Transactions, (i) the sum of the liabilities (including contingent liabilities) of the Borrower and its Restricted Subsidiaries, on a consolidated basis, does not exceed the present fair saleable value of the present assets of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incur, or believe that they will incur, debts including current obligations beyond their ability to pay such debts as they become due (whether at maturity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Specified Transaction</w:t>
      </w:r>
      <w:r>
        <w:rPr>
          <w:color w:val="000000"/>
        </w:rPr>
        <w:t xml:space="preserve">” </w:t>
      </w:r>
      <w:r>
        <w:rPr>
          <w:rFonts w:ascii="Times New Roman;sans-serif" w:hAnsi="Times New Roman;sans-serif"/>
          <w:b w:val="false"/>
          <w:color w:val="000000"/>
          <w:sz w:val="22"/>
        </w:rPr>
        <w:t>shall mean, with respect to any period, any Investment (including a Permitted Acquisition), any asset sale, incurrence or repayment of Indebtedness, Restricted Payment, Subsidiary designation, New Term Loan or other event or action (including a restructuring or business optimization event) that in each case by the terms of this Agreement requires Pro Forma Compliance with a test or covenant hereunder or requires such test or covenant to be calculated on a Pro Forma Basis.</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Sponsor</w:t>
      </w:r>
      <w:r>
        <w:rPr>
          <w:color w:val="000000"/>
          <w:shd w:fill="FFFFFF" w:val="clear"/>
        </w:rPr>
        <w:t xml:space="preserve">” </w:t>
      </w:r>
      <w:r>
        <w:rPr>
          <w:rFonts w:ascii="Times New Roman;sans-serif" w:hAnsi="Times New Roman;sans-serif"/>
          <w:b w:val="false"/>
          <w:color w:val="000000"/>
          <w:sz w:val="22"/>
          <w:shd w:fill="FFFFFF" w:val="clear"/>
        </w:rPr>
        <w:t>shall mean any of KKR and its Affiliates (including the funds, partnerships and other co-investment vehicles managed, advised or controlled thereby but other than, in each case, any portfolio company of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Sponsor Management Agreement</w:t>
      </w:r>
      <w:r>
        <w:rPr>
          <w:color w:val="000000"/>
        </w:rPr>
        <w:t xml:space="preserve">” </w:t>
      </w:r>
      <w:r>
        <w:rPr>
          <w:rFonts w:ascii="Times New Roman;sans-serif" w:hAnsi="Times New Roman;sans-serif"/>
          <w:b w:val="false"/>
          <w:color w:val="000000"/>
          <w:sz w:val="22"/>
        </w:rPr>
        <w:t>shall mean the management agreement between certain of the management companies associated with the Initial Investors and the Borrower, as in effect on August 3, 2011 and as may be amended, modified, supplemented, restated, replaced or substituted so long as such amendment, modification, supplement, restatement, replacement or substitution is not, when taken as a whole, materially disadvantageous to the Lenders compared to the management agreement in effect on August 3, 2011.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Spot Rate</w:t>
      </w:r>
      <w:r>
        <w:rPr>
          <w:color w:val="000000"/>
        </w:rPr>
        <w:t xml:space="preserve">” </w:t>
      </w:r>
      <w:r>
        <w:rPr>
          <w:rFonts w:ascii="Times New Roman;sans-serif" w:hAnsi="Times New Roman;sans-serif"/>
          <w:b w:val="false"/>
          <w:color w:val="000000"/>
          <w:sz w:val="22"/>
        </w:rPr>
        <w:t xml:space="preserve">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Administrative Agent may obtain such spot rate from another financial institution designated by the Administrative Agent if it does not have as of the date of determination a spot buying rate for any such currency.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SPV</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13.6(g)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strike/>
          <w:color w:val="FF0000"/>
        </w:rPr>
      </w:pPr>
      <w:r>
        <w:rPr>
          <w:strike/>
          <w:color w:val="FF0000"/>
        </w:rPr>
        <w:t>“</w:t>
      </w:r>
      <w:r>
        <w:rPr>
          <w:rFonts w:ascii="Times New Roman;sans-serif" w:hAnsi="Times New Roman;sans-serif"/>
          <w:b/>
          <w:strike/>
          <w:color w:val="FF0000"/>
          <w:sz w:val="22"/>
        </w:rPr>
        <w:t>Statutory Reserves” shall mean a fraction (expressed as a decimal), the numerator of which is the number one and the denominator of which is the number one minus the aggregate of the maximum reserve percentages (including any marginal, special, emergency or supplemental reserves) established by the Board and any other banking authority, domestic or foreign, to which the Administrative Agent or any Lender (including any branch, Affiliate or other fronting office making or holding a Loan) is subject to Eurocurrency Liabilities (as defined in Regulation D of the Board). LIBOR Rate Loans shall be deemed to constitute Eurocurrency Liabilities and to be subject to such reserve requirements without benefit of or credit for proration, exemptions or offsets that may be available from time to time to any Lender under such Regulation D. Statutory Reserves shall be adjusted automatically on and as of the effective date of any change in any reserve percentage.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Stock Equivalents</w:t>
      </w:r>
      <w:r>
        <w:rPr>
          <w:color w:val="000000"/>
        </w:rPr>
        <w:t xml:space="preserve">” </w:t>
      </w:r>
      <w:r>
        <w:rPr>
          <w:rFonts w:ascii="Times New Roman;sans-serif" w:hAnsi="Times New Roman;sans-serif"/>
          <w:b w:val="false"/>
          <w:color w:val="000000"/>
          <w:sz w:val="22"/>
        </w:rPr>
        <w:t>shall mean all securities convertible into or exchangeable for Capital Stock and all warrants, options, or other rights to purchase or subscribe for any Capital Stock, whether or not presently convertible, exchangeable, or exercisable.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Subordinated Indebtedness</w:t>
      </w:r>
      <w:r>
        <w:rPr>
          <w:color w:val="000000"/>
        </w:rPr>
        <w:t xml:space="preserve">” </w:t>
      </w:r>
      <w:r>
        <w:rPr>
          <w:rFonts w:ascii="Times New Roman;sans-serif" w:hAnsi="Times New Roman;sans-serif"/>
          <w:b w:val="false"/>
          <w:color w:val="000000"/>
          <w:sz w:val="22"/>
        </w:rPr>
        <w:t>shall mean Indebtedness of the Borrower or any Guarantor that is by its terms subordinated in right of payment to the obligations of the Borrower or such Guarantor, as applicable, under this Agreement or the Guarantee,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Subsidiary</w:t>
      </w:r>
      <w:r>
        <w:rPr>
          <w:color w:val="000000"/>
        </w:rPr>
        <w:t xml:space="preserve">” </w:t>
      </w:r>
      <w:r>
        <w:rPr>
          <w:rFonts w:ascii="Times New Roman;sans-serif" w:hAnsi="Times New Roman;sans-serif"/>
          <w:b w:val="false"/>
          <w:color w:val="000000"/>
          <w:sz w:val="22"/>
        </w:rPr>
        <w:t>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the Borrower.</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Subject Lien</w:t>
      </w:r>
      <w:r>
        <w:rPr>
          <w:color w:val="000000"/>
          <w:shd w:fill="FFFFFF" w:val="clear"/>
        </w:rPr>
        <w:t xml:space="preserve">” </w:t>
      </w:r>
      <w:r>
        <w:rPr>
          <w:rFonts w:ascii="Times New Roman;sans-serif" w:hAnsi="Times New Roman;sans-serif"/>
          <w:b w:val="false"/>
          <w:color w:val="000000"/>
          <w:sz w:val="22"/>
          <w:shd w:fill="FFFFFF" w:val="clear"/>
        </w:rPr>
        <w:t xml:space="preserve">shall have the meaning provided in </w:t>
      </w:r>
      <w:r>
        <w:rPr>
          <w:rFonts w:ascii="Times New Roman;sans-serif" w:hAnsi="Times New Roman;sans-serif"/>
          <w:b w:val="false"/>
          <w:color w:val="000000"/>
          <w:sz w:val="22"/>
          <w:u w:val="single"/>
          <w:shd w:fill="FFFFFF" w:val="clear"/>
        </w:rPr>
        <w:t>Section 10.2(a)</w:t>
      </w:r>
      <w:r>
        <w:rPr>
          <w:rFonts w:ascii="Times New Roman;sans-serif" w:hAnsi="Times New Roman;sans-serif"/>
          <w:b w:val="false"/>
          <w:color w:val="000000"/>
          <w:sz w:val="22"/>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Successor Borrower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10.3(a)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Swap Obligation</w:t>
      </w:r>
      <w:r>
        <w:rPr>
          <w:color w:val="000000"/>
        </w:rPr>
        <w:t xml:space="preserve">” </w:t>
      </w:r>
      <w:r>
        <w:rPr>
          <w:rFonts w:ascii="Times New Roman;sans-serif" w:hAnsi="Times New Roman;sans-serif"/>
          <w:b w:val="false"/>
          <w:color w:val="000000"/>
          <w:sz w:val="22"/>
        </w:rPr>
        <w:t>shall mean, with respect to the Borrower any Subsidiary Credit Party,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Taxes</w:t>
      </w:r>
      <w:r>
        <w:rPr>
          <w:color w:val="000000"/>
        </w:rPr>
        <w:t xml:space="preserve">” </w:t>
      </w:r>
      <w:r>
        <w:rPr>
          <w:rFonts w:ascii="Times New Roman;sans-serif" w:hAnsi="Times New Roman;sans-serif"/>
          <w:b w:val="false"/>
          <w:color w:val="000000"/>
          <w:sz w:val="22"/>
        </w:rPr>
        <w:t>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Loan Commitment</w:t>
      </w:r>
      <w:r>
        <w:rPr>
          <w:color w:val="000000"/>
        </w:rPr>
        <w:t xml:space="preserve">” </w:t>
      </w:r>
      <w:r>
        <w:rPr>
          <w:rFonts w:ascii="Times New Roman;sans-serif" w:hAnsi="Times New Roman;sans-serif"/>
          <w:b w:val="false"/>
          <w:color w:val="000000"/>
          <w:sz w:val="22"/>
        </w:rPr>
        <w:t>shall mean, with respect to each Lender, such Lender’s Initial Term Loan Commitment and, if applicable, New Term Loan Commitment with respect to any Series and Replacement Term Loan Commitment with respect to any Series.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Loan Extension Request</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2.14 (g)(i)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Loan Lender</w:t>
      </w:r>
      <w:r>
        <w:rPr>
          <w:color w:val="000000"/>
        </w:rPr>
        <w:t xml:space="preserve">” </w:t>
      </w:r>
      <w:r>
        <w:rPr>
          <w:rFonts w:ascii="Times New Roman;sans-serif" w:hAnsi="Times New Roman;sans-serif"/>
          <w:b w:val="false"/>
          <w:color w:val="000000"/>
          <w:sz w:val="22"/>
        </w:rPr>
        <w:t>shall mean, at any time, any Lender that has a Term Loan Commitment or an outstanding Term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 Loans</w:t>
      </w:r>
      <w:r>
        <w:rPr>
          <w:color w:val="000000"/>
        </w:rPr>
        <w:t xml:space="preserve">” </w:t>
      </w:r>
      <w:r>
        <w:rPr>
          <w:rFonts w:ascii="Times New Roman;sans-serif" w:hAnsi="Times New Roman;sans-serif"/>
          <w:b w:val="false"/>
          <w:color w:val="000000"/>
          <w:sz w:val="22"/>
        </w:rPr>
        <w:t>shall mean the Initial Term Loans, any New Term Loans, any Replacement Term Loans, and any Extended Term Loans, collectively.</w:t>
      </w:r>
    </w:p>
    <w:p>
      <w:pPr>
        <w:pStyle w:val="TextBody"/>
        <w:bidi w:val="0"/>
        <w:spacing w:lineRule="auto" w:line="240" w:before="0" w:after="240"/>
        <w:ind w:left="0" w:right="0" w:firstLine="720"/>
        <w:jc w:val="both"/>
        <w:rPr/>
      </w:pPr>
      <w:r>
        <w:rPr>
          <w:color w:val="0000FF"/>
          <w:u w:val="single"/>
          <w:shd w:fill="FFFFFF" w:val="clear"/>
        </w:rPr>
        <w:t>“</w:t>
      </w:r>
      <w:r>
        <w:rPr>
          <w:rFonts w:ascii="Times New Roman;sans-serif" w:hAnsi="Times New Roman;sans-serif"/>
          <w:b/>
          <w:color w:val="0000FF"/>
          <w:sz w:val="22"/>
          <w:u w:val="single"/>
          <w:shd w:fill="FFFFFF" w:val="clear"/>
        </w:rPr>
        <w:t>Term SOFR”</w:t>
      </w:r>
      <w:r>
        <w:rPr>
          <w:color w:val="0000FF"/>
          <w:u w:val="single"/>
          <w:shd w:fill="FFFFFF" w:val="clear"/>
        </w:rPr>
        <w:t xml:space="preserve"> </w:t>
      </w:r>
      <w:r>
        <w:rPr>
          <w:rFonts w:ascii="Times New Roman;sans-serif" w:hAnsi="Times New Roman;sans-serif"/>
          <w:b/>
          <w:color w:val="0000FF"/>
          <w:sz w:val="22"/>
          <w:u w:val="single"/>
          <w:shd w:fill="FFFFFF" w:val="clear"/>
        </w:rPr>
        <w:t>shall mean:</w:t>
      </w:r>
    </w:p>
    <w:p>
      <w:pPr>
        <w:pStyle w:val="TextBody"/>
        <w:bidi w:val="0"/>
        <w:spacing w:lineRule="auto" w:line="240" w:before="0" w:after="240"/>
        <w:ind w:left="0" w:right="0" w:firstLine="720"/>
        <w:jc w:val="both"/>
        <w:rPr>
          <w:rFonts w:ascii="Times New Roman;sans-serif" w:hAnsi="Times New Roman;sans-serif"/>
          <w:b/>
          <w:color w:val="0000FF"/>
          <w:sz w:val="22"/>
          <w:u w:val="single"/>
        </w:rPr>
      </w:pPr>
      <w:r>
        <w:rPr>
          <w:rFonts w:ascii="Times New Roman;sans-serif" w:hAnsi="Times New Roman;sans-serif"/>
          <w:b/>
          <w:color w:val="0000FF"/>
          <w:sz w:val="22"/>
          <w:u w:val="single"/>
        </w:rPr>
        <w:t>(a)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40" w:before="0" w:after="240"/>
        <w:ind w:left="0" w:right="0" w:firstLine="720"/>
        <w:jc w:val="both"/>
        <w:rPr>
          <w:rFonts w:ascii="Times New Roman;sans-serif" w:hAnsi="Times New Roman;sans-serif"/>
          <w:b/>
          <w:color w:val="0000FF"/>
          <w:sz w:val="22"/>
          <w:u w:val="single"/>
        </w:rPr>
      </w:pPr>
      <w:r>
        <w:rPr>
          <w:rFonts w:ascii="Times New Roman;sans-serif" w:hAnsi="Times New Roman;sans-serif"/>
          <w:b/>
          <w:color w:val="0000FF"/>
          <w:sz w:val="22"/>
          <w:u w:val="single"/>
        </w:rPr>
        <w:t>(b)    for any calculation with respect to an ABR Loan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40" w:before="0" w:after="240"/>
        <w:ind w:left="0" w:right="0" w:firstLine="720"/>
        <w:jc w:val="both"/>
        <w:rPr/>
      </w:pPr>
      <w:r>
        <w:rPr>
          <w:color w:val="0000FF"/>
          <w:u w:val="single"/>
          <w:shd w:fill="FFFFFF" w:val="clear"/>
        </w:rPr>
        <w:t>“</w:t>
      </w:r>
      <w:r>
        <w:rPr>
          <w:rFonts w:ascii="Times New Roman;sans-serif" w:hAnsi="Times New Roman;sans-serif"/>
          <w:b/>
          <w:color w:val="0000FF"/>
          <w:sz w:val="22"/>
          <w:u w:val="single"/>
          <w:shd w:fill="FFFFFF" w:val="clear"/>
        </w:rPr>
        <w:t xml:space="preserve">Term SOFR Adjustment” shall mean for any calculation with respect to an ABR Loan or a SOFR Loan, a percentage </w:t>
      </w:r>
      <w:r>
        <w:rPr>
          <w:rFonts w:ascii="Times New Roman;sans-serif" w:hAnsi="Times New Roman;sans-serif"/>
          <w:b/>
          <w:i/>
          <w:color w:val="0000FF"/>
          <w:sz w:val="22"/>
          <w:u w:val="single"/>
          <w:shd w:fill="FFFFFF" w:val="clear"/>
        </w:rPr>
        <w:t>per annum</w:t>
      </w:r>
      <w:r>
        <w:rPr>
          <w:color w:val="0000FF"/>
          <w:u w:val="single"/>
          <w:shd w:fill="FFFFFF" w:val="clear"/>
        </w:rPr>
        <w:t xml:space="preserve"> </w:t>
      </w:r>
      <w:r>
        <w:rPr>
          <w:rFonts w:ascii="Times New Roman;sans-serif" w:hAnsi="Times New Roman;sans-serif"/>
          <w:b/>
          <w:color w:val="0000FF"/>
          <w:sz w:val="22"/>
          <w:u w:val="single"/>
          <w:shd w:fill="FFFFFF" w:val="clear"/>
        </w:rPr>
        <w:t>as set forth below for the applicable Type of such Advance and (if applicable) Interest Period therefor:</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FF"/>
          <w:sz w:val="22"/>
          <w:u w:val="single"/>
          <w:shd w:fill="FFFFFF" w:val="clear"/>
        </w:rPr>
      </w:pPr>
      <w:r>
        <w:rPr>
          <w:rFonts w:ascii="Times New Roman;sans-serif" w:hAnsi="Times New Roman;sans-serif"/>
          <w:b/>
          <w:color w:val="0000FF"/>
          <w:sz w:val="22"/>
          <w:u w:val="single"/>
          <w:shd w:fill="FFFFFF" w:val="clear"/>
        </w:rPr>
        <w:t>ABR Loans: 0.11448%</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FF"/>
          <w:sz w:val="22"/>
          <w:u w:val="single"/>
          <w:shd w:fill="FFFFFF" w:val="clear"/>
        </w:rPr>
      </w:pPr>
      <w:r>
        <w:rPr>
          <w:rFonts w:ascii="Times New Roman;sans-serif" w:hAnsi="Times New Roman;sans-serif"/>
          <w:b/>
          <w:color w:val="0000FF"/>
          <w:sz w:val="22"/>
          <w:u w:val="single"/>
          <w:shd w:fill="FFFFFF" w:val="clear"/>
        </w:rPr>
        <w:t>SOFR Loans:</w:t>
      </w:r>
    </w:p>
    <w:tbl>
      <w:tblPr>
        <w:tblW w:w="2836" w:type="dxa"/>
        <w:jc w:val="left"/>
        <w:tblInd w:w="0" w:type="dxa"/>
        <w:tblLayout w:type="fixed"/>
        <w:tblCellMar>
          <w:top w:w="28" w:type="dxa"/>
          <w:left w:w="28" w:type="dxa"/>
          <w:bottom w:w="28" w:type="dxa"/>
          <w:right w:w="28" w:type="dxa"/>
        </w:tblCellMar>
      </w:tblPr>
      <w:tblGrid>
        <w:gridCol w:w="576"/>
        <w:gridCol w:w="506"/>
        <w:gridCol w:w="508"/>
        <w:gridCol w:w="365"/>
        <w:gridCol w:w="365"/>
        <w:gridCol w:w="516"/>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E6E6FA"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Interest Period</w:t>
            </w:r>
          </w:p>
        </w:tc>
        <w:tc>
          <w:tcPr>
            <w:tcW w:w="1246" w:type="dxa"/>
            <w:gridSpan w:val="3"/>
            <w:tcBorders>
              <w:top w:val="single" w:sz="4" w:space="0" w:color="000000"/>
              <w:left w:val="single" w:sz="4" w:space="0" w:color="000000"/>
              <w:right w:val="single" w:sz="4" w:space="0" w:color="000000"/>
            </w:tcBorders>
            <w:shd w:fill="E6E6FA"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Percentage</w:t>
            </w:r>
          </w:p>
        </w:tc>
      </w:tr>
      <w:tr>
        <w:trPr/>
        <w:tc>
          <w:tcPr>
            <w:tcW w:w="1590" w:type="dxa"/>
            <w:gridSpan w:val="3"/>
            <w:tcBorders>
              <w:top w:val="single" w:sz="4" w:space="0" w:color="000000"/>
              <w:left w:val="single" w:sz="4" w:space="0" w:color="000000"/>
            </w:tcBorders>
            <w:shd w:fill="E6E6FA"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One month</w:t>
            </w:r>
          </w:p>
        </w:tc>
        <w:tc>
          <w:tcPr>
            <w:tcW w:w="1246" w:type="dxa"/>
            <w:gridSpan w:val="3"/>
            <w:tcBorders>
              <w:top w:val="single" w:sz="4" w:space="0" w:color="000000"/>
              <w:left w:val="single" w:sz="4" w:space="0" w:color="000000"/>
              <w:right w:val="single" w:sz="4" w:space="0" w:color="000000"/>
            </w:tcBorders>
            <w:shd w:fill="E6E6FA"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0.11448 %</w:t>
            </w:r>
          </w:p>
        </w:tc>
      </w:tr>
      <w:tr>
        <w:trPr/>
        <w:tc>
          <w:tcPr>
            <w:tcW w:w="1590" w:type="dxa"/>
            <w:gridSpan w:val="3"/>
            <w:tcBorders>
              <w:top w:val="single" w:sz="4" w:space="0" w:color="000000"/>
              <w:left w:val="single" w:sz="4" w:space="0" w:color="000000"/>
            </w:tcBorders>
            <w:shd w:fill="E6E6FA"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Three months</w:t>
            </w:r>
          </w:p>
        </w:tc>
        <w:tc>
          <w:tcPr>
            <w:tcW w:w="1246" w:type="dxa"/>
            <w:gridSpan w:val="3"/>
            <w:tcBorders>
              <w:top w:val="single" w:sz="4" w:space="0" w:color="000000"/>
              <w:left w:val="single" w:sz="4" w:space="0" w:color="000000"/>
              <w:right w:val="single" w:sz="4" w:space="0" w:color="000000"/>
            </w:tcBorders>
            <w:shd w:fill="E6E6FA"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0.26161%</w:t>
            </w:r>
          </w:p>
        </w:tc>
      </w:tr>
      <w:tr>
        <w:trPr/>
        <w:tc>
          <w:tcPr>
            <w:tcW w:w="1590" w:type="dxa"/>
            <w:gridSpan w:val="3"/>
            <w:tcBorders>
              <w:top w:val="single" w:sz="4" w:space="0" w:color="000000"/>
              <w:left w:val="single" w:sz="4" w:space="0" w:color="000000"/>
              <w:bottom w:val="single" w:sz="4" w:space="0" w:color="000000"/>
            </w:tcBorders>
            <w:shd w:fill="E6E6FA"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Six months</w:t>
            </w:r>
          </w:p>
        </w:tc>
        <w:tc>
          <w:tcPr>
            <w:tcW w:w="1246" w:type="dxa"/>
            <w:gridSpan w:val="3"/>
            <w:tcBorders>
              <w:top w:val="single" w:sz="4" w:space="0" w:color="000000"/>
              <w:left w:val="single" w:sz="4" w:space="0" w:color="000000"/>
              <w:bottom w:val="single" w:sz="4" w:space="0" w:color="000000"/>
              <w:right w:val="single" w:sz="4" w:space="0" w:color="000000"/>
            </w:tcBorders>
            <w:shd w:fill="E6E6FA"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FF"/>
                <w:sz w:val="22"/>
                <w:u w:val="single"/>
              </w:rPr>
            </w:pPr>
            <w:r>
              <w:rPr>
                <w:rFonts w:ascii="Times New Roman;sans-serif" w:hAnsi="Times New Roman;sans-serif"/>
                <w:b/>
                <w:color w:val="0000FF"/>
                <w:sz w:val="22"/>
                <w:u w:val="single"/>
              </w:rPr>
              <w:t>0.42826%</w:t>
            </w:r>
          </w:p>
        </w:tc>
      </w:tr>
    </w:tbl>
    <w:p>
      <w:pPr>
        <w:pStyle w:val="TextBody"/>
        <w:bidi w:val="0"/>
        <w:spacing w:lineRule="auto" w:line="240" w:before="0" w:after="240"/>
        <w:ind w:left="0" w:right="0" w:firstLine="720"/>
        <w:jc w:val="both"/>
        <w:rPr>
          <w:color w:val="0000FF"/>
          <w:u w:val="single"/>
          <w:shd w:fill="FFFFFF" w:val="clear"/>
        </w:rPr>
      </w:pPr>
      <w:r>
        <w:rPr>
          <w:color w:val="0000FF"/>
          <w:u w:val="single"/>
          <w:shd w:fill="FFFFFF" w:val="clear"/>
        </w:rPr>
        <w:t>“</w:t>
      </w:r>
      <w:r>
        <w:rPr>
          <w:rFonts w:ascii="Times New Roman;sans-serif" w:hAnsi="Times New Roman;sans-serif"/>
          <w:b/>
          <w:color w:val="0000FF"/>
          <w:sz w:val="22"/>
          <w:u w:val="single"/>
          <w:shd w:fill="FFFFFF" w:val="clear"/>
        </w:rPr>
        <w:t xml:space="preserve">Term SOFR Administrator” shall mean CME Group Benchmark Administration Limited (CBA) (or a successor administrator of the Term SOFR Reference Rate selected by the Administrative Agent in its reasonable discretion). </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Term SOFR</w:t>
      </w:r>
      <w:r>
        <w:rPr>
          <w:strike/>
          <w:color w:val="FF0000"/>
          <w:shd w:fill="FFFFFF" w:val="clear"/>
        </w:rPr>
        <w:t xml:space="preserve">” </w:t>
      </w:r>
      <w:r>
        <w:rPr>
          <w:rFonts w:ascii="Times New Roman;sans-serif" w:hAnsi="Times New Roman;sans-serif"/>
          <w:b/>
          <w:strike/>
          <w:color w:val="FF0000"/>
          <w:sz w:val="22"/>
          <w:shd w:fill="FFFFFF" w:val="clear"/>
        </w:rPr>
        <w:t xml:space="preserve">means, for the applicable Corresponding Tenor as of the applicable </w:t>
      </w:r>
      <w:r>
        <w:rPr>
          <w:rFonts w:ascii="Times New Roman;sans-serif" w:hAnsi="Times New Roman;sans-serif"/>
          <w:b/>
          <w:color w:val="000000"/>
          <w:sz w:val="22"/>
          <w:shd w:fill="FFFFFF" w:val="clear"/>
        </w:rPr>
        <w:t xml:space="preserve">Reference </w:t>
      </w:r>
      <w:r>
        <w:rPr>
          <w:rFonts w:ascii="Times New Roman;sans-serif" w:hAnsi="Times New Roman;sans-serif"/>
          <w:b/>
          <w:strike/>
          <w:color w:val="FF0000"/>
          <w:sz w:val="22"/>
          <w:shd w:fill="FFFFFF" w:val="clear"/>
        </w:rPr>
        <w:t>Time,</w:t>
      </w:r>
      <w:r>
        <w:rPr>
          <w:rFonts w:ascii="Times New Roman;sans-serif" w:hAnsi="Times New Roman;sans-serif"/>
          <w:b/>
          <w:color w:val="0000FF"/>
          <w:sz w:val="22"/>
          <w:u w:val="single"/>
          <w:shd w:fill="FFFFFF" w:val="clear"/>
        </w:rPr>
        <w:t>Rate” shall mean</w:t>
      </w:r>
      <w:r>
        <w:rPr>
          <w:color w:val="000000"/>
          <w:shd w:fill="FFFFFF" w:val="clear"/>
        </w:rPr>
        <w:t xml:space="preserve"> </w:t>
      </w:r>
      <w:r>
        <w:rPr>
          <w:rFonts w:ascii="Times New Roman;sans-serif" w:hAnsi="Times New Roman;sans-serif"/>
          <w:b w:val="false"/>
          <w:color w:val="000000"/>
          <w:sz w:val="22"/>
          <w:shd w:fill="FFFFFF" w:val="clear"/>
        </w:rPr>
        <w:t>the forward-looking term rate based on SOFR</w:t>
      </w:r>
      <w:r>
        <w:rPr>
          <w:strike/>
          <w:color w:val="FF0000"/>
          <w:shd w:fill="FFFFFF" w:val="clear"/>
        </w:rPr>
        <w:t xml:space="preserve"> </w:t>
      </w:r>
      <w:r>
        <w:rPr>
          <w:rFonts w:ascii="Times New Roman;sans-serif" w:hAnsi="Times New Roman;sans-serif"/>
          <w:b/>
          <w:strike/>
          <w:color w:val="FF0000"/>
          <w:sz w:val="22"/>
          <w:shd w:fill="FFFFFF" w:val="clear"/>
        </w:rPr>
        <w:t>that has been selected or recommended by the Relevant Governmental Body</w:t>
      </w:r>
      <w:r>
        <w:rPr>
          <w:rFonts w:ascii="Times New Roman;sans-serif" w:hAnsi="Times New Roman;sans-serif"/>
          <w:b w:val="false"/>
          <w:color w:val="000000"/>
          <w:sz w:val="22"/>
          <w:shd w:fill="FFFFFF" w:val="clear"/>
        </w:rPr>
        <w:t xml:space="preserve">. </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Termination Date</w:t>
      </w:r>
      <w:r>
        <w:rPr>
          <w:color w:val="000000"/>
          <w:shd w:fill="FFFFFF" w:val="clear"/>
        </w:rPr>
        <w:t xml:space="preserve">” </w:t>
      </w:r>
      <w:r>
        <w:rPr>
          <w:rFonts w:ascii="Times New Roman;sans-serif" w:hAnsi="Times New Roman;sans-serif"/>
          <w:b w:val="false"/>
          <w:color w:val="000000"/>
          <w:sz w:val="22"/>
          <w:shd w:fill="FFFFFF" w:val="clear"/>
        </w:rPr>
        <w:t>shall mean the date on which the Loans, together with interest, Fees and all other Obligations Incurred hereunder (other than contingent obligations as to which no valid demand has been made, Secured Hedge Obligations and Secured Cash Management Obligations in accordance with the terms of this Agreement), are paid in full.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Test Period</w:t>
      </w:r>
      <w:r>
        <w:rPr>
          <w:color w:val="000000"/>
        </w:rPr>
        <w:t xml:space="preserve">” </w:t>
      </w:r>
      <w:r>
        <w:rPr>
          <w:rFonts w:ascii="Times New Roman;sans-serif" w:hAnsi="Times New Roman;sans-serif"/>
          <w:b w:val="false"/>
          <w:color w:val="000000"/>
          <w:sz w:val="22"/>
        </w:rPr>
        <w:t xml:space="preserve">shall mean, for any determination under this Agreement, the four consecutive fiscal quarters of the Borrower’s most recently ended on or prior to such date of determination and for which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 xml:space="preserve">Financials shall have been delivered (or were required to be delivered) to the Administrative Agent (or, before the first delivery of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Financials, the most recent period of four fiscal quarters at the end of which financial statements are available).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Texas Intermediate Holdcos</w:t>
      </w:r>
      <w:r>
        <w:rPr>
          <w:color w:val="000000"/>
        </w:rPr>
        <w:t xml:space="preserve">” </w:t>
      </w:r>
      <w:r>
        <w:rPr>
          <w:rFonts w:ascii="Times New Roman;sans-serif" w:hAnsi="Times New Roman;sans-serif"/>
          <w:b w:val="false"/>
          <w:color w:val="000000"/>
          <w:sz w:val="22"/>
        </w:rPr>
        <w:t>means Associated Investors L.L.C., a Texas limited liability company, and Academy Managing Co., L.L.C., a Texas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Total Credit Exposure</w:t>
      </w:r>
      <w:r>
        <w:rPr>
          <w:color w:val="000000"/>
        </w:rPr>
        <w:t xml:space="preserve">” </w:t>
      </w:r>
      <w:r>
        <w:rPr>
          <w:rFonts w:ascii="Times New Roman;sans-serif" w:hAnsi="Times New Roman;sans-serif"/>
          <w:b w:val="false"/>
          <w:color w:val="000000"/>
          <w:sz w:val="22"/>
        </w:rPr>
        <w:t xml:space="preserve">shall mean, at any date, the sum, without duplication, of (i) the Total Term Loan Commitment at such date, and (ii) without duplication of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the aggregate outstanding principal amount of all Term Loans at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Total Initial Term Loan Commitment</w:t>
      </w:r>
      <w:r>
        <w:rPr>
          <w:color w:val="000000"/>
        </w:rPr>
        <w:t xml:space="preserve">” </w:t>
      </w:r>
      <w:r>
        <w:rPr>
          <w:rFonts w:ascii="Times New Roman;sans-serif" w:hAnsi="Times New Roman;sans-serif"/>
          <w:b w:val="false"/>
          <w:color w:val="000000"/>
          <w:sz w:val="22"/>
        </w:rPr>
        <w:t>shall mean the sum of the Initial Term Loan Commitments of all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Total Term Loan Commitment</w:t>
      </w:r>
      <w:r>
        <w:rPr>
          <w:color w:val="000000"/>
        </w:rPr>
        <w:t xml:space="preserve">” </w:t>
      </w:r>
      <w:r>
        <w:rPr>
          <w:rFonts w:ascii="Times New Roman;sans-serif" w:hAnsi="Times New Roman;sans-serif"/>
          <w:b w:val="false"/>
          <w:color w:val="000000"/>
          <w:sz w:val="22"/>
        </w:rPr>
        <w:t>shall mean the sum of (i) the Initial Term Loan Commitments and (ii) the New Term Loan Commitments, if applicable, of all the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Transaction Expenses</w:t>
      </w:r>
      <w:r>
        <w:rPr>
          <w:color w:val="000000"/>
        </w:rPr>
        <w:t xml:space="preserve">” </w:t>
      </w:r>
      <w:r>
        <w:rPr>
          <w:rFonts w:ascii="Times New Roman;sans-serif" w:hAnsi="Times New Roman;sans-serif"/>
          <w:b w:val="false"/>
          <w:color w:val="000000"/>
          <w:sz w:val="22"/>
        </w:rPr>
        <w:t>shall mean any fees, costs, or expenses incurred or paid by the Borrower, or any of their respective Affiliates in connection with the Transactions, this Agreement, and the other Credit Documents, and the transactions contemplated hereby and thereby.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Transactions</w:t>
      </w:r>
      <w:r>
        <w:rPr>
          <w:color w:val="000000"/>
        </w:rPr>
        <w:t xml:space="preserve">” </w:t>
      </w:r>
      <w:r>
        <w:rPr>
          <w:rFonts w:ascii="Times New Roman;sans-serif" w:hAnsi="Times New Roman;sans-serif"/>
          <w:b w:val="false"/>
          <w:color w:val="000000"/>
          <w:sz w:val="22"/>
        </w:rPr>
        <w:t>shall mean, collectively, the transactions contemplated by this Agreement, the Amendment No. 4, the Amendment No. 4 Refinancing and the consummation of any other transactions in connection with the foregoing (including the payment of the fees and expenses incurred in connection with any of the foregoing (including the Transaction Expenses)).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Transferee</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13.6(e)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Transformative Acquisition</w:t>
      </w:r>
      <w:r>
        <w:rPr>
          <w:color w:val="000000"/>
          <w:shd w:fill="FFFFFF" w:val="clear"/>
        </w:rPr>
        <w:t xml:space="preserve">” </w:t>
      </w:r>
      <w:r>
        <w:rPr>
          <w:rFonts w:ascii="Times New Roman;sans-serif" w:hAnsi="Times New Roman;sans-serif"/>
          <w:b w:val="false"/>
          <w:color w:val="000000"/>
          <w:sz w:val="22"/>
          <w:shd w:fill="FFFFFF" w:val="clear"/>
        </w:rPr>
        <w:t xml:space="preserve">shall mean any acquisition by Holdings, the Borrower or any Restricted Subsidiary that (i) is not permitted by the terms of the Credit Documents immediately prior to the consummation of such acquisition, (ii) if permitted by the terms of the Credit Documents immediately prior to the consummation of such acquisition, would not provide the Borrower and the Restricted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Subsidiaries with adequate flexibility under the Credit Documents for the continuation and/or expansion of their combined operations following such consummation, as determined by the Borrower acting in good faith, or (iii) results in a refinancing of the Initial Term Loans that involves an upsizing in connection with such acquisition.</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color w:val="000000"/>
          <w:sz w:val="22"/>
          <w:shd w:fill="FFFFFF" w:val="clear"/>
        </w:rPr>
        <w:t>Transformative Disposition</w:t>
      </w:r>
      <w:r>
        <w:rPr>
          <w:color w:val="000000"/>
          <w:shd w:fill="FFFFFF" w:val="clear"/>
        </w:rPr>
        <w:t xml:space="preserve">” </w:t>
      </w:r>
      <w:r>
        <w:rPr>
          <w:rFonts w:ascii="Times New Roman;sans-serif" w:hAnsi="Times New Roman;sans-serif"/>
          <w:b w:val="false"/>
          <w:color w:val="000000"/>
          <w:sz w:val="22"/>
          <w:shd w:fill="FFFFFF" w:val="clear"/>
        </w:rPr>
        <w:t>shall mean any disposition by the Borrower or any Restricted Subsidiary that (i) is not permitted by the terms of the Credit Documents immediately prior to the consummation of such disposition, (ii) if permitted by the terms of the Credit Documents immediately prior to the consummation of such disposition, would not provide the Borrower and the Restricted Subsidiaries with a durable capital structure following such consummation, as determined by the Borrower acting in good faith, or (iii) results in a refinancing of the Initial Term Loans that involves a downsizing in connection with such disposition.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Type</w:t>
      </w:r>
      <w:r>
        <w:rPr>
          <w:color w:val="000000"/>
        </w:rPr>
        <w:t xml:space="preserve">” </w:t>
      </w:r>
      <w:r>
        <w:rPr>
          <w:rFonts w:ascii="Times New Roman;sans-serif" w:hAnsi="Times New Roman;sans-serif"/>
          <w:b w:val="false"/>
          <w:color w:val="000000"/>
          <w:sz w:val="22"/>
        </w:rPr>
        <w:t xml:space="preserve">shall mean as to any Term Loan, its nature as an ABR Loan or a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Unadjusted Benchmark Replacement</w:t>
      </w:r>
      <w:r>
        <w:rPr>
          <w:color w:val="000000"/>
        </w:rPr>
        <w:t xml:space="preserve">” </w:t>
      </w:r>
      <w:r>
        <w:rPr>
          <w:rFonts w:ascii="Times New Roman;sans-serif" w:hAnsi="Times New Roman;sans-serif"/>
          <w:b w:val="false"/>
          <w:color w:val="000000"/>
          <w:sz w:val="22"/>
        </w:rPr>
        <w:t>shall mean the applicable Benchmark Replacement excluding the related Benchmark Replacement Adjustment.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Undisclosed Administration</w:t>
      </w:r>
      <w:r>
        <w:rPr>
          <w:color w:val="000000"/>
        </w:rPr>
        <w:t xml:space="preserve">” </w:t>
      </w:r>
      <w:r>
        <w:rPr>
          <w:rFonts w:ascii="Times New Roman;sans-serif" w:hAnsi="Times New Roman;sans-serif"/>
          <w:b w:val="false"/>
          <w:color w:val="000000"/>
          <w:sz w:val="22"/>
        </w:rPr>
        <w:t>shall mean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Unrestricted Subsidiary</w:t>
      </w:r>
      <w:r>
        <w:rPr>
          <w:color w:val="000000"/>
        </w:rPr>
        <w:t xml:space="preserve">” </w:t>
      </w:r>
      <w:r>
        <w:rPr>
          <w:rFonts w:ascii="Times New Roman;sans-serif" w:hAnsi="Times New Roman;sans-serif"/>
          <w:b w:val="false"/>
          <w:color w:val="000000"/>
          <w:sz w:val="22"/>
        </w:rPr>
        <w:t>shall mean (i) any Subsidiary of the Borrower which at the time of determination is an Unrestricted Subsidiary (as designated by the board of directors of the Borrower, as provided below) and (ii) any Subsidiary of an Unrestricted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board of directors of the Borrower may designate any Subsidiary of the Borrower (including any existing Subsidiary and any newly acquired or newly formed Subsidiary) to be an Unrestricted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such designation complies with </w:t>
      </w:r>
      <w:r>
        <w:rPr>
          <w:rFonts w:ascii="Times New Roman;sans-serif" w:hAnsi="Times New Roman;sans-serif"/>
          <w:b w:val="false"/>
          <w:color w:val="000000"/>
          <w:sz w:val="22"/>
          <w:u w:val="single"/>
        </w:rPr>
        <w:t>Section 10.5</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immediately after giving effect to such designation, no Event of Default under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11.5</w:t>
      </w:r>
      <w:r>
        <w:rPr>
          <w:color w:val="000000"/>
        </w:rPr>
        <w:t xml:space="preserve"> </w:t>
      </w:r>
      <w:r>
        <w:rPr>
          <w:rFonts w:ascii="Times New Roman;sans-serif" w:hAnsi="Times New Roman;sans-serif"/>
          <w:b w:val="false"/>
          <w:color w:val="000000"/>
          <w:sz w:val="22"/>
        </w:rPr>
        <w:t>shall have occurred and be continuing.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board of directors of the Borrower may designate any Unrestricted Subsidiary to be a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immediately after giving effect to such designation, no Event of Default under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11.5</w:t>
      </w:r>
      <w:r>
        <w:rPr>
          <w:color w:val="000000"/>
        </w:rPr>
        <w:t xml:space="preserve"> </w:t>
      </w:r>
      <w:r>
        <w:rPr>
          <w:rFonts w:ascii="Times New Roman;sans-serif" w:hAnsi="Times New Roman;sans-serif"/>
          <w:b w:val="false"/>
          <w:color w:val="000000"/>
          <w:sz w:val="22"/>
        </w:rPr>
        <w:t>shall have occurred and be continuing.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Any such designation by the board of directors of the Borrower shall be notified by the Borrower to the Administrative Agent by promptly delivering to the Administrative Agent a copy of the Board Resolution giving effect to such designation and a certificate of an Authorized Officer of the Borrower certifying that such designation complied with the foregoing provisions.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United States</w:t>
      </w:r>
      <w:r>
        <w:rPr>
          <w:color w:val="000000"/>
        </w:rPr>
        <w:t xml:space="preserve">” </w:t>
      </w:r>
      <w:r>
        <w:rPr>
          <w:rFonts w:ascii="Times New Roman;sans-serif" w:hAnsi="Times New Roman;sans-serif"/>
          <w:b w:val="false"/>
          <w:color w:val="000000"/>
          <w:sz w:val="22"/>
        </w:rPr>
        <w:t>shall mean the United States of America.</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ans-serif" w:hAnsi="Times New Roman;sans-serif"/>
          <w:b/>
          <w:color w:val="0000FF"/>
          <w:sz w:val="22"/>
          <w:u w:val="single"/>
        </w:rPr>
        <w:t>U.S. Government Securities Business Day”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U.S.</w:t>
      </w:r>
      <w:r>
        <w:rPr>
          <w:color w:val="000000"/>
        </w:rPr>
        <w:t xml:space="preserve"> </w:t>
      </w:r>
      <w:r>
        <w:rPr>
          <w:rFonts w:ascii="Times New Roman;sans-serif" w:hAnsi="Times New Roman;sans-serif"/>
          <w:b/>
          <w:color w:val="000000"/>
          <w:sz w:val="22"/>
        </w:rPr>
        <w:t>Lender</w:t>
      </w:r>
      <w:r>
        <w:rPr>
          <w:color w:val="000000"/>
        </w:rPr>
        <w:t xml:space="preserve">” </w:t>
      </w:r>
      <w:r>
        <w:rPr>
          <w:rFonts w:ascii="Times New Roman;sans-serif" w:hAnsi="Times New Roman;sans-serif"/>
          <w:b w:val="false"/>
          <w:color w:val="000000"/>
          <w:sz w:val="22"/>
        </w:rPr>
        <w:t xml:space="preserve">shall have the meaning provided in </w:t>
      </w:r>
      <w:r>
        <w:rPr>
          <w:rFonts w:ascii="Times New Roman;sans-serif" w:hAnsi="Times New Roman;sans-serif"/>
          <w:b w:val="false"/>
          <w:color w:val="000000"/>
          <w:sz w:val="22"/>
          <w:u w:val="single"/>
        </w:rPr>
        <w:t>Section 5.4(e)(ii)(A)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Voting Stock</w:t>
      </w:r>
      <w:r>
        <w:rPr>
          <w:color w:val="000000"/>
        </w:rPr>
        <w:t xml:space="preserve">” </w:t>
      </w:r>
      <w:r>
        <w:rPr>
          <w:rFonts w:ascii="Times New Roman;sans-serif" w:hAnsi="Times New Roman;sans-serif"/>
          <w:b w:val="false"/>
          <w:color w:val="000000"/>
          <w:sz w:val="22"/>
        </w:rPr>
        <w:t>shall mean, with respect to any Person as of any date, the Capital Stock of such Person that is at the time entitled to vote in the election of the board of directors or managers (or similar governing authority)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Wholly-Owned Restricted Subsidiary</w:t>
      </w:r>
      <w:r>
        <w:rPr>
          <w:color w:val="000000"/>
        </w:rPr>
        <w:t xml:space="preserve">” </w:t>
      </w:r>
      <w:r>
        <w:rPr>
          <w:rFonts w:ascii="Times New Roman;sans-serif" w:hAnsi="Times New Roman;sans-serif"/>
          <w:b w:val="false"/>
          <w:color w:val="000000"/>
          <w:sz w:val="22"/>
        </w:rPr>
        <w:t>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Wholly-Owned Subsidiary</w:t>
      </w:r>
      <w:r>
        <w:rPr>
          <w:color w:val="000000"/>
        </w:rPr>
        <w:t xml:space="preserve">” </w:t>
      </w:r>
      <w:r>
        <w:rPr>
          <w:rFonts w:ascii="Times New Roman;sans-serif" w:hAnsi="Times New Roman;sans-serif"/>
          <w:b w:val="false"/>
          <w:color w:val="000000"/>
          <w:sz w:val="22"/>
        </w:rPr>
        <w:t>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Withdrawal Liability</w:t>
      </w:r>
      <w:r>
        <w:rPr>
          <w:color w:val="000000"/>
        </w:rPr>
        <w:t xml:space="preserve">” </w:t>
      </w:r>
      <w:r>
        <w:rPr>
          <w:rFonts w:ascii="Times New Roman;sans-serif" w:hAnsi="Times New Roman;sans-serif"/>
          <w:b w:val="false"/>
          <w:color w:val="000000"/>
          <w:sz w:val="22"/>
        </w:rPr>
        <w:t>shall mean liability to a Multiemployer Plan as a result of a complete or partial withdrawal from such Multiemployer Plan, as such terms are defined in Title IV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Withholding Agent</w:t>
      </w:r>
      <w:r>
        <w:rPr>
          <w:color w:val="000000"/>
        </w:rPr>
        <w:t xml:space="preserve">” </w:t>
      </w:r>
      <w:r>
        <w:rPr>
          <w:rFonts w:ascii="Times New Roman;sans-serif" w:hAnsi="Times New Roman;sans-serif"/>
          <w:b w:val="false"/>
          <w:color w:val="000000"/>
          <w:sz w:val="22"/>
        </w:rPr>
        <w:t>shall mean any Credit Party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1.2    </w:t>
      </w:r>
      <w:r>
        <w:rPr>
          <w:rFonts w:ascii="Times New Roman;sans-serif" w:hAnsi="Times New Roman;sans-serif"/>
          <w:b w:val="false"/>
          <w:color w:val="000000"/>
          <w:sz w:val="22"/>
          <w:u w:val="single"/>
        </w:rPr>
        <w:t>Other Interpretive Provisions</w:t>
      </w:r>
      <w:r>
        <w:rPr>
          <w:rFonts w:ascii="Times New Roman;sans-serif" w:hAnsi="Times New Roman;sans-serif"/>
          <w:b w:val="false"/>
          <w:color w:val="000000"/>
          <w:sz w:val="22"/>
        </w:rPr>
        <w:t>. With reference to this Agreement and each other Credit Document, unless otherwise specified herein or in such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meanings of defined terms are equally applicable to the singular and plural forms of the defined terms.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words “herein”, “hereto”, “hereof”, and “hereunder” and words of similar import when used in any Credit Document shall refer to such Credit Document as a whole and not to any particular provision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Section, Exhibit, and Schedule references are to the Credit Document in which such reference appears.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The term “including” is by way of example and not limitation.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The term “documents” includes any and all instruments, documents, agreements, certificates, notices, reports, financial statements and other writings, however evidenced, whether in physical or electronic form.</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Section headings herein and in the other Credit Documents are included for convenience of reference only and shall not affect the interpretation of this Agreement or any other Credit Document.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All references to “knowledge” or “awareness” of any Credit Party or any Restricted Subsidiary thereof means the actual knowledge of an Authorized Officer of such Credit Party or such 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1.3    </w:t>
      </w:r>
      <w:r>
        <w:rPr>
          <w:rFonts w:ascii="Times New Roman;sans-serif" w:hAnsi="Times New Roman;sans-serif"/>
          <w:b w:val="false"/>
          <w:color w:val="000000"/>
          <w:sz w:val="22"/>
          <w:u w:val="single"/>
        </w:rPr>
        <w:t>Accounting Terms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Notwithstanding anything to the contrary herein, for purposes of determining compliance with any test or covenant contained in this Agreement with respect to any period during which any Specified Transaction occurs, the Consolidated Total Debt to Consolidated EBITDA Ratio, the Consolidated First Lien Secured Debt to Consolidated EBITDA Ratio, and the First Lien Secured Leverage Test shall each be calculated with respect to such period and such Specified Transaction on a Pro Forma Basis.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Where reference is made to “the Borrower and the Restricted Subsidiaries on a consolidated basis” or similar language, such combination shall not include any Subsidiaries of the Borrower other than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1.4    </w:t>
      </w:r>
      <w:r>
        <w:rPr>
          <w:rFonts w:ascii="Times New Roman;sans-serif" w:hAnsi="Times New Roman;sans-serif"/>
          <w:b w:val="false"/>
          <w:color w:val="000000"/>
          <w:sz w:val="22"/>
          <w:u w:val="single"/>
        </w:rPr>
        <w:t>Rounding</w:t>
      </w:r>
      <w:r>
        <w:rPr>
          <w:rFonts w:ascii="Times New Roman;sans-serif" w:hAnsi="Times New Roman;sans-serif"/>
          <w:b w:val="false"/>
          <w:color w:val="000000"/>
          <w:sz w:val="22"/>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1.5    </w:t>
      </w:r>
      <w:r>
        <w:rPr>
          <w:rFonts w:ascii="Times New Roman;sans-serif" w:hAnsi="Times New Roman;sans-serif"/>
          <w:b w:val="false"/>
          <w:color w:val="000000"/>
          <w:sz w:val="22"/>
          <w:u w:val="single"/>
        </w:rPr>
        <w:t>References to Agreements, Laws, Etc.</w:t>
      </w:r>
      <w:r>
        <w:rPr>
          <w:color w:val="000000"/>
        </w:rPr>
        <w:t xml:space="preserve"> </w:t>
      </w:r>
      <w:r>
        <w:rPr>
          <w:rFonts w:ascii="Times New Roman;sans-serif" w:hAnsi="Times New Roman;sans-serif"/>
          <w:b w:val="false"/>
          <w:color w:val="000000"/>
          <w:sz w:val="22"/>
        </w:rPr>
        <w:t>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Requirements of Law shall include all statutory and regulatory provisions consolidating, amending, replacing, supplementing, or interpreting such Requirements of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1.6    </w:t>
      </w:r>
      <w:r>
        <w:rPr>
          <w:rFonts w:ascii="Times New Roman;sans-serif" w:hAnsi="Times New Roman;sans-serif"/>
          <w:b w:val="false"/>
          <w:color w:val="000000"/>
          <w:sz w:val="22"/>
          <w:u w:val="single"/>
        </w:rPr>
        <w:t>Exchange Rates</w:t>
      </w:r>
      <w:r>
        <w:rPr>
          <w:rFonts w:ascii="Times New Roman;sans-serif" w:hAnsi="Times New Roman;sans-serif"/>
          <w:b w:val="false"/>
          <w:color w:val="000000"/>
          <w:sz w:val="22"/>
        </w:rPr>
        <w:t xml:space="preserve">. Notwithstanding the foregoing, for purposes of any determination under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for purposes of determining compliance with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 xml:space="preserve">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after such Asset Sale or Restricted Payment is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made;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for the avoidance of doubt, the foregoing provisions of this </w:t>
      </w:r>
      <w:r>
        <w:rPr>
          <w:rFonts w:ascii="Times New Roman;sans-serif" w:hAnsi="Times New Roman;sans-serif"/>
          <w:b w:val="false"/>
          <w:color w:val="000000"/>
          <w:sz w:val="22"/>
          <w:u w:val="single"/>
        </w:rPr>
        <w:t>Section 1.6</w:t>
      </w:r>
      <w:r>
        <w:rPr>
          <w:color w:val="000000"/>
        </w:rPr>
        <w:t xml:space="preserve"> </w:t>
      </w:r>
      <w:r>
        <w:rPr>
          <w:rFonts w:ascii="Times New Roman;sans-serif" w:hAnsi="Times New Roman;sans-serif"/>
          <w:b w:val="false"/>
          <w:color w:val="000000"/>
          <w:sz w:val="22"/>
        </w:rPr>
        <w:t xml:space="preserve">shall otherwise apply to such Sections, including with respect to determining whether any Indebtedness, Lien, or Investment may be incurred or Asset Sale or Restricted Payment made at any time under such Sections. For purposes of any determination of Consolidated Total Debt or Consolidated First Lien Secured Debt, amounts in currencies other than Dollars shall be translated into Dollars at the currency exchange rates used in preparing the most recently delivered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Financials.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1.7    </w:t>
      </w:r>
      <w:r>
        <w:rPr>
          <w:rFonts w:ascii="Times New Roman;sans-serif" w:hAnsi="Times New Roman;sans-serif"/>
          <w:b w:val="false"/>
          <w:color w:val="000000"/>
          <w:sz w:val="22"/>
          <w:u w:val="single"/>
        </w:rPr>
        <w:t>Rates</w:t>
      </w:r>
      <w:r>
        <w:rPr>
          <w:rFonts w:ascii="Times New Roman;sans-serif" w:hAnsi="Times New Roman;sans-serif"/>
          <w:b/>
          <w:strike/>
          <w:color w:val="FF0000"/>
          <w:sz w:val="22"/>
          <w:u w:val="single"/>
        </w:rPr>
        <w:t>; LIBOR notification</w:t>
      </w:r>
      <w:r>
        <w:rPr>
          <w:rFonts w:ascii="Times New Roman;sans-serif" w:hAnsi="Times New Roman;sans-serif"/>
          <w:b/>
          <w:strike/>
          <w:color w:val="FF0000"/>
          <w:sz w:val="22"/>
        </w:rPr>
        <w:t>. The interest rate on LIBOR Loans is determined by reference to the LIBOR Screen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Times New Roman;sans-serif" w:hAnsi="Times New Roman;sans-serif"/>
          <w:b/>
          <w:i/>
          <w:strike/>
          <w:color w:val="FF0000"/>
          <w:sz w:val="22"/>
        </w:rPr>
        <w:t>IBA</w:t>
      </w:r>
      <w:r>
        <w:rPr>
          <w:strike/>
          <w:color w:val="FF0000"/>
        </w:rPr>
        <w:t>”</w:t>
      </w:r>
      <w:r>
        <w:rPr>
          <w:rFonts w:ascii="Times New Roman;sans-serif" w:hAnsi="Times New Roman;sans-serif"/>
          <w:b/>
          <w:strike/>
          <w:color w:val="FF0000"/>
          <w:sz w:val="22"/>
        </w:rPr>
        <w:t>) for purposes of the IBA setting the London interbank offered rate. On March 5, 2021, the IBA stated that as a result of its not having access to input data necessary to calculate LIBOR settings on a representative basis beyond the intended cessation dates set forth in the table below, it would have to cease publication of all 35 LIBOR settings immediately after such dates:</w:t>
      </w:r>
    </w:p>
    <w:tbl>
      <w:tblPr>
        <w:tblW w:w="10205" w:type="dxa"/>
        <w:jc w:val="left"/>
        <w:tblInd w:w="0" w:type="dxa"/>
        <w:tblLayout w:type="fixed"/>
        <w:tblCellMar>
          <w:top w:w="28" w:type="dxa"/>
          <w:left w:w="28" w:type="dxa"/>
          <w:bottom w:w="28" w:type="dxa"/>
          <w:right w:w="28" w:type="dxa"/>
        </w:tblCellMar>
      </w:tblPr>
      <w:tblGrid>
        <w:gridCol w:w="783"/>
        <w:gridCol w:w="687"/>
        <w:gridCol w:w="692"/>
        <w:gridCol w:w="2036"/>
        <w:gridCol w:w="2036"/>
        <w:gridCol w:w="2043"/>
        <w:gridCol w:w="561"/>
        <w:gridCol w:w="561"/>
        <w:gridCol w:w="806"/>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LIBOR Currency</w:t>
            </w:r>
          </w:p>
        </w:tc>
        <w:tc>
          <w:tcPr>
            <w:tcW w:w="6115"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LIBOR Settings</w:t>
            </w:r>
          </w:p>
        </w:tc>
        <w:tc>
          <w:tcPr>
            <w:tcW w:w="1928" w:type="dxa"/>
            <w:gridSpan w:val="3"/>
            <w:tcBorders>
              <w:top w:val="single" w:sz="4" w:space="0" w:color="000000"/>
              <w:left w:val="single" w:sz="4" w:space="0" w:color="000000"/>
              <w:right w:val="single" w:sz="4" w:space="0" w:color="000000"/>
            </w:tcBorders>
            <w:shd w:fill="FFDEAD" w:val="clear"/>
            <w:tcMar>
              <w:top w:w="30" w:type="dxa"/>
              <w:bottom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Date</w:t>
            </w:r>
          </w:p>
        </w:tc>
      </w:tr>
      <w:tr>
        <w:trPr/>
        <w:tc>
          <w:tcPr>
            <w:tcW w:w="2162"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USD</w:t>
            </w:r>
          </w:p>
        </w:tc>
        <w:tc>
          <w:tcPr>
            <w:tcW w:w="6115"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1-week, 2-month</w:t>
            </w:r>
          </w:p>
        </w:tc>
        <w:tc>
          <w:tcPr>
            <w:tcW w:w="1928" w:type="dxa"/>
            <w:gridSpan w:val="3"/>
            <w:tcBorders>
              <w:top w:val="single" w:sz="4" w:space="0" w:color="000000"/>
              <w:left w:val="single" w:sz="4" w:space="0" w:color="000000"/>
              <w:right w:val="single" w:sz="4" w:space="0" w:color="000000"/>
            </w:tcBorders>
            <w:shd w:fill="FFDEAD" w:val="clear"/>
            <w:tcMar>
              <w:top w:w="30" w:type="dxa"/>
              <w:bottom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December 31, 2021</w:t>
            </w:r>
          </w:p>
        </w:tc>
      </w:tr>
      <w:tr>
        <w:trPr/>
        <w:tc>
          <w:tcPr>
            <w:tcW w:w="2162"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USD</w:t>
            </w:r>
          </w:p>
        </w:tc>
        <w:tc>
          <w:tcPr>
            <w:tcW w:w="6115"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0"/>
              <w:jc w:val="both"/>
              <w:rPr>
                <w:rFonts w:ascii="Times New Roman;sans-serif" w:hAnsi="Times New Roman;sans-serif"/>
                <w:b/>
                <w:strike/>
                <w:color w:val="FF0000"/>
                <w:sz w:val="22"/>
              </w:rPr>
            </w:pPr>
            <w:r>
              <w:rPr>
                <w:rFonts w:ascii="Times New Roman;sans-serif" w:hAnsi="Times New Roman;sans-serif"/>
                <w:b/>
                <w:strike/>
                <w:color w:val="FF0000"/>
                <w:sz w:val="22"/>
              </w:rPr>
              <w:t xml:space="preserve">All other settings </w:t>
            </w:r>
          </w:p>
          <w:p>
            <w:pPr>
              <w:pStyle w:val="TableContents"/>
              <w:bidi w:val="0"/>
              <w:spacing w:lineRule="auto" w:line="240" w:before="0" w:after="0"/>
              <w:jc w:val="both"/>
              <w:rPr>
                <w:rFonts w:ascii="Times New Roman;sans-serif" w:hAnsi="Times New Roman;sans-serif"/>
                <w:b/>
                <w:strike/>
                <w:color w:val="FF0000"/>
                <w:sz w:val="22"/>
              </w:rPr>
            </w:pPr>
            <w:r>
              <w:rPr>
                <w:rFonts w:ascii="Times New Roman;sans-serif" w:hAnsi="Times New Roman;sans-serif"/>
                <w:b/>
                <w:strike/>
                <w:color w:val="FF0000"/>
                <w:sz w:val="22"/>
              </w:rPr>
              <w:t>(i.e., Overnight/Spot Next, 1-month, 3-month, 6-month and 12-month)</w:t>
            </w:r>
          </w:p>
        </w:tc>
        <w:tc>
          <w:tcPr>
            <w:tcW w:w="1928" w:type="dxa"/>
            <w:gridSpan w:val="3"/>
            <w:tcBorders>
              <w:top w:val="single" w:sz="4" w:space="0" w:color="000000"/>
              <w:left w:val="single" w:sz="4" w:space="0" w:color="000000"/>
              <w:right w:val="single" w:sz="4" w:space="0" w:color="000000"/>
            </w:tcBorders>
            <w:shd w:fill="FFDEAD" w:val="clear"/>
            <w:tcMar>
              <w:top w:w="30" w:type="dxa"/>
              <w:bottom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June 30, 2023</w:t>
            </w:r>
          </w:p>
        </w:tc>
      </w:tr>
      <w:tr>
        <w:trPr/>
        <w:tc>
          <w:tcPr>
            <w:tcW w:w="2162" w:type="dxa"/>
            <w:gridSpan w:val="3"/>
            <w:tcBorders>
              <w:top w:val="single" w:sz="4" w:space="0" w:color="000000"/>
              <w:left w:val="single" w:sz="4" w:space="0" w:color="000000"/>
              <w:bottom w:val="single" w:sz="4" w:space="0" w:color="000000"/>
            </w:tcBorders>
            <w:shd w:fill="FFDEAD" w:val="clear"/>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GBP, EUR, CHF, JPY</w:t>
            </w:r>
          </w:p>
        </w:tc>
        <w:tc>
          <w:tcPr>
            <w:tcW w:w="6115" w:type="dxa"/>
            <w:gridSpan w:val="3"/>
            <w:tcBorders>
              <w:top w:val="single" w:sz="4" w:space="0" w:color="000000"/>
              <w:left w:val="single" w:sz="4" w:space="0" w:color="000000"/>
              <w:bottom w:val="single" w:sz="4" w:space="0" w:color="000000"/>
            </w:tcBorders>
            <w:shd w:fill="FFDEAD" w:val="clear"/>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All settings</w:t>
            </w:r>
          </w:p>
        </w:tc>
        <w:tc>
          <w:tcPr>
            <w:tcW w:w="1928" w:type="dxa"/>
            <w:gridSpan w:val="3"/>
            <w:tcBorders>
              <w:top w:val="single" w:sz="4" w:space="0" w:color="000000"/>
              <w:left w:val="single" w:sz="4" w:space="0" w:color="000000"/>
              <w:bottom w:val="single" w:sz="4" w:space="0" w:color="000000"/>
              <w:right w:val="single" w:sz="4" w:space="0" w:color="000000"/>
            </w:tcBorders>
            <w:shd w:fill="FFDEAD" w:val="clear"/>
            <w:tcMar>
              <w:top w:w="30" w:type="dxa"/>
              <w:bottom w:w="30" w:type="dxa"/>
            </w:tcMar>
            <w:vAlign w:val="center"/>
          </w:tcPr>
          <w:p>
            <w:pPr>
              <w:pStyle w:val="TableContents"/>
              <w:bidi w:val="0"/>
              <w:spacing w:lineRule="auto" w:line="240" w:before="0" w:after="283"/>
              <w:jc w:val="both"/>
              <w:rPr>
                <w:rFonts w:ascii="Times New Roman;sans-serif" w:hAnsi="Times New Roman;sans-serif"/>
                <w:b/>
                <w:strike/>
                <w:color w:val="FF0000"/>
                <w:sz w:val="22"/>
              </w:rPr>
            </w:pPr>
            <w:r>
              <w:rPr>
                <w:rFonts w:ascii="Times New Roman;sans-serif" w:hAnsi="Times New Roman;sans-serif"/>
                <w:b/>
                <w:strike/>
                <w:color w:val="FF0000"/>
                <w:sz w:val="22"/>
              </w:rPr>
              <w:t>December 31, 2021</w:t>
            </w:r>
          </w:p>
        </w:tc>
      </w:tr>
    </w:tbl>
    <w:p>
      <w:pPr>
        <w:pStyle w:val="TextBody"/>
        <w:bidi w:val="0"/>
        <w:spacing w:lineRule="auto" w:line="240" w:before="0" w:after="240"/>
        <w:ind w:left="0" w:right="0" w:firstLine="1440"/>
        <w:jc w:val="both"/>
        <w:rPr/>
      </w:pPr>
      <w:r>
        <w:rPr>
          <w:rFonts w:ascii="Times New Roman;sans-serif" w:hAnsi="Times New Roman;sans-serif"/>
          <w:b/>
          <w:color w:val="0000FF"/>
          <w:sz w:val="22"/>
          <w:u w:val="single"/>
        </w:rPr>
        <w:t xml:space="preserve">. The Administrative Agent </w:t>
      </w:r>
      <w:r>
        <w:rPr>
          <w:rFonts w:ascii="Times New Roman;sans-serif" w:hAnsi="Times New Roman;sans-serif"/>
          <w:b w:val="false"/>
          <w:i/>
          <w:color w:val="008000"/>
          <w:sz w:val="22"/>
          <w:u w:val="single"/>
        </w:rPr>
        <w:t xml:space="preserve">does not warrant or accept any responsibility for, and shall not have any liability with respect to, </w:t>
      </w:r>
      <w:r>
        <w:rPr>
          <w:rFonts w:ascii="Times New Roman;sans-serif" w:hAnsi="Times New Roman;sans-serif"/>
          <w:b/>
          <w:color w:val="0000FF"/>
          <w:sz w:val="22"/>
          <w:u w:val="single"/>
        </w:rPr>
        <w:t xml:space="preserve">(a) the continuation of, administration of, submission of, calculation of or any other matter related to ABR, the Term SOFR Reference Rate, Adjusted Term SOFR or Term SOFR, or any component definition thereof or rates referred to in the definition thereof, or any alternative, successor or replacement rate thereto (including any Benchmark Replacement), including </w:t>
      </w:r>
      <w:r>
        <w:rPr>
          <w:rFonts w:ascii="Times New Roman;sans-serif" w:hAnsi="Times New Roman;sans-serif"/>
          <w:b w:val="false"/>
          <w:i/>
          <w:color w:val="008000"/>
          <w:sz w:val="22"/>
          <w:u w:val="single"/>
        </w:rPr>
        <w:t xml:space="preserve">whether the composition or characteristics of any such alternative, successor or replacement </w:t>
      </w:r>
      <w:r>
        <w:rPr>
          <w:rFonts w:ascii="Times New Roman;sans-serif" w:hAnsi="Times New Roman;sans-serif"/>
          <w:b/>
          <w:color w:val="0000FF"/>
          <w:sz w:val="22"/>
          <w:u w:val="single"/>
        </w:rPr>
        <w:t xml:space="preserve">rate (including any Benchmark Replacement) </w:t>
      </w:r>
      <w:r>
        <w:rPr>
          <w:rFonts w:ascii="Times New Roman;sans-serif" w:hAnsi="Times New Roman;sans-serif"/>
          <w:b w:val="false"/>
          <w:i/>
          <w:color w:val="008000"/>
          <w:sz w:val="22"/>
          <w:u w:val="single"/>
        </w:rPr>
        <w:t xml:space="preserve">will be similar to, or produce the same value or economic equivalence of, </w:t>
      </w:r>
      <w:r>
        <w:rPr>
          <w:rFonts w:ascii="Times New Roman;sans-serif" w:hAnsi="Times New Roman;sans-serif"/>
          <w:b/>
          <w:color w:val="0000FF"/>
          <w:sz w:val="22"/>
          <w:u w:val="single"/>
        </w:rPr>
        <w:t>or have the same volume or liquidity as, ABR, the Term SOFR Reference Rate, Adjusted Term SOFR, Term SOFR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ABR,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Adjusted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strike/>
          <w:color w:val="FF0000"/>
          <w:sz w:val="22"/>
        </w:rPr>
        <w:t xml:space="preserve">The IBA did not identify any successor administrator in its announcement.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Section 3 provides a mechanism for determining an alternative rate of interest. The Administrative Agent will promptly notify the Borrower, pursuant to Section 3, of any change to the reference rate upon which the interest rate on LIBOR Loans is based. However, the Administrative Agent </w:t>
      </w:r>
      <w:r>
        <w:rPr>
          <w:rFonts w:ascii="Times New Roman;sans-serif" w:hAnsi="Times New Roman;sans-serif"/>
          <w:b w:val="false"/>
          <w:i/>
          <w:strike/>
          <w:color w:val="008000"/>
          <w:sz w:val="22"/>
        </w:rPr>
        <w:t xml:space="preserve">does not warrant or accept any responsibility for, and shall not have any liability with respect to, </w:t>
      </w:r>
      <w:r>
        <w:rPr>
          <w:rFonts w:ascii="Times New Roman;sans-serif" w:hAnsi="Times New Roman;sans-serif"/>
          <w:b/>
          <w:strike/>
          <w:color w:val="FF0000"/>
          <w:sz w:val="22"/>
        </w:rPr>
        <w:t xml:space="preserve">the administration, submission or any other matter related to the London interbank offered rate or other rates in the definition of “LIBOR Rate” or with respect to any alternative or successor rate thereto, or replacement rate thereof including, without limitation, (i) any such alternative, successor or replacement rate implemented pursuant to Section 3, whether upon the occurrence of a Benchmark Transition Event or an Early Opt-in Election, and (ii) the implementation of any Benchmark Replacement Conforming Changes pursuant to Section 3, including without limitation, </w:t>
      </w:r>
      <w:r>
        <w:rPr>
          <w:rFonts w:ascii="Times New Roman;sans-serif" w:hAnsi="Times New Roman;sans-serif"/>
          <w:b w:val="false"/>
          <w:i/>
          <w:strike/>
          <w:color w:val="008000"/>
          <w:sz w:val="22"/>
        </w:rPr>
        <w:t xml:space="preserve">whether the composition or characteristics of any such alternative, successor or replacement </w:t>
      </w:r>
      <w:r>
        <w:rPr>
          <w:rFonts w:ascii="Times New Roman;sans-serif" w:hAnsi="Times New Roman;sans-serif"/>
          <w:b/>
          <w:strike/>
          <w:color w:val="FF0000"/>
          <w:sz w:val="22"/>
        </w:rPr>
        <w:t xml:space="preserve">reference rate </w:t>
      </w:r>
      <w:r>
        <w:rPr>
          <w:rFonts w:ascii="Times New Roman;sans-serif" w:hAnsi="Times New Roman;sans-serif"/>
          <w:b w:val="false"/>
          <w:i/>
          <w:strike/>
          <w:color w:val="008000"/>
          <w:sz w:val="22"/>
        </w:rPr>
        <w:t xml:space="preserve">will be similar to, or produce the same value or economic equivalence of, </w:t>
      </w:r>
      <w:r>
        <w:rPr>
          <w:rFonts w:ascii="Times New Roman;sans-serif" w:hAnsi="Times New Roman;sans-serif"/>
          <w:b/>
          <w:strike/>
          <w:color w:val="FF0000"/>
          <w:sz w:val="22"/>
        </w:rPr>
        <w:t>the LIBOR Rate or have the same volume or liquidity as did the London interbank offered rate prior to its discontinuance or unavailability.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1.8    </w:t>
      </w:r>
      <w:r>
        <w:rPr>
          <w:rFonts w:ascii="Times New Roman;sans-serif" w:hAnsi="Times New Roman;sans-serif"/>
          <w:b w:val="false"/>
          <w:color w:val="000000"/>
          <w:sz w:val="22"/>
          <w:u w:val="single"/>
        </w:rPr>
        <w:t>Times of Day</w:t>
      </w:r>
      <w:r>
        <w:rPr>
          <w:rFonts w:ascii="Times New Roman;sans-serif" w:hAnsi="Times New Roman;sans-serif"/>
          <w:b w:val="false"/>
          <w:color w:val="000000"/>
          <w:sz w:val="22"/>
        </w:rPr>
        <w:t>. Unless otherwise specified, all references herein to times of day shall be references to Eastern time (daylight or standard, as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1.9    </w:t>
      </w:r>
      <w:r>
        <w:rPr>
          <w:rFonts w:ascii="Times New Roman;sans-serif" w:hAnsi="Times New Roman;sans-serif"/>
          <w:b w:val="false"/>
          <w:color w:val="000000"/>
          <w:sz w:val="22"/>
          <w:u w:val="single"/>
        </w:rPr>
        <w:t>Timing of Payment or Performance</w:t>
      </w:r>
      <w:r>
        <w:rPr>
          <w:rFonts w:ascii="Times New Roman;sans-serif" w:hAnsi="Times New Roman;sans-serif"/>
          <w:b w:val="false"/>
          <w:color w:val="000000"/>
          <w:sz w:val="22"/>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1.10    </w:t>
      </w:r>
      <w:r>
        <w:rPr>
          <w:rFonts w:ascii="Times New Roman;sans-serif" w:hAnsi="Times New Roman;sans-serif"/>
          <w:b w:val="false"/>
          <w:color w:val="000000"/>
          <w:sz w:val="22"/>
          <w:u w:val="single"/>
        </w:rPr>
        <w:t>Certifications</w:t>
      </w:r>
      <w:r>
        <w:rPr>
          <w:rFonts w:ascii="Times New Roman;sans-serif" w:hAnsi="Times New Roman;sans-serif"/>
          <w:b w:val="false"/>
          <w:color w:val="000000"/>
          <w:sz w:val="22"/>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1.11    </w:t>
      </w:r>
      <w:r>
        <w:rPr>
          <w:rFonts w:ascii="Times New Roman;sans-serif" w:hAnsi="Times New Roman;sans-serif"/>
          <w:b w:val="false"/>
          <w:color w:val="000000"/>
          <w:sz w:val="22"/>
          <w:u w:val="single"/>
        </w:rPr>
        <w:t>Compliance with Certain Sections</w:t>
      </w:r>
      <w:r>
        <w:rPr>
          <w:rFonts w:ascii="Times New Roman;sans-serif" w:hAnsi="Times New Roman;sans-serif"/>
          <w:b w:val="false"/>
          <w:color w:val="000000"/>
          <w:sz w:val="22"/>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subsection or underlying defined term of </w:t>
      </w:r>
      <w:r>
        <w:rPr>
          <w:rFonts w:ascii="Times New Roman;sans-serif" w:hAnsi="Times New Roman;sans-serif"/>
          <w:b w:val="false"/>
          <w:color w:val="000000"/>
          <w:sz w:val="22"/>
          <w:u w:val="single"/>
        </w:rPr>
        <w:t>Section 9.9</w:t>
      </w:r>
      <w:r>
        <w:rPr>
          <w:color w:val="000000"/>
        </w:rPr>
        <w:t xml:space="preserve"> </w:t>
      </w:r>
      <w:r>
        <w:rPr>
          <w:rFonts w:ascii="Times New Roman;sans-serif" w:hAnsi="Times New Roman;sans-serif"/>
          <w:b w:val="false"/>
          <w:color w:val="000000"/>
          <w:sz w:val="22"/>
        </w:rPr>
        <w:t xml:space="preserve">or any clause, subsection or underlying defined term of </w:t>
      </w:r>
      <w:r>
        <w:rPr>
          <w:rFonts w:ascii="Times New Roman;sans-serif" w:hAnsi="Times New Roman;sans-serif"/>
          <w:b w:val="false"/>
          <w:color w:val="000000"/>
          <w:sz w:val="22"/>
          <w:u w:val="single"/>
        </w:rPr>
        <w:t>Sections 10.1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10.6</w:t>
      </w:r>
      <w:r>
        <w:rPr>
          <w:rFonts w:ascii="Times New Roman;sans-serif" w:hAnsi="Times New Roman;sans-serif"/>
          <w:b w:val="false"/>
          <w:color w:val="000000"/>
          <w:sz w:val="22"/>
        </w:rPr>
        <w:t>, then such transaction (or portion thereof) at any time shall be allocated to one or more of such clauses or subsections within the relevant sections as determined by the Borrower in its sole discretion at such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1.12    </w:t>
      </w:r>
      <w:r>
        <w:rPr>
          <w:rFonts w:ascii="Times New Roman;sans-serif" w:hAnsi="Times New Roman;sans-serif"/>
          <w:b w:val="false"/>
          <w:color w:val="000000"/>
          <w:sz w:val="22"/>
          <w:u w:val="single"/>
        </w:rPr>
        <w:t>Pro Forma and Other Calculations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For purposes of calculating the Fixed Charge Coverage Ratio, Consolidated First Lien Secured Debt to Consolidated EBITDA Ratio, Consolidated Total Debt to Consolidated EBITDA Ratio, Investments, acquisitions, dispositions, mergers, consolidations, and disposed operations (as determined in accordance with GAAP) that have been made by the Borrower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the Borrower or any Restricted Subsidiary since the beginning of such period) shall have made any Investment, acquisition, disposition, merger, consolidation, or disposed operation that would have required adjustment pursuant to this definition, then the Fixed Charge Coverage Ratio, Consolidated First Lien Secured Debt to Consolidated EBITDA Ratio and Consolidated Total Debt to Consolidated EBITDA Ratio shall be calculated giving Pro Forma Effect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including amount incurred under Consolidated EBITDA grower basket, the “</w:t>
      </w:r>
      <w:r>
        <w:rPr>
          <w:rFonts w:ascii="Times New Roman;sans-serif" w:hAnsi="Times New Roman;sans-serif"/>
          <w:b/>
          <w:color w:val="000000"/>
          <w:sz w:val="22"/>
        </w:rPr>
        <w:t>Fixed Amounts</w:t>
      </w:r>
      <w:r>
        <w:rPr>
          <w:color w:val="000000"/>
        </w:rPr>
        <w:t>”</w:t>
      </w:r>
      <w:r>
        <w:rPr>
          <w:rFonts w:ascii="Times New Roman;sans-serif" w:hAnsi="Times New Roman;sans-serif"/>
          <w:b w:val="false"/>
          <w:color w:val="000000"/>
          <w:sz w:val="22"/>
        </w:rPr>
        <w:t>) substantially concurrently with any amounts Incurred or transactions entered into (or consummated) in reliance on a provision of this Agreement that requires compliance with any such financial ratio or test (any such amounts, the “</w:t>
      </w:r>
      <w:r>
        <w:rPr>
          <w:rFonts w:ascii="Times New Roman;sans-serif" w:hAnsi="Times New Roman;sans-serif"/>
          <w:b/>
          <w:color w:val="000000"/>
          <w:sz w:val="22"/>
        </w:rPr>
        <w:t>Incurrence Based Amounts</w:t>
      </w:r>
      <w:r>
        <w:rPr>
          <w:color w:val="000000"/>
        </w:rPr>
        <w:t>”</w:t>
      </w:r>
      <w:r>
        <w:rPr>
          <w:rFonts w:ascii="Times New Roman;sans-serif" w:hAnsi="Times New Roman;sans-serif"/>
          <w:b w:val="false"/>
          <w:color w:val="000000"/>
          <w:sz w:val="22"/>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In connection with the Incurrence of any Indebtedness pursuant to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the definitions of Required Lenders and Required Initial Term Loan Lenders shall be calculated on a Pro Forma Basis in accordance with this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and the definition of Maximum Incremental Facilities Amount.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w:t>
      </w:r>
      <w:r>
        <w:rPr>
          <w:rFonts w:ascii="Times New Roman;sans-serif" w:hAnsi="Times New Roman;sans-serif"/>
          <w:b/>
          <w:strike/>
          <w:color w:val="FF0000"/>
          <w:sz w:val="22"/>
        </w:rPr>
        <w:t>a eurocurrency</w:t>
      </w:r>
      <w:r>
        <w:rPr>
          <w:rFonts w:ascii="Times New Roman;sans-serif" w:hAnsi="Times New Roman;sans-serif"/>
          <w:b/>
          <w:color w:val="0000FF"/>
          <w:sz w:val="22"/>
          <w:u w:val="single"/>
        </w:rPr>
        <w:t>an</w:t>
      </w:r>
      <w:r>
        <w:rPr>
          <w:color w:val="000000"/>
        </w:rPr>
        <w:t xml:space="preserve"> </w:t>
      </w:r>
      <w:r>
        <w:rPr>
          <w:rFonts w:ascii="Times New Roman;sans-serif" w:hAnsi="Times New Roman;sans-serif"/>
          <w:b w:val="false"/>
          <w:color w:val="000000"/>
          <w:sz w:val="22"/>
        </w:rPr>
        <w:t xml:space="preserve">interbank offered rate, or other rate, shall be deemed to have been based upon the rate actually chosen, or, if none, then based upon such optional rate chosen as the Borrower may designate.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any action being taken solely in connection with a Limited Condition Transaction, for purposes 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(i)    </w:t>
      </w:r>
      <w:r>
        <w:rPr>
          <w:rFonts w:ascii="Times New Roman;sans-serif" w:hAnsi="Times New Roman;sans-serif"/>
          <w:b w:val="false"/>
          <w:color w:val="000000"/>
          <w:sz w:val="22"/>
          <w:shd w:fill="FFFFFF" w:val="clear"/>
        </w:rPr>
        <w:t>determining compliance with any provision of the Credit Documents which requires the calculation of the Consolidated First Lien Secured Debt to Consolidated EBITDA Ratio, Consolidated Total Debt to Consolidated EBITDA Ratio or the Fixed Charge Coverage Ratio;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(ii)    </w:t>
      </w:r>
      <w:r>
        <w:rPr>
          <w:rFonts w:ascii="Times New Roman;sans-serif" w:hAnsi="Times New Roman;sans-serif"/>
          <w:b w:val="false"/>
          <w:color w:val="000000"/>
          <w:sz w:val="22"/>
          <w:shd w:fill="FFFFFF" w:val="clear"/>
        </w:rPr>
        <w:t xml:space="preserve">determining the accuracy of representations and warranties in </w:t>
      </w:r>
      <w:r>
        <w:rPr>
          <w:rFonts w:ascii="Times New Roman;sans-serif" w:hAnsi="Times New Roman;sans-serif"/>
          <w:b w:val="false"/>
          <w:color w:val="000000"/>
          <w:sz w:val="22"/>
          <w:u w:val="single"/>
          <w:shd w:fill="FFFFFF" w:val="clear"/>
        </w:rPr>
        <w:t>Section 8</w:t>
      </w:r>
      <w:r>
        <w:rPr>
          <w:color w:val="000000"/>
          <w:shd w:fill="FFFFFF" w:val="clear"/>
        </w:rPr>
        <w:t xml:space="preserve"> </w:t>
      </w:r>
      <w:r>
        <w:rPr>
          <w:rFonts w:ascii="Times New Roman;sans-serif" w:hAnsi="Times New Roman;sans-serif"/>
          <w:b w:val="false"/>
          <w:color w:val="000000"/>
          <w:sz w:val="22"/>
          <w:shd w:fill="FFFFFF" w:val="clear"/>
        </w:rPr>
        <w:t xml:space="preserve">and/or whether a Default or Event of Default shall have occurred and be continuing under </w:t>
      </w:r>
      <w:r>
        <w:rPr>
          <w:rFonts w:ascii="Times New Roman;sans-serif" w:hAnsi="Times New Roman;sans-serif"/>
          <w:b w:val="false"/>
          <w:color w:val="000000"/>
          <w:sz w:val="22"/>
          <w:u w:val="single"/>
          <w:shd w:fill="FFFFFF" w:val="clear"/>
        </w:rPr>
        <w:t>Section 11</w:t>
      </w:r>
      <w:r>
        <w:rPr>
          <w:rFonts w:ascii="Times New Roman;sans-serif" w:hAnsi="Times New Roman;sans-serif"/>
          <w:b w:val="false"/>
          <w:color w:val="000000"/>
          <w:sz w:val="22"/>
          <w:shd w:fill="FFFFFF" w:val="clear"/>
        </w:rPr>
        <w: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(iii)    </w:t>
      </w:r>
      <w:r>
        <w:rPr>
          <w:rFonts w:ascii="Times New Roman;sans-serif" w:hAnsi="Times New Roman;sans-serif"/>
          <w:b w:val="false"/>
          <w:color w:val="000000"/>
          <w:sz w:val="22"/>
          <w:shd w:fill="FFFFFF" w:val="clear"/>
        </w:rPr>
        <w:t>testing availability under baskets set forth in the Credit Documents (including baskets measured as a percentage of Consolidated EBITDA or Consolidated Total Assets);</w:t>
      </w:r>
    </w:p>
    <w:p>
      <w:pPr>
        <w:pStyle w:val="TextBody"/>
        <w:bidi w:val="0"/>
        <w:spacing w:lineRule="auto" w:line="240" w:before="0" w:after="240"/>
        <w:jc w:val="both"/>
        <w:rPr/>
      </w:pPr>
      <w:r>
        <w:rPr>
          <w:rFonts w:ascii="Times New Roman;sans-serif" w:hAnsi="Times New Roman;sans-serif"/>
          <w:b w:val="false"/>
          <w:color w:val="000000"/>
          <w:sz w:val="22"/>
        </w:rPr>
        <w:t>in each case, at the option of the Borrower (the Borrower’s election to exercise such option in connection with any Limited Condition Transaction, an “</w:t>
      </w:r>
      <w:r>
        <w:rPr>
          <w:rFonts w:ascii="Times New Roman;sans-serif" w:hAnsi="Times New Roman;sans-serif"/>
          <w:b/>
          <w:color w:val="000000"/>
          <w:sz w:val="22"/>
        </w:rPr>
        <w:t>LCT Election</w:t>
      </w:r>
      <w:r>
        <w:rPr>
          <w:color w:val="000000"/>
        </w:rPr>
        <w:t>”</w:t>
      </w:r>
      <w:r>
        <w:rPr>
          <w:rFonts w:ascii="Times New Roman;sans-serif" w:hAnsi="Times New Roman;sans-serif"/>
          <w:b w:val="false"/>
          <w:color w:val="000000"/>
          <w:sz w:val="22"/>
        </w:rPr>
        <w:t xml:space="preserve">) (it being understood and agreed that the Borrower may elect to revoke any LCT Election in its sole discretion), the date of determination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whether any such action is permitted hereunder, shall be deemed to be the date the definitive agreements for such Limited Condition Transaction are entered into or such later date as the Borrower may elect (the “</w:t>
      </w:r>
      <w:r>
        <w:rPr>
          <w:rFonts w:ascii="Times New Roman;sans-serif" w:hAnsi="Times New Roman;sans-serif"/>
          <w:b/>
          <w:color w:val="000000"/>
          <w:sz w:val="22"/>
        </w:rPr>
        <w:t>LCT Test Date</w:t>
      </w:r>
      <w:r>
        <w:rPr>
          <w:color w:val="000000"/>
        </w:rPr>
        <w:t>”</w:t>
      </w:r>
      <w:r>
        <w:rPr>
          <w:rFonts w:ascii="Times New Roman;sans-serif" w:hAnsi="Times New Roman;sans-serif"/>
          <w:b w:val="false"/>
          <w:color w:val="000000"/>
          <w:sz w:val="22"/>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(b)    </w:t>
      </w:r>
      <w:r>
        <w:rPr>
          <w:rFonts w:ascii="Times New Roman;sans-serif" w:hAnsi="Times New Roman;sans-serif"/>
          <w:b w:val="false"/>
          <w:color w:val="000000"/>
          <w:sz w:val="22"/>
          <w:shd w:fill="FFFFFF" w:val="clear"/>
        </w:rPr>
        <w:t xml:space="preserve">Notwithstanding anything to the contrary in this </w:t>
      </w:r>
      <w:r>
        <w:rPr>
          <w:rFonts w:ascii="Times New Roman;sans-serif" w:hAnsi="Times New Roman;sans-serif"/>
          <w:b w:val="false"/>
          <w:color w:val="000000"/>
          <w:sz w:val="22"/>
          <w:u w:val="single"/>
          <w:shd w:fill="FFFFFF" w:val="clear"/>
        </w:rPr>
        <w:t>Section 1.12</w:t>
      </w:r>
      <w:r>
        <w:rPr>
          <w:color w:val="000000"/>
          <w:shd w:fill="FFFFFF" w:val="clear"/>
        </w:rPr>
        <w:t xml:space="preserve"> </w:t>
      </w:r>
      <w:r>
        <w:rPr>
          <w:rFonts w:ascii="Times New Roman;sans-serif" w:hAnsi="Times New Roman;sans-serif"/>
          <w:b w:val="false"/>
          <w:color w:val="000000"/>
          <w:sz w:val="22"/>
          <w:shd w:fill="FFFFFF" w:val="clear"/>
        </w:rPr>
        <w:t xml:space="preserve">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Any determination of Consolidated Total Assets shall be made by reference to the last day of the Test Period most recently ended on or prior to the relevant date of determination.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(d)    </w:t>
      </w:r>
      <w:r>
        <w:rPr>
          <w:rFonts w:ascii="Times New Roman;sans-serif" w:hAnsi="Times New Roman;sans-serif"/>
          <w:b w:val="false"/>
          <w:color w:val="000000"/>
          <w:sz w:val="22"/>
          <w:shd w:fill="FFFFFF" w:val="clear"/>
        </w:rPr>
        <w:t>All leases of any Person that are or would be characterized as operating leases in accordance with GAAP immediately prior to January 1, 2017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Except as otherwise specifically provided herein, all computations of Excess Cash Flow, Consolidated Total Assets, Available Amount, Consolidated First Lien Secured Debt to Consolidated EBITDA Ratio, Consolidated Total Debt to Consolidated EBITDA Ratio, the Fixed Charge Coverage Ratio and other financial ratios and financial calculations (and all definitions (including accounting terms) used in determining any of the foregoing) shall be calculated, in each case, with respect to the Borrower and the Restricted Subsidiaries on a consolidated basis.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2.    </w:t>
      </w:r>
      <w:r>
        <w:rPr>
          <w:rFonts w:ascii="Times New Roman;sans-serif" w:hAnsi="Times New Roman;sans-serif"/>
          <w:b w:val="false"/>
          <w:color w:val="000000"/>
          <w:sz w:val="22"/>
        </w:rPr>
        <w:t>Amount and Terms of Credit.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2.1    </w:t>
      </w:r>
      <w:r>
        <w:rPr>
          <w:rFonts w:ascii="Times New Roman;sans-serif" w:hAnsi="Times New Roman;sans-serif"/>
          <w:b w:val="false"/>
          <w:color w:val="000000"/>
          <w:sz w:val="22"/>
          <w:u w:val="single"/>
        </w:rPr>
        <w:t>Commitments</w:t>
      </w:r>
      <w:r>
        <w:rPr>
          <w:rFonts w:ascii="Times New Roman;sans-serif" w:hAnsi="Times New Roman;sans-serif"/>
          <w:b w:val="false"/>
          <w:color w:val="000000"/>
          <w:sz w:val="22"/>
        </w:rPr>
        <w:t xml:space="preserve">. Subject to the terms and conditions set forth herein and in Amendment No. 4: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Each Converting Term Lender severally agrees that its Converting Term Loans are hereby converted to a like principal amount of Initial Term Loans on the Amendment No. 4 Effective Date. All Converting Term Loans will have the Types and Interest Periods specified in the Notice of Borrowing delivered in connection therewith. All accrued and unpaid interest on the Converting Term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Loans to, but not including, the Amendment No. 4 Effective Date shall be payable on the Amendment No. 4 Effective Date, but no amounts under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shall be payable in connection with such conversion.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Each Additional Initial Term Lender severally agrees to make an Additional Initial Term Loan to the Borrower on the Amendment No. 4 Effective Date in the principal amount equal to its Additional Initial Term Commitment on the Amendment No. 4 Effective Date. The Borrower shall prepay the aggregate principal amount of the Non-Converting Term Loans with the aggregate gross proceeds of the Additional Initial Term Loans, concurrently with the receipt thereof. All accrued and unpaid interest on the Non-Converting Term Loans to, but not including, the Amendment No. 4 Effective Date shall be paid on the Amendment No. 4 Effective Date, and the Borrower will make any payments required under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with respect to the Non-Converting Term Loans in accordance therewith.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Such Initial Term Loans (i) may at the option of the Borrower be incurred and maintained as, and/or converted into, ABR Loans or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all Term Loans made by each of the Lenders pursuant to the same Borrowing shall, unless otherwise specifically provided herein, consist entirely of Term Loans of the same Type, (ii) may be repaid or prepaid (without premium or penalty other than as set forth in </w:t>
      </w:r>
      <w:r>
        <w:rPr>
          <w:rFonts w:ascii="Times New Roman;sans-serif" w:hAnsi="Times New Roman;sans-serif"/>
          <w:b w:val="false"/>
          <w:color w:val="000000"/>
          <w:sz w:val="22"/>
          <w:u w:val="single"/>
        </w:rPr>
        <w:t>Section 5.1(b)</w:t>
      </w:r>
      <w:r>
        <w:rPr>
          <w:rFonts w:ascii="Times New Roman;sans-serif" w:hAnsi="Times New Roman;sans-serif"/>
          <w:b w:val="false"/>
          <w:color w:val="000000"/>
          <w:sz w:val="22"/>
        </w:rPr>
        <w:t>) in accordance with the provisions hereof, but once repaid or prepaid, may not be reborrowed, (iii) shall not exceed for any such Lender the Initial Term Loan Commitment of such Lender, and (iv) shall not exceed in the aggregate the Total Initial Term Loan Commitments. On the Initial Term Loan Maturity Date, all then unpaid Initial Term Loans shall be repaid in full in Dollars.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2.2    </w:t>
      </w:r>
      <w:r>
        <w:rPr>
          <w:rFonts w:ascii="Times New Roman;sans-serif" w:hAnsi="Times New Roman;sans-serif"/>
          <w:b w:val="false"/>
          <w:color w:val="000000"/>
          <w:sz w:val="22"/>
          <w:u w:val="single"/>
        </w:rPr>
        <w:t>Minimum Amount of Each Borrowing; Maximum Number of Borrowings</w:t>
      </w:r>
      <w:r>
        <w:rPr>
          <w:rFonts w:ascii="Times New Roman;sans-serif" w:hAnsi="Times New Roman;sans-serif"/>
          <w:b w:val="false"/>
          <w:color w:val="000000"/>
          <w:sz w:val="22"/>
        </w:rPr>
        <w:t xml:space="preserve">. The aggregate principal amount of each Borrowing of Term Loans shall be in a minimum amount of at least the Minimum Borrowing Amount for such Type of Loans and in a multiple of (i) in the case of any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$1,000,000 and (ii) in the case of any ABR Loan, $100,000 in excess thereof. More than one Borrowing may be incurred on any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at no time shall there be outstanding more than ten Borrowings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that are Term Loans. Notwithstanding the foregoing, the full amount of the Initial Term Loans shall be borrowed in a single draw on the Amendment No. 4 Effective Date.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2.3    </w:t>
      </w:r>
      <w:r>
        <w:rPr>
          <w:rFonts w:ascii="Times New Roman;sans-serif" w:hAnsi="Times New Roman;sans-serif"/>
          <w:b w:val="false"/>
          <w:color w:val="000000"/>
          <w:sz w:val="22"/>
          <w:u w:val="single"/>
        </w:rPr>
        <w:t>Notice of Borrowing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In the case of a Borrowing of Initial Term Loans to be made on the Amendment No. 4 Effective Date, the Borrower shall give the Administrative Agent at the Administrative Agent’s Office prior to (i) 12:00 p.m. (New York City time) at least one Business Day’s prior written notice if such Initial Term Loans are to be ABR Loans and (ii) 12:00 p.m. (New York City time) at least three Business Days’ prior written notice if such Initial Term Loans are to be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with an Interest Period of one, three or six months, or 12:00 p.m. (New York City time) at least four Business Days’ prior written notice for any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with an Interest Period other than one, three or six months. Such notice (a “</w:t>
      </w:r>
      <w:r>
        <w:rPr>
          <w:rFonts w:ascii="Times New Roman;sans-serif" w:hAnsi="Times New Roman;sans-serif"/>
          <w:b/>
          <w:color w:val="000000"/>
          <w:sz w:val="22"/>
        </w:rPr>
        <w:t>Notice of Borrowing</w:t>
      </w:r>
      <w:r>
        <w:rPr>
          <w:color w:val="000000"/>
        </w:rPr>
        <w:t>”</w:t>
      </w:r>
      <w:r>
        <w:rPr>
          <w:rFonts w:ascii="Times New Roman;sans-serif" w:hAnsi="Times New Roman;sans-serif"/>
          <w:b w:val="false"/>
          <w:color w:val="000000"/>
          <w:sz w:val="22"/>
        </w:rPr>
        <w:t xml:space="preserve">) shall specify (A) the aggregate principal amount of the Term Loans to be made, (B) the date of the Borrowing (which shall be the Amendment No. 4 Effective Date), (C) whether the Term Loans shall consist of ABR Loans and/or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and, if the Term Loans are to include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the Interest Period to be initially applicable thereto and (D) the wire instruction of such Borrowing. If no election as to the Type of Borrowing is specified in any such notice, then the requested Borrowing shall be an ABR Borrowing. If no Interest Period with respect to any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is specified in any such notice, then the Borrower shall be deemed to have selected an Interest Period of one month’s duration. The Administrative Agent shall promptly advise the applicable Lenders of any notice given pursuant to this </w:t>
      </w:r>
      <w:r>
        <w:rPr>
          <w:rFonts w:ascii="Times New Roman;sans-serif" w:hAnsi="Times New Roman;sans-serif"/>
          <w:b w:val="false"/>
          <w:color w:val="000000"/>
          <w:sz w:val="22"/>
          <w:u w:val="single"/>
        </w:rPr>
        <w:t>Section 2.3(a)</w:t>
      </w:r>
      <w:r>
        <w:rPr>
          <w:color w:val="000000"/>
        </w:rPr>
        <w:t xml:space="preserve"> </w:t>
      </w:r>
      <w:r>
        <w:rPr>
          <w:rFonts w:ascii="Times New Roman;sans-serif" w:hAnsi="Times New Roman;sans-serif"/>
          <w:b w:val="false"/>
          <w:color w:val="000000"/>
          <w:sz w:val="22"/>
        </w:rPr>
        <w:t xml:space="preserve">(and the contents thereof), and of each Lender’s pro rata share of the requested Borrowing.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2.4    </w:t>
      </w:r>
      <w:r>
        <w:rPr>
          <w:rFonts w:ascii="Times New Roman;sans-serif" w:hAnsi="Times New Roman;sans-serif"/>
          <w:b w:val="false"/>
          <w:color w:val="000000"/>
          <w:sz w:val="22"/>
          <w:u w:val="single"/>
        </w:rPr>
        <w:t>Disbursement of Funds</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No later than 12:00 p.m. (New York City time) on the date specified in each Notice of Borrowing, each Lender shall make available its pro rata</w:t>
      </w:r>
      <w:r>
        <w:rPr>
          <w:color w:val="000000"/>
        </w:rPr>
        <w:t xml:space="preserve"> </w:t>
      </w:r>
      <w:r>
        <w:rPr>
          <w:rFonts w:ascii="Times New Roman;sans-serif" w:hAnsi="Times New Roman;sans-serif"/>
          <w:b w:val="false"/>
          <w:color w:val="000000"/>
          <w:sz w:val="22"/>
        </w:rPr>
        <w:t xml:space="preserve">portion, if any, of each Borrowing requested to be made on such date in the manner provided below;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on the Amendment No. 4 Effective Date, such funds may be made available at such earlier time as may be agreed among the Lenders, the Borrower, and the Administrative Agent for the purpose of consummating the Transactions.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Each Lender shall make available all amounts it is to fund to the Borrower under any Borrowing for its applicable Commitments, and in immediately available funds, to the Administrative Agent at the Administrative Agent’s Office and the Administrative Agent will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w:t>
      </w:r>
      <w:r>
        <w:rPr>
          <w:color w:val="000000"/>
        </w:rPr>
        <w:t xml:space="preserve"> </w:t>
      </w:r>
      <w:r>
        <w:rPr>
          <w:rFonts w:ascii="Times New Roman;sans-serif" w:hAnsi="Times New Roman;sans-serif"/>
          <w:b w:val="false"/>
          <w:color w:val="000000"/>
          <w:sz w:val="22"/>
        </w:rPr>
        <w:t xml:space="preserve">equal to (i) if paid by such Lender, the Overnight Rate or (ii) if paid by the Borrower, the then-applicable rate of interest or fees, calculated in accordance with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 for the respective 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Nothing in this </w:t>
      </w:r>
      <w:r>
        <w:rPr>
          <w:rFonts w:ascii="Times New Roman;sans-serif" w:hAnsi="Times New Roman;sans-serif"/>
          <w:b w:val="false"/>
          <w:color w:val="000000"/>
          <w:sz w:val="22"/>
          <w:u w:val="single"/>
        </w:rPr>
        <w:t>Section 2.4</w:t>
      </w:r>
      <w:r>
        <w:rPr>
          <w:color w:val="000000"/>
        </w:rPr>
        <w:t xml:space="preserve"> </w:t>
      </w:r>
      <w:r>
        <w:rPr>
          <w:rFonts w:ascii="Times New Roman;sans-serif" w:hAnsi="Times New Roman;sans-serif"/>
          <w:b w:val="false"/>
          <w:color w:val="000000"/>
          <w:sz w:val="22"/>
        </w:rPr>
        <w:t>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2.5    </w:t>
      </w:r>
      <w:r>
        <w:rPr>
          <w:rFonts w:ascii="Times New Roman;sans-serif" w:hAnsi="Times New Roman;sans-serif"/>
          <w:b w:val="false"/>
          <w:color w:val="000000"/>
          <w:sz w:val="22"/>
          <w:u w:val="single"/>
        </w:rPr>
        <w:t>Repayment of Loans; Evidence of Debt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Borrower shall repay to the Administrative Agent, for the benefit of the Initial Term Loan Lenders, on the Initial Term Loan Maturity Date, the then outstanding Initial Term Loans.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Borrower shall repay to the Administrative Agent, for the benefit of the Initial Term Loan Lenders, (i) on the last Business Day of each of March, June, September and December(each such date, an “</w:t>
      </w:r>
      <w:r>
        <w:rPr>
          <w:rFonts w:ascii="Times New Roman;sans-serif" w:hAnsi="Times New Roman;sans-serif"/>
          <w:b/>
          <w:color w:val="000000"/>
          <w:sz w:val="22"/>
        </w:rPr>
        <w:t>Initial Term Loan Repayment Date</w:t>
      </w:r>
      <w:r>
        <w:rPr>
          <w:color w:val="000000"/>
        </w:rPr>
        <w:t>”</w:t>
      </w:r>
      <w:r>
        <w:rPr>
          <w:rFonts w:ascii="Times New Roman;sans-serif" w:hAnsi="Times New Roman;sans-serif"/>
          <w:b w:val="false"/>
          <w:color w:val="000000"/>
          <w:sz w:val="22"/>
        </w:rPr>
        <w:t xml:space="preserve">), a principal amount of Term Loans equal to the aggregate outstanding principal amount of Initial Term Loans made on the Amendment No. 4 Effective Date multiplied by 0.25% and (ii) on the Initial Term Loan Maturity Date, any remaining outstanding amount of Initial Term Loans (the repayment amounts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above, each, an “</w:t>
      </w:r>
      <w:r>
        <w:rPr>
          <w:rFonts w:ascii="Times New Roman;sans-serif" w:hAnsi="Times New Roman;sans-serif"/>
          <w:b/>
          <w:color w:val="000000"/>
          <w:sz w:val="22"/>
        </w:rPr>
        <w:t>Initial Term Loan Repayment Amount</w:t>
      </w:r>
      <w:r>
        <w:rPr>
          <w:color w:val="000000"/>
        </w:rPr>
        <w:t>”</w:t>
      </w:r>
      <w:r>
        <w:rPr>
          <w:rFonts w:ascii="Times New Roman;sans-serif" w:hAnsi="Times New Roman;sans-serif"/>
          <w:b w:val="false"/>
          <w:color w:val="000000"/>
          <w:sz w:val="22"/>
        </w:rPr>
        <w:t xml:space="preserve">). Notwithstanding anything in this Agreement to the contrary, the amounts set forth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may be adjusted in connection with any New Term Loans that are intended to be fungible with the Initial Term 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In the event that any New Term Loans are made, such New Term Loans shall, subject to </w:t>
      </w:r>
      <w:r>
        <w:rPr>
          <w:rFonts w:ascii="Times New Roman;sans-serif" w:hAnsi="Times New Roman;sans-serif"/>
          <w:b w:val="false"/>
          <w:color w:val="000000"/>
          <w:sz w:val="22"/>
          <w:u w:val="single"/>
        </w:rPr>
        <w:t>Section 2.14(d)</w:t>
      </w:r>
      <w:r>
        <w:rPr>
          <w:rFonts w:ascii="Times New Roman;sans-serif" w:hAnsi="Times New Roman;sans-serif"/>
          <w:b w:val="false"/>
          <w:color w:val="000000"/>
          <w:sz w:val="22"/>
        </w:rPr>
        <w:t>, be repaid by the Borrower in the amounts (each, a “</w:t>
      </w:r>
      <w:r>
        <w:rPr>
          <w:rFonts w:ascii="Times New Roman;sans-serif" w:hAnsi="Times New Roman;sans-serif"/>
          <w:b/>
          <w:color w:val="000000"/>
          <w:sz w:val="22"/>
        </w:rPr>
        <w:t>New Term Loan Repayment Amount</w:t>
      </w:r>
      <w:r>
        <w:rPr>
          <w:color w:val="000000"/>
        </w:rPr>
        <w:t>”</w:t>
      </w:r>
      <w:r>
        <w:rPr>
          <w:rFonts w:ascii="Times New Roman;sans-serif" w:hAnsi="Times New Roman;sans-serif"/>
          <w:b w:val="false"/>
          <w:color w:val="000000"/>
          <w:sz w:val="22"/>
        </w:rPr>
        <w:t>) and on the dates (each a “</w:t>
      </w:r>
      <w:r>
        <w:rPr>
          <w:rFonts w:ascii="Times New Roman;sans-serif" w:hAnsi="Times New Roman;sans-serif"/>
          <w:b/>
          <w:color w:val="000000"/>
          <w:sz w:val="22"/>
        </w:rPr>
        <w:t>New Term Loan Repayment Date</w:t>
      </w:r>
      <w:r>
        <w:rPr>
          <w:color w:val="000000"/>
        </w:rPr>
        <w:t>”</w:t>
      </w:r>
      <w:r>
        <w:rPr>
          <w:rFonts w:ascii="Times New Roman;sans-serif" w:hAnsi="Times New Roman;sans-serif"/>
          <w:b w:val="false"/>
          <w:color w:val="000000"/>
          <w:sz w:val="22"/>
        </w:rPr>
        <w:t xml:space="preserve">) set forth in the applicable Joinder Agreement. In the event that any Extended Term Loans are established, such Extended Term Loans shall, subject to </w:t>
      </w:r>
      <w:r>
        <w:rPr>
          <w:rFonts w:ascii="Times New Roman;sans-serif" w:hAnsi="Times New Roman;sans-serif"/>
          <w:b w:val="false"/>
          <w:color w:val="000000"/>
          <w:sz w:val="22"/>
          <w:u w:val="single"/>
        </w:rPr>
        <w:t>Section 2.14(g)</w:t>
      </w:r>
      <w:r>
        <w:rPr>
          <w:rFonts w:ascii="Times New Roman;sans-serif" w:hAnsi="Times New Roman;sans-serif"/>
          <w:b w:val="false"/>
          <w:color w:val="000000"/>
          <w:sz w:val="22"/>
        </w:rPr>
        <w:t>, be repaid by the Borrower in the amounts (each such amount with respect to any Extended Repayment Date, an “</w:t>
      </w:r>
      <w:r>
        <w:rPr>
          <w:rFonts w:ascii="Times New Roman;sans-serif" w:hAnsi="Times New Roman;sans-serif"/>
          <w:b/>
          <w:color w:val="000000"/>
          <w:sz w:val="22"/>
        </w:rPr>
        <w:t>Extended</w:t>
      </w:r>
      <w:r>
        <w:rPr>
          <w:color w:val="000000"/>
        </w:rPr>
        <w:t xml:space="preserve"> </w:t>
      </w:r>
      <w:r>
        <w:rPr>
          <w:rFonts w:ascii="Times New Roman;sans-serif" w:hAnsi="Times New Roman;sans-serif"/>
          <w:b/>
          <w:color w:val="000000"/>
          <w:sz w:val="22"/>
        </w:rPr>
        <w:t>Term Loan Repayment Amount</w:t>
      </w:r>
      <w:r>
        <w:rPr>
          <w:color w:val="000000"/>
        </w:rPr>
        <w:t>”</w:t>
      </w:r>
      <w:r>
        <w:rPr>
          <w:rFonts w:ascii="Times New Roman;sans-serif" w:hAnsi="Times New Roman;sans-serif"/>
          <w:b w:val="false"/>
          <w:color w:val="000000"/>
          <w:sz w:val="22"/>
        </w:rPr>
        <w:t>) and on the dates (each, an “</w:t>
      </w:r>
      <w:r>
        <w:rPr>
          <w:rFonts w:ascii="Times New Roman;sans-serif" w:hAnsi="Times New Roman;sans-serif"/>
          <w:b/>
          <w:color w:val="000000"/>
          <w:sz w:val="22"/>
        </w:rPr>
        <w:t>Extended Repayment Date</w:t>
      </w:r>
      <w:r>
        <w:rPr>
          <w:color w:val="000000"/>
        </w:rPr>
        <w:t>”</w:t>
      </w:r>
      <w:r>
        <w:rPr>
          <w:rFonts w:ascii="Times New Roman;sans-serif" w:hAnsi="Times New Roman;sans-serif"/>
          <w:b w:val="false"/>
          <w:color w:val="000000"/>
          <w:sz w:val="22"/>
        </w:rPr>
        <w:t>) set forth in the applicable Extension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The Administrative Agent shall maintain the Register pursuant to </w:t>
      </w:r>
      <w:r>
        <w:rPr>
          <w:rFonts w:ascii="Times New Roman;sans-serif" w:hAnsi="Times New Roman;sans-serif"/>
          <w:b w:val="false"/>
          <w:color w:val="000000"/>
          <w:sz w:val="22"/>
          <w:u w:val="single"/>
        </w:rPr>
        <w:t>Section 13.6(b)</w:t>
      </w:r>
      <w:r>
        <w:rPr>
          <w:rFonts w:ascii="Times New Roman;sans-serif" w:hAnsi="Times New Roman;sans-serif"/>
          <w:b w:val="false"/>
          <w:color w:val="000000"/>
          <w:sz w:val="22"/>
        </w:rPr>
        <w:t>, and a subaccount for each Lender, in which Register and subaccounts (taken together) shall be recorded (i) the amount of each Loan made hereunder, whether such Loan is an Initial Term Loan or New Term Loan, the Type of each Loan made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The entries made in the Register and accounts and subaccounts maintained pursuant to </w:t>
      </w:r>
      <w:r>
        <w:rPr>
          <w:rFonts w:ascii="Times New Roman;sans-serif" w:hAnsi="Times New Roman;sans-serif"/>
          <w:b w:val="false"/>
          <w:color w:val="000000"/>
          <w:sz w:val="22"/>
          <w:u w:val="single"/>
        </w:rPr>
        <w:t>clauses (d)</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2.5</w:t>
      </w:r>
      <w:r>
        <w:rPr>
          <w:color w:val="000000"/>
        </w:rPr>
        <w:t xml:space="preserve"> </w:t>
      </w:r>
      <w:r>
        <w:rPr>
          <w:rFonts w:ascii="Times New Roman;sans-serif" w:hAnsi="Times New Roman;sans-serif"/>
          <w:b w:val="false"/>
          <w:color w:val="000000"/>
          <w:sz w:val="22"/>
        </w:rPr>
        <w:t xml:space="preserve">shall, to the extent permitted by applicable law, be prima facie evidence of the existence and amounts of the obligations of the Borrower therein recorded;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the event of any inconsistency between the Registrar and any such account or subaccount, the Registrar shall govern;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failure of any Lender or the Administrative Agent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Times New Roman;sans-serif" w:hAnsi="Times New Roman;sans-serif"/>
          <w:b w:val="false"/>
          <w:color w:val="000000"/>
          <w:sz w:val="22"/>
          <w:u w:val="single"/>
        </w:rPr>
        <w:t>Exhibit G</w:t>
      </w:r>
      <w:r>
        <w:rPr>
          <w:rFonts w:ascii="Times New Roman;sans-serif" w:hAnsi="Times New Roman;sans-serif"/>
          <w:b w:val="false"/>
          <w:color w:val="000000"/>
          <w:sz w:val="22"/>
        </w:rPr>
        <w:t xml:space="preserve">, evidencing the Initial Term Loans and New Term Loans owing to such Lender. Thereafter, unless otherwise agreed to by the applicable Lender, the Loans evidenced by such promissory note and interest thereon shall at all times (including after assignment pursuant to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be represented by one or more promissory notes in such form payable to the payee named therein (or, if requested by such payee, to such payee and its registered assigns).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2.6    </w:t>
      </w:r>
      <w:r>
        <w:rPr>
          <w:rFonts w:ascii="Times New Roman;sans-serif" w:hAnsi="Times New Roman;sans-serif"/>
          <w:b w:val="false"/>
          <w:color w:val="000000"/>
          <w:sz w:val="22"/>
          <w:u w:val="single"/>
        </w:rPr>
        <w:t>Conversions and Continuations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Subject to the penultimate sentence of this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xml:space="preserve">, (x) the Borrower shall have the option on any Business Day to convert all or a portion equal to at least $5,000,000 of the outstanding principal amount of Term Loans of one Type into a Borrowing or Borrowings of another Type and (y) the Borrower shall have the option on any Business Day to continue the outstanding principal amount of any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as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for an additional Interest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 no partial conversion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shall reduce the outstanding principal amount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made pursuant to a single Borrowing to less than the Minimum Borrowing Amount, (ii) ABR Loans may not be converted into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if an Event of Default is in existence on the date of the conversion and the Administrative Agent has or the Required Lenders have determined in its or their sole discretion not to permit such conversion, (iii)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may not be continued as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Times New Roman;sans-serif" w:hAnsi="Times New Roman;sans-serif"/>
          <w:b w:val="false"/>
          <w:color w:val="000000"/>
          <w:sz w:val="22"/>
          <w:u w:val="single"/>
        </w:rPr>
        <w:t>Section 2.6</w:t>
      </w:r>
      <w:r>
        <w:rPr>
          <w:color w:val="000000"/>
        </w:rPr>
        <w:t xml:space="preserve"> </w:t>
      </w:r>
      <w:r>
        <w:rPr>
          <w:rFonts w:ascii="Times New Roman;sans-serif" w:hAnsi="Times New Roman;sans-serif"/>
          <w:b w:val="false"/>
          <w:color w:val="000000"/>
          <w:sz w:val="22"/>
        </w:rPr>
        <w:t xml:space="preserve">shall be limited in number as provided in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xml:space="preserve">. Each such conversion or continuation shall be effected by the Borrower by giving the Administrative Agent prior written notice at the Administrative Agent’s Office prior to 12:00 noon (New York City time) at least (i) three Business Days prior, in the case of a continuation of or conversion to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or (ii) 12:00 p.m. (New York City time) one Business Day prior to the proposed day of a conversion into ABR Loans (each, a “</w:t>
      </w:r>
      <w:r>
        <w:rPr>
          <w:rFonts w:ascii="Times New Roman;sans-serif" w:hAnsi="Times New Roman;sans-serif"/>
          <w:b/>
          <w:color w:val="000000"/>
          <w:sz w:val="22"/>
        </w:rPr>
        <w:t>Notice of Conversion or Continuation</w:t>
      </w:r>
      <w:r>
        <w:rPr>
          <w:color w:val="000000"/>
        </w:rPr>
        <w:t xml:space="preserve">” </w:t>
      </w:r>
      <w:r>
        <w:rPr>
          <w:rFonts w:ascii="Times New Roman;sans-serif" w:hAnsi="Times New Roman;sans-serif"/>
          <w:b w:val="false"/>
          <w:color w:val="000000"/>
          <w:sz w:val="22"/>
        </w:rPr>
        <w:t xml:space="preserve">substantially in the form of </w:t>
      </w:r>
      <w:r>
        <w:rPr>
          <w:rFonts w:ascii="Times New Roman;sans-serif" w:hAnsi="Times New Roman;sans-serif"/>
          <w:b w:val="false"/>
          <w:color w:val="000000"/>
          <w:sz w:val="22"/>
          <w:u w:val="single"/>
        </w:rPr>
        <w:t>Exhibit K</w:t>
      </w:r>
      <w:r>
        <w:rPr>
          <w:rFonts w:ascii="Times New Roman;sans-serif" w:hAnsi="Times New Roman;sans-serif"/>
          <w:b w:val="false"/>
          <w:color w:val="000000"/>
          <w:sz w:val="22"/>
        </w:rPr>
        <w:t xml:space="preserve">) specifying the Loans to be so converted or continued, the Type of Loans to be converted or continued into and, if such Loans are to be converted into or continued as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the Interest Period to be initially applicable thereto. If no Interest Period is specified in any such notice with respect to any conversion to or continuation as a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the Borrower shall be deemed to have selected an Interest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one month’s duration. The Administrative Agent shall give each applicable Lender notice as promptly as practicable of any such proposed conversion or continuation affecting any of its 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If any Event of Default is in existence at the time of any proposed continuation of any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denominated in Dollars and the Administrative Agent has or the Required Lenders have determined in its or their sole discretion not to permit such continuation, such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shall be automatically converted on the last day of the current Interest Period into ABR Loans. If upon the expiration of any Interest Period in respect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the Borrower has failed to elect a new Interest Period to be applicable thereto as provided in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xml:space="preserve">, the Borrower shall be deemed to have elected to convert such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into a Borrowing of ABR Loans, effective as of the expiration date of such current Interest Period.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2.7    </w:t>
      </w:r>
      <w:r>
        <w:rPr>
          <w:rFonts w:ascii="Times New Roman;sans-serif" w:hAnsi="Times New Roman;sans-serif"/>
          <w:b w:val="false"/>
          <w:color w:val="000000"/>
          <w:sz w:val="22"/>
          <w:u w:val="single"/>
        </w:rPr>
        <w:t>Pro Rata Borrowings</w:t>
      </w:r>
      <w:r>
        <w:rPr>
          <w:rFonts w:ascii="Times New Roman;sans-serif" w:hAnsi="Times New Roman;sans-serif"/>
          <w:b w:val="false"/>
          <w:color w:val="000000"/>
          <w:sz w:val="22"/>
        </w:rPr>
        <w:t>. Each Borrowing of Initial Term Loans under this Agreement shall be made by the Lenders pro rata</w:t>
      </w:r>
      <w:r>
        <w:rPr>
          <w:color w:val="000000"/>
        </w:rPr>
        <w:t xml:space="preserve"> </w:t>
      </w:r>
      <w:r>
        <w:rPr>
          <w:rFonts w:ascii="Times New Roman;sans-serif" w:hAnsi="Times New Roman;sans-serif"/>
          <w:b w:val="false"/>
          <w:color w:val="000000"/>
          <w:sz w:val="22"/>
        </w:rPr>
        <w:t>on the basis of their then-applicable Initial Term Loan Commitments. Each Borrowing of New Term Loans under this Agreement shall be made by the Lenders pro rata</w:t>
      </w:r>
      <w:r>
        <w:rPr>
          <w:color w:val="000000"/>
        </w:rPr>
        <w:t xml:space="preserve"> </w:t>
      </w:r>
      <w:r>
        <w:rPr>
          <w:rFonts w:ascii="Times New Roman;sans-serif" w:hAnsi="Times New Roman;sans-serif"/>
          <w:b w:val="false"/>
          <w:color w:val="000000"/>
          <w:sz w:val="22"/>
        </w:rPr>
        <w:t>on the basis of their then-applicable New Term Loan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2.8    </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unpaid principal amount of each ABR Loan shall bear interest from the date of the Borrowing thereof until maturity (whether by acceleration or otherwise) at a rate per annum</w:t>
      </w:r>
      <w:r>
        <w:rPr>
          <w:color w:val="000000"/>
        </w:rPr>
        <w:t xml:space="preserve"> </w:t>
      </w:r>
      <w:r>
        <w:rPr>
          <w:rFonts w:ascii="Times New Roman;sans-serif" w:hAnsi="Times New Roman;sans-serif"/>
          <w:b w:val="false"/>
          <w:color w:val="000000"/>
          <w:sz w:val="22"/>
        </w:rPr>
        <w:t xml:space="preserve">that shall at all times be the Applicable Margin for ABR Loans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the ABR, in each case, in effect from time to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unpaid principal amount of each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 shall bear interest from the date of the Borrowing thereof until maturity thereof (whether by acceleration or otherwise) at a rate per annum</w:t>
      </w:r>
      <w:r>
        <w:rPr>
          <w:color w:val="000000"/>
        </w:rPr>
        <w:t xml:space="preserve"> </w:t>
      </w:r>
      <w:r>
        <w:rPr>
          <w:rFonts w:ascii="Times New Roman;sans-serif" w:hAnsi="Times New Roman;sans-serif"/>
          <w:b w:val="false"/>
          <w:color w:val="000000"/>
          <w:sz w:val="22"/>
        </w:rPr>
        <w:t xml:space="preserve">that shall at all times be the Applicable Margin for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the relevant Adjusted </w:t>
      </w:r>
      <w:r>
        <w:rPr>
          <w:rFonts w:ascii="Times New Roman;sans-serif" w:hAnsi="Times New Roman;sans-serif"/>
          <w:b/>
          <w:strike/>
          <w:color w:val="FF0000"/>
          <w:sz w:val="22"/>
        </w:rPr>
        <w:t>LIBOR Rate</w:t>
      </w:r>
      <w:r>
        <w:rPr>
          <w:rFonts w:ascii="Times New Roman;sans-serif" w:hAnsi="Times New Roman;sans-serif"/>
          <w:b/>
          <w:color w:val="0000FF"/>
          <w:sz w:val="22"/>
          <w:u w:val="single"/>
        </w:rPr>
        <w:t>Term SOFR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If an Event of Default has occurred and is continuing under Section 11.1 or Section 11.5 and, if all or a portion of (i) the principal amount of any Loan or (ii) any interest payable thereon or any other amount payable hereunder shall not be paid when due (whether at the stated maturity, by acceleration or otherwise), such overdue amount shall bear interest at a rate per annum</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Default Rate</w:t>
      </w:r>
      <w:r>
        <w:rPr>
          <w:color w:val="000000"/>
        </w:rPr>
        <w:t>”</w:t>
      </w:r>
      <w:r>
        <w:rPr>
          <w:rFonts w:ascii="Times New Roman;sans-serif" w:hAnsi="Times New Roman;sans-serif"/>
          <w:b w:val="false"/>
          <w:color w:val="000000"/>
          <w:sz w:val="22"/>
        </w:rPr>
        <w:t xml:space="preserve">) that is (x) in the case of overdue principal, the rate that would otherwise be applicable thereto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2.00% or (y) in the case of any other overdue amount, including overdue interest, to the extent permitted by applicable law, the rate described in </w:t>
      </w:r>
      <w:r>
        <w:rPr>
          <w:rFonts w:ascii="Times New Roman;sans-serif" w:hAnsi="Times New Roman;sans-serif"/>
          <w:b w:val="false"/>
          <w:color w:val="000000"/>
          <w:sz w:val="22"/>
          <w:u w:val="single"/>
        </w:rPr>
        <w:t>Section 2.8(a)</w:t>
      </w:r>
      <w:r>
        <w:rPr>
          <w:color w:val="000000"/>
        </w:rPr>
        <w:t xml:space="preserve"> </w:t>
      </w:r>
      <w:r>
        <w:rPr>
          <w:rFonts w:ascii="Times New Roman;sans-serif" w:hAnsi="Times New Roman;sans-serif"/>
          <w:b w:val="false"/>
          <w:color w:val="000000"/>
          <w:sz w:val="22"/>
        </w:rPr>
        <w:t xml:space="preserve">for the applicable Class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2.00% from the date of such non-payment to the date on which such amount is paid in full (after as well as before judgment).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Interest on each Loan shall accrue from and including the date of any Borrowing to but excluding the date of any repayment thereof and shall be payable in Dollars;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any Loan that is repaid on the same date on which it is made shall bear interest for one day. Except as provided below, interest shall be payable (i) in respect of each ABR Loan, quarterly in arrears on the last Business Day of each fiscal quarter of the Borrower, (ii) in respect of each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 on the last day of each Interest Period applicable thereto and, in the case of an Interest Period in excess of three months, on each date occurring at three-month intervals after the first day of such Interest Period and (iii) in respect of each Loan, (A) on any prepayment in respect thereof, (B) at maturity (whether by acceleration or otherwise), and (C) after such maturity, on demand.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All computations of interest hereunder shall be made in accordance with </w:t>
      </w:r>
      <w:r>
        <w:rPr>
          <w:rFonts w:ascii="Times New Roman;sans-serif" w:hAnsi="Times New Roman;sans-serif"/>
          <w:b w:val="false"/>
          <w:color w:val="000000"/>
          <w:sz w:val="22"/>
          <w:u w:val="single"/>
        </w:rPr>
        <w:t>Section 5.5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The Administrative Agent, upon determining the interest rate for any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shall promptly notify the Borrower and the relevant Lenders thereof. Each such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determination shall, absent clearly demonstrable error, be final and conclusive and binding on all parties 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2.9    </w:t>
      </w:r>
      <w:r>
        <w:rPr>
          <w:rFonts w:ascii="Times New Roman;sans-serif" w:hAnsi="Times New Roman;sans-serif"/>
          <w:b w:val="false"/>
          <w:color w:val="000000"/>
          <w:sz w:val="22"/>
          <w:u w:val="single"/>
        </w:rPr>
        <w:t>Interest Periods</w:t>
      </w:r>
      <w:r>
        <w:rPr>
          <w:rFonts w:ascii="Times New Roman;sans-serif" w:hAnsi="Times New Roman;sans-serif"/>
          <w:b w:val="false"/>
          <w:color w:val="000000"/>
          <w:sz w:val="22"/>
        </w:rPr>
        <w:t xml:space="preserve">. At the time the Borrower gives a Notice of Borrowing or Notice of Conversion or Continuation in respect of the making of, or conversion into or continuation as, a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in accordance with </w:t>
      </w:r>
      <w:r>
        <w:rPr>
          <w:rFonts w:ascii="Times New Roman;sans-serif" w:hAnsi="Times New Roman;sans-serif"/>
          <w:b w:val="false"/>
          <w:color w:val="000000"/>
          <w:sz w:val="22"/>
          <w:u w:val="single"/>
        </w:rPr>
        <w:t>Section 2.6(a)</w:t>
      </w:r>
      <w:r>
        <w:rPr>
          <w:rFonts w:ascii="Times New Roman;sans-serif" w:hAnsi="Times New Roman;sans-serif"/>
          <w:b w:val="false"/>
          <w:color w:val="000000"/>
          <w:sz w:val="22"/>
        </w:rPr>
        <w:t>, the Borrower shall give the Administrative Agent written notice of the Interest Period applicable to such Borrowing, which Interest Period shall, at the option of the Borrower, be a one, three or six month period</w:t>
      </w:r>
      <w:r>
        <w:rPr>
          <w:strike/>
          <w:color w:val="FF0000"/>
        </w:rPr>
        <w:t xml:space="preserve"> </w:t>
      </w:r>
      <w:r>
        <w:rPr>
          <w:rFonts w:ascii="Times New Roman;sans-serif" w:hAnsi="Times New Roman;sans-serif"/>
          <w:b/>
          <w:strike/>
          <w:color w:val="FF0000"/>
          <w:sz w:val="22"/>
        </w:rPr>
        <w:t>(or if approved by all the Lenders making such LIBOR Loans as determined by such Lenders in good faith based on prevailing market conditions, a twelve month or shorter period (but not one-week))</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contained above: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the initial Interest Period for any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if any Interest Period relating to a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if any Interest Period would otherwise expire on a day that is not a Business Day, such Interest Period shall expire on the next succeeding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if any Interest Period in respect of a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 would otherwise expire on a day that is not a Business Day but is a day of the month after which no further Business Day occurs in such month, such Interest Period shall expire on the immediately preceding Business Day;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the Borrower shall not be entitled to elect any Interest Period in respect of any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 if such Interest Period would extend beyond the Maturity Date of such Loan.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2.10    </w:t>
      </w:r>
      <w:r>
        <w:rPr>
          <w:rFonts w:ascii="Times New Roman;sans-serif" w:hAnsi="Times New Roman;sans-serif"/>
          <w:b w:val="false"/>
          <w:color w:val="000000"/>
          <w:sz w:val="22"/>
        </w:rPr>
        <w:t xml:space="preserve">Increased Costs, Illegality, Etc. </w:t>
      </w:r>
    </w:p>
    <w:p>
      <w:pPr>
        <w:pStyle w:val="TextBody"/>
        <w:bidi w:val="0"/>
        <w:spacing w:lineRule="auto" w:line="240" w:before="0" w:after="240"/>
        <w:ind w:left="0" w:right="0" w:firstLine="720"/>
        <w:jc w:val="both"/>
        <w:rPr/>
      </w:pPr>
      <w:r>
        <w:rPr>
          <w:rFonts w:ascii="Times New Roman;sans-serif" w:hAnsi="Times New Roman;sans-serif"/>
          <w:b/>
          <w:color w:val="0000FF"/>
          <w:sz w:val="22"/>
          <w:u w:val="single"/>
          <w:shd w:fill="FFFFFF" w:val="clear"/>
        </w:rPr>
        <w:t>(a)    </w:t>
      </w:r>
      <w:r>
        <w:rPr>
          <w:rFonts w:ascii="Times New Roman;sans-serif" w:hAnsi="Times New Roman;sans-serif"/>
          <w:b/>
          <w:strike/>
          <w:color w:val="FF0000"/>
          <w:sz w:val="22"/>
          <w:shd w:fill="FFFFFF" w:val="clear"/>
        </w:rPr>
        <w:t xml:space="preserve">(g) </w:t>
      </w:r>
      <w:r>
        <w:rPr>
          <w:rFonts w:ascii="Times New Roman;sans-serif" w:hAnsi="Times New Roman;sans-serif"/>
          <w:b w:val="false"/>
          <w:color w:val="000000"/>
          <w:sz w:val="22"/>
          <w:shd w:fill="FFFFFF" w:val="clear"/>
        </w:rPr>
        <w:t xml:space="preserve">In the event that </w:t>
      </w:r>
      <w:r>
        <w:rPr>
          <w:rFonts w:ascii="Times New Roman;sans-serif" w:hAnsi="Times New Roman;sans-serif"/>
          <w:b/>
          <w:strike/>
          <w:color w:val="FF0000"/>
          <w:sz w:val="22"/>
          <w:shd w:fill="FFFFFF" w:val="clear"/>
        </w:rPr>
        <w:t xml:space="preserve">(x) in the case of </w:t>
      </w:r>
      <w:r>
        <w:rPr>
          <w:rFonts w:ascii="Times New Roman;sans-serif" w:hAnsi="Times New Roman;sans-serif"/>
          <w:b/>
          <w:strike/>
          <w:color w:val="FF0000"/>
          <w:sz w:val="22"/>
          <w:u w:val="single"/>
          <w:shd w:fill="FFFFFF" w:val="clear"/>
        </w:rPr>
        <w:t>clause (i)</w:t>
      </w:r>
      <w:r>
        <w:rPr>
          <w:strike/>
          <w:color w:val="FF0000"/>
          <w:shd w:fill="FFFFFF" w:val="clear"/>
        </w:rPr>
        <w:t xml:space="preserve"> </w:t>
      </w:r>
      <w:r>
        <w:rPr>
          <w:rFonts w:ascii="Times New Roman;sans-serif" w:hAnsi="Times New Roman;sans-serif"/>
          <w:b/>
          <w:strike/>
          <w:color w:val="FF0000"/>
          <w:sz w:val="22"/>
          <w:shd w:fill="FFFFFF" w:val="clear"/>
        </w:rPr>
        <w:t xml:space="preserve">below, the Administrative Agent and (y) in the case of </w:t>
      </w:r>
      <w:r>
        <w:rPr>
          <w:rFonts w:ascii="Times New Roman;sans-serif" w:hAnsi="Times New Roman;sans-serif"/>
          <w:b/>
          <w:strike/>
          <w:color w:val="FF0000"/>
          <w:sz w:val="22"/>
          <w:u w:val="single"/>
          <w:shd w:fill="FFFFFF" w:val="clear"/>
        </w:rPr>
        <w:t>clauses (ii)</w:t>
      </w:r>
      <w:r>
        <w:rPr>
          <w:rFonts w:ascii="Times New Roman;sans-serif" w:hAnsi="Times New Roman;sans-serif"/>
          <w:b/>
          <w:strike/>
          <w:color w:val="FF0000"/>
          <w:sz w:val="22"/>
          <w:shd w:fill="FFFFFF" w:val="clear"/>
        </w:rPr>
        <w:t xml:space="preserve">, </w:t>
      </w:r>
      <w:r>
        <w:rPr>
          <w:rFonts w:ascii="Times New Roman;sans-serif" w:hAnsi="Times New Roman;sans-serif"/>
          <w:b/>
          <w:strike/>
          <w:color w:val="FF0000"/>
          <w:sz w:val="22"/>
          <w:u w:val="single"/>
          <w:shd w:fill="FFFFFF" w:val="clear"/>
        </w:rPr>
        <w:t>(iii)</w:t>
      </w:r>
      <w:r>
        <w:rPr>
          <w:strike/>
          <w:color w:val="FF0000"/>
          <w:shd w:fill="FFFFFF" w:val="clear"/>
        </w:rPr>
        <w:t xml:space="preserve"> </w:t>
      </w:r>
      <w:r>
        <w:rPr>
          <w:rFonts w:ascii="Times New Roman;sans-serif" w:hAnsi="Times New Roman;sans-serif"/>
          <w:b/>
          <w:strike/>
          <w:color w:val="FF0000"/>
          <w:sz w:val="22"/>
          <w:shd w:fill="FFFFFF" w:val="clear"/>
        </w:rPr>
        <w:t xml:space="preserve">and </w:t>
      </w:r>
      <w:r>
        <w:rPr>
          <w:rFonts w:ascii="Times New Roman;sans-serif" w:hAnsi="Times New Roman;sans-serif"/>
          <w:b/>
          <w:strike/>
          <w:color w:val="FF0000"/>
          <w:sz w:val="22"/>
          <w:u w:val="single"/>
          <w:shd w:fill="FFFFFF" w:val="clear"/>
        </w:rPr>
        <w:t>(iv)</w:t>
      </w:r>
      <w:r>
        <w:rPr>
          <w:strike/>
          <w:color w:val="FF0000"/>
          <w:shd w:fill="FFFFFF" w:val="clear"/>
        </w:rPr>
        <w:t xml:space="preserve"> </w:t>
      </w:r>
      <w:r>
        <w:rPr>
          <w:rFonts w:ascii="Times New Roman;sans-serif" w:hAnsi="Times New Roman;sans-serif"/>
          <w:b/>
          <w:strike/>
          <w:color w:val="FF0000"/>
          <w:sz w:val="22"/>
          <w:shd w:fill="FFFFFF" w:val="clear"/>
        </w:rPr>
        <w:t xml:space="preserve">below, </w:t>
      </w:r>
      <w:r>
        <w:rPr>
          <w:rFonts w:ascii="Times New Roman;sans-serif" w:hAnsi="Times New Roman;sans-serif"/>
          <w:b w:val="false"/>
          <w:color w:val="000000"/>
          <w:sz w:val="22"/>
          <w:shd w:fill="FFFFFF" w:val="clear"/>
        </w:rPr>
        <w:t>the Required Initial Term Loan Lenders (with respect to Term Loans) shall have reasonably determined (which determination shall, absent clearly demonstrable error, be final and conclusive and binding upon all parties hereto):</w:t>
      </w:r>
    </w:p>
    <w:p>
      <w:pPr>
        <w:pStyle w:val="TextBody"/>
        <w:bidi w:val="0"/>
        <w:spacing w:lineRule="auto" w:line="240" w:before="0" w:after="240"/>
        <w:ind w:left="0" w:right="0" w:firstLine="720"/>
        <w:jc w:val="both"/>
        <w:rPr>
          <w:rFonts w:ascii="Times New Roman;sans-serif" w:hAnsi="Times New Roman;sans-serif"/>
          <w:b/>
          <w:strike/>
          <w:color w:val="FF0000"/>
          <w:sz w:val="22"/>
          <w:shd w:fill="FFFFFF" w:val="clear"/>
        </w:rPr>
      </w:pPr>
      <w:r>
        <w:rPr>
          <w:rFonts w:ascii="Times New Roman;sans-serif" w:hAnsi="Times New Roman;sans-serif"/>
          <w:b/>
          <w:strike/>
          <w:color w:val="FF0000"/>
          <w:sz w:val="22"/>
          <w:shd w:fill="FFFFFF" w:val="clear"/>
        </w:rPr>
        <w:t>(i) on any date for determining the Adjusted LIBOR Rate for any Interest Period that (x) deposits in the principal amounts and currencies of the Loans comprising such LIBOR Borrowing are not generally available in the relevant market or (y) by reason of any changes arising on or after the Closing Date affecting the interbank LIBOR market, adequate and fair means do not exist for ascertaining the applicable interest rate on the basis provided for in the definition of Adjusted LIBOR Rate; or</w:t>
      </w:r>
    </w:p>
    <w:p>
      <w:pPr>
        <w:pStyle w:val="TextBody"/>
        <w:bidi w:val="0"/>
        <w:spacing w:lineRule="auto" w:line="240" w:before="0" w:after="240"/>
        <w:ind w:left="0" w:right="0" w:firstLine="720"/>
        <w:jc w:val="both"/>
        <w:rPr/>
      </w:pPr>
      <w:r>
        <w:rPr>
          <w:rFonts w:ascii="Times New Roman;sans-serif" w:hAnsi="Times New Roman;sans-serif"/>
          <w:b/>
          <w:color w:val="0000FF"/>
          <w:sz w:val="22"/>
          <w:u w:val="single"/>
          <w:shd w:fill="FFFFFF" w:val="clear"/>
        </w:rPr>
        <w:t>(i)    </w:t>
      </w:r>
      <w:r>
        <w:rPr>
          <w:rFonts w:ascii="Times New Roman;sans-serif" w:hAnsi="Times New Roman;sans-serif"/>
          <w:b/>
          <w:strike/>
          <w:color w:val="FF0000"/>
          <w:sz w:val="22"/>
          <w:shd w:fill="FFFFFF" w:val="clear"/>
        </w:rPr>
        <w:t xml:space="preserve">(ii) </w:t>
      </w:r>
      <w:r>
        <w:rPr>
          <w:rFonts w:ascii="Times New Roman;sans-serif" w:hAnsi="Times New Roman;sans-serif"/>
          <w:b w:val="false"/>
          <w:color w:val="000000"/>
          <w:sz w:val="22"/>
          <w:shd w:fill="FFFFFF" w:val="clear"/>
        </w:rPr>
        <w:t xml:space="preserve">at any time, that such Lenders shall incur increased costs or reductions in the amounts received or receivable hereunder with respect to any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Loans (other than with respect to Taxes) because of any Change in Law;</w:t>
      </w:r>
    </w:p>
    <w:p>
      <w:pPr>
        <w:pStyle w:val="TextBody"/>
        <w:bidi w:val="0"/>
        <w:spacing w:lineRule="auto" w:line="240" w:before="0" w:after="240"/>
        <w:ind w:left="0" w:right="0" w:firstLine="720"/>
        <w:jc w:val="both"/>
        <w:rPr/>
      </w:pPr>
      <w:r>
        <w:rPr>
          <w:rFonts w:ascii="Times New Roman;sans-serif" w:hAnsi="Times New Roman;sans-serif"/>
          <w:b/>
          <w:color w:val="0000FF"/>
          <w:sz w:val="22"/>
          <w:u w:val="single"/>
          <w:shd w:fill="FFFFFF" w:val="clear"/>
        </w:rPr>
        <w:t>(ii)    </w:t>
      </w:r>
      <w:r>
        <w:rPr>
          <w:rFonts w:ascii="Times New Roman;sans-serif" w:hAnsi="Times New Roman;sans-serif"/>
          <w:b/>
          <w:strike/>
          <w:color w:val="FF0000"/>
          <w:sz w:val="22"/>
          <w:shd w:fill="FFFFFF" w:val="clear"/>
        </w:rPr>
        <w:t xml:space="preserve">(iii) </w:t>
      </w:r>
      <w:r>
        <w:rPr>
          <w:rFonts w:ascii="Times New Roman;sans-serif" w:hAnsi="Times New Roman;sans-serif"/>
          <w:b w:val="false"/>
          <w:color w:val="000000"/>
          <w:sz w:val="22"/>
          <w:shd w:fill="FFFFFF" w:val="clear"/>
        </w:rPr>
        <w:t>that a Change in Law shall subject any such Lenders to any Tax (other than (1) Indemnified Taxes, (2) Excluded Taxes or (3) Other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720"/>
        <w:jc w:val="both"/>
        <w:rPr/>
      </w:pPr>
      <w:r>
        <w:rPr>
          <w:rFonts w:ascii="Times New Roman;sans-serif" w:hAnsi="Times New Roman;sans-serif"/>
          <w:b/>
          <w:color w:val="0000FF"/>
          <w:sz w:val="22"/>
          <w:u w:val="single"/>
          <w:shd w:fill="FFFFFF" w:val="clear"/>
        </w:rPr>
        <w:t>(iii)    </w:t>
      </w:r>
      <w:r>
        <w:rPr>
          <w:rFonts w:ascii="Times New Roman;sans-serif" w:hAnsi="Times New Roman;sans-serif"/>
          <w:b/>
          <w:strike/>
          <w:color w:val="FF0000"/>
          <w:sz w:val="22"/>
          <w:shd w:fill="FFFFFF" w:val="clear"/>
        </w:rPr>
        <w:t xml:space="preserve">(iv) </w:t>
      </w:r>
      <w:r>
        <w:rPr>
          <w:rFonts w:ascii="Times New Roman;sans-serif" w:hAnsi="Times New Roman;sans-serif"/>
          <w:b w:val="false"/>
          <w:color w:val="000000"/>
          <w:sz w:val="22"/>
          <w:shd w:fill="FFFFFF" w:val="clear"/>
        </w:rPr>
        <w:t xml:space="preserve">at any time, that the making or continuance of any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 has become unlawful by compliance by such Lenders in good faith with any law, governmental rule,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shd w:fill="FFFFFF" w:val="clear"/>
        </w:rPr>
        <w:t xml:space="preserve">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Closing Date that materially and adversely affects the interbank </w:t>
      </w:r>
      <w:r>
        <w:rPr>
          <w:rFonts w:ascii="Times New Roman;sans-serif" w:hAnsi="Times New Roman;sans-serif"/>
          <w:b/>
          <w:strike/>
          <w:color w:val="FF0000"/>
          <w:sz w:val="22"/>
          <w:shd w:fill="FFFFFF" w:val="clear"/>
        </w:rPr>
        <w:t xml:space="preserve">LIBOR </w:t>
      </w:r>
      <w:r>
        <w:rPr>
          <w:rFonts w:ascii="Times New Roman;sans-serif" w:hAnsi="Times New Roman;sans-serif"/>
          <w:b w:val="false"/>
          <w:color w:val="000000"/>
          <w:sz w:val="22"/>
          <w:shd w:fill="FFFFFF" w:val="clear"/>
        </w:rPr>
        <w:t>market;</w:t>
      </w:r>
    </w:p>
    <w:p>
      <w:pPr>
        <w:pStyle w:val="TextBody"/>
        <w:bidi w:val="0"/>
        <w:spacing w:lineRule="auto" w:line="240" w:before="0" w:after="240"/>
        <w:jc w:val="both"/>
        <w:rPr/>
      </w:pPr>
      <w:r>
        <w:rPr>
          <w:rFonts w:ascii="Times New Roman;sans-serif" w:hAnsi="Times New Roman;sans-serif"/>
          <w:b w:val="false"/>
          <w:color w:val="000000"/>
          <w:sz w:val="22"/>
        </w:rPr>
        <w:t>(such Loans, “</w:t>
      </w:r>
      <w:r>
        <w:rPr>
          <w:rFonts w:ascii="Times New Roman;sans-serif" w:hAnsi="Times New Roman;sans-serif"/>
          <w:b/>
          <w:color w:val="000000"/>
          <w:sz w:val="22"/>
        </w:rPr>
        <w:t>Impacted Loans</w:t>
      </w:r>
      <w:r>
        <w:rPr>
          <w:color w:val="000000"/>
        </w:rPr>
        <w:t>”</w:t>
      </w:r>
      <w:r>
        <w:rPr>
          <w:rFonts w:ascii="Times New Roman;sans-serif" w:hAnsi="Times New Roman;sans-serif"/>
          <w:b w:val="false"/>
          <w:color w:val="000000"/>
          <w:sz w:val="22"/>
        </w:rPr>
        <w:t>), then, and in any such event, such Required Lenders</w:t>
      </w:r>
      <w:r>
        <w:rPr>
          <w:rFonts w:ascii="Times New Roman;sans-serif" w:hAnsi="Times New Roman;sans-serif"/>
          <w:b/>
          <w:strike/>
          <w:color w:val="FF0000"/>
          <w:sz w:val="22"/>
        </w:rPr>
        <w:t xml:space="preserve">, as applicable (or the Administrative Agent, in the case of </w:t>
      </w:r>
      <w:r>
        <w:rPr>
          <w:rFonts w:ascii="Times New Roman;sans-serif" w:hAnsi="Times New Roman;sans-serif"/>
          <w:b/>
          <w:strike/>
          <w:color w:val="FF0000"/>
          <w:sz w:val="22"/>
          <w:u w:val="single"/>
        </w:rPr>
        <w:t>clause (i)</w:t>
      </w:r>
      <w:r>
        <w:rPr>
          <w:strike/>
          <w:color w:val="FF0000"/>
        </w:rPr>
        <w:t xml:space="preserve"> </w:t>
      </w:r>
      <w:r>
        <w:rPr>
          <w:rFonts w:ascii="Times New Roman;sans-serif" w:hAnsi="Times New Roman;sans-serif"/>
          <w:b/>
          <w:strike/>
          <w:color w:val="FF0000"/>
          <w:sz w:val="22"/>
        </w:rPr>
        <w:t>above) shall</w:t>
      </w:r>
      <w:r>
        <w:rPr>
          <w:color w:val="000000"/>
        </w:rPr>
        <w:t xml:space="preserve"> </w:t>
      </w:r>
      <w:r>
        <w:rPr>
          <w:rFonts w:ascii="Times New Roman;sans-serif" w:hAnsi="Times New Roman;sans-serif"/>
          <w:b/>
          <w:color w:val="0000FF"/>
          <w:sz w:val="22"/>
          <w:u w:val="single"/>
        </w:rPr>
        <w:t>shall,</w:t>
      </w:r>
      <w:r>
        <w:rPr>
          <w:color w:val="000000"/>
        </w:rPr>
        <w:t xml:space="preserve"> </w:t>
      </w:r>
      <w:r>
        <w:rPr>
          <w:rFonts w:ascii="Times New Roman;sans-serif" w:hAnsi="Times New Roman;sans-serif"/>
          <w:b w:val="false"/>
          <w:color w:val="000000"/>
          <w:sz w:val="22"/>
        </w:rPr>
        <w:t xml:space="preserve">within a reasonable time thereafter give notice (if by telephone, confirmed in writing) to the Borrower and to the Administrative Agent of such determination (which notice the Administrative Agent shall promptly transmit to each of the other Lenders). Thereafter </w:t>
      </w:r>
      <w:r>
        <w:rPr>
          <w:rFonts w:ascii="Times New Roman;sans-serif" w:hAnsi="Times New Roman;sans-serif"/>
          <w:b/>
          <w:strike/>
          <w:color w:val="FF0000"/>
          <w:sz w:val="22"/>
        </w:rPr>
        <w:t xml:space="preserve">(x) in the case of </w:t>
      </w:r>
      <w:r>
        <w:rPr>
          <w:rFonts w:ascii="Times New Roman;sans-serif" w:hAnsi="Times New Roman;sans-serif"/>
          <w:b/>
          <w:strike/>
          <w:color w:val="FF0000"/>
          <w:sz w:val="22"/>
          <w:u w:val="single"/>
        </w:rPr>
        <w:t>clause (i)</w:t>
      </w:r>
      <w:r>
        <w:rPr>
          <w:strike/>
          <w:color w:val="FF0000"/>
        </w:rPr>
        <w:t xml:space="preserve"> </w:t>
      </w:r>
      <w:r>
        <w:rPr>
          <w:rFonts w:ascii="Times New Roman;sans-serif" w:hAnsi="Times New Roman;sans-serif"/>
          <w:b/>
          <w:strike/>
          <w:color w:val="FF0000"/>
          <w:sz w:val="22"/>
        </w:rPr>
        <w:t xml:space="preserve">above, LIBOR Loans shall no longer be available until such time as the Administrative Agent notifies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LIBOR Loans that have not yet been incurred shall be deemed rescinded by the Borrower, (y) in the case of </w:t>
      </w:r>
      <w:r>
        <w:rPr>
          <w:rFonts w:ascii="Times New Roman;sans-serif" w:hAnsi="Times New Roman;sans-serif"/>
          <w:b/>
          <w:strike/>
          <w:color w:val="FF0000"/>
          <w:sz w:val="22"/>
          <w:u w:val="single"/>
        </w:rPr>
        <w:t>clause (ii)</w:t>
      </w:r>
      <w:r>
        <w:rPr>
          <w:strike/>
          <w:color w:val="FF0000"/>
        </w:rPr>
        <w:t xml:space="preserve"> </w:t>
      </w:r>
      <w:r>
        <w:rPr>
          <w:rFonts w:ascii="Times New Roman;sans-serif" w:hAnsi="Times New Roman;sans-serif"/>
          <w:b/>
          <w:strike/>
          <w:color w:val="FF0000"/>
          <w:sz w:val="22"/>
        </w:rPr>
        <w:t>above, the</w:t>
      </w:r>
      <w:r>
        <w:rPr>
          <w:rFonts w:ascii="Times New Roman;sans-serif" w:hAnsi="Times New Roman;sans-serif"/>
          <w:b/>
          <w:color w:val="0000FF"/>
          <w:sz w:val="22"/>
          <w:u w:val="single"/>
        </w:rPr>
        <w:t>the</w:t>
      </w:r>
      <w:r>
        <w:rPr>
          <w:color w:val="000000"/>
        </w:rPr>
        <w:t xml:space="preserve"> </w:t>
      </w:r>
      <w:r>
        <w:rPr>
          <w:rFonts w:ascii="Times New Roman;sans-serif" w:hAnsi="Times New Roman;sans-serif"/>
          <w:b w:val="false"/>
          <w:color w:val="000000"/>
          <w:sz w:val="22"/>
        </w:rPr>
        <w:t>Borrower shall pay to such Lenders, promptly after receipt of written demand therefor such additional amounts (in the form of an increased rate of, or a different method of calculating, interest or otherwise as such Required Lenders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w:t>
      </w:r>
      <w:r>
        <w:rPr>
          <w:rFonts w:ascii="Times New Roman;sans-serif" w:hAnsi="Times New Roman;sans-serif"/>
          <w:b/>
          <w:strike/>
          <w:color w:val="FF0000"/>
          <w:sz w:val="22"/>
        </w:rPr>
        <w:t xml:space="preserve">, and (z) in the case of </w:t>
      </w:r>
      <w:r>
        <w:rPr>
          <w:rFonts w:ascii="Times New Roman;sans-serif" w:hAnsi="Times New Roman;sans-serif"/>
          <w:b/>
          <w:strike/>
          <w:color w:val="FF0000"/>
          <w:sz w:val="22"/>
          <w:u w:val="single"/>
        </w:rPr>
        <w:t>clause (iv)</w:t>
      </w:r>
      <w:r>
        <w:rPr>
          <w:strike/>
          <w:color w:val="FF0000"/>
        </w:rPr>
        <w:t xml:space="preserve"> </w:t>
      </w:r>
      <w:r>
        <w:rPr>
          <w:rFonts w:ascii="Times New Roman;sans-serif" w:hAnsi="Times New Roman;sans-serif"/>
          <w:b/>
          <w:strike/>
          <w:color w:val="FF0000"/>
          <w:sz w:val="22"/>
        </w:rPr>
        <w:t xml:space="preserve">above, the Borrower shall take one of the actions specified in </w:t>
      </w:r>
      <w:r>
        <w:rPr>
          <w:rFonts w:ascii="Times New Roman;sans-serif" w:hAnsi="Times New Roman;sans-serif"/>
          <w:b/>
          <w:strike/>
          <w:color w:val="FF0000"/>
          <w:sz w:val="22"/>
          <w:u w:val="single"/>
        </w:rPr>
        <w:t>subclause (x)</w:t>
      </w:r>
      <w:r>
        <w:rPr>
          <w:strike/>
          <w:color w:val="FF0000"/>
        </w:rPr>
        <w:t xml:space="preserve"> </w:t>
      </w:r>
      <w:r>
        <w:rPr>
          <w:rFonts w:ascii="Times New Roman;sans-serif" w:hAnsi="Times New Roman;sans-serif"/>
          <w:b/>
          <w:strike/>
          <w:color w:val="FF0000"/>
          <w:sz w:val="22"/>
        </w:rPr>
        <w:t xml:space="preserve">or </w:t>
      </w:r>
      <w:r>
        <w:rPr>
          <w:rFonts w:ascii="Times New Roman;sans-serif" w:hAnsi="Times New Roman;sans-serif"/>
          <w:b/>
          <w:strike/>
          <w:color w:val="FF0000"/>
          <w:sz w:val="22"/>
          <w:u w:val="single"/>
        </w:rPr>
        <w:t>(y)</w:t>
      </w:r>
      <w:r>
        <w:rPr>
          <w:rFonts w:ascii="Times New Roman;sans-serif" w:hAnsi="Times New Roman;sans-serif"/>
          <w:b/>
          <w:strike/>
          <w:color w:val="FF0000"/>
          <w:sz w:val="22"/>
        </w:rPr>
        <w:t xml:space="preserve">, as applicable, of </w:t>
      </w:r>
      <w:r>
        <w:rPr>
          <w:rFonts w:ascii="Times New Roman;sans-serif" w:hAnsi="Times New Roman;sans-serif"/>
          <w:b/>
          <w:strike/>
          <w:color w:val="FF0000"/>
          <w:sz w:val="22"/>
          <w:u w:val="single"/>
        </w:rPr>
        <w:t>Section 2.10(b)</w:t>
      </w:r>
      <w:r>
        <w:rPr>
          <w:strike/>
          <w:color w:val="FF0000"/>
        </w:rPr>
        <w:t xml:space="preserve"> </w:t>
      </w:r>
      <w:r>
        <w:rPr>
          <w:rFonts w:ascii="Times New Roman;sans-serif" w:hAnsi="Times New Roman;sans-serif"/>
          <w:b/>
          <w:strike/>
          <w:color w:val="FF0000"/>
          <w:sz w:val="22"/>
        </w:rPr>
        <w:t>promptly and, in any event, within the time period required by law</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strike/>
          <w:color w:val="FF0000"/>
          <w:sz w:val="22"/>
        </w:rPr>
        <w:t xml:space="preserve">Notwithstanding the foregoing, if the Administrative Agent has made the determination described in </w:t>
      </w:r>
      <w:r>
        <w:rPr>
          <w:rFonts w:ascii="Times New Roman;sans-serif" w:hAnsi="Times New Roman;sans-serif"/>
          <w:b/>
          <w:strike/>
          <w:color w:val="FF0000"/>
          <w:sz w:val="22"/>
          <w:u w:val="single"/>
        </w:rPr>
        <w:t>Section 2.10(a)(i)(x)</w:t>
      </w:r>
      <w:r>
        <w:rPr>
          <w:rFonts w:ascii="Times New Roman;sans-serif" w:hAnsi="Times New Roman;sans-serif"/>
          <w:b/>
          <w:strike/>
          <w:color w:val="FF0000"/>
          <w:sz w:val="22"/>
        </w:rPr>
        <w:t xml:space="preserve">,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Times New Roman;sans-serif" w:hAnsi="Times New Roman;sans-serif"/>
          <w:b/>
          <w:strike/>
          <w:color w:val="FF0000"/>
          <w:sz w:val="22"/>
          <w:u w:val="single"/>
        </w:rPr>
        <w:t>clause (x)</w:t>
      </w:r>
      <w:r>
        <w:rPr>
          <w:strike/>
          <w:color w:val="FF0000"/>
        </w:rPr>
        <w:t xml:space="preserve"> </w:t>
      </w:r>
      <w:r>
        <w:rPr>
          <w:rFonts w:ascii="Times New Roman;sans-serif" w:hAnsi="Times New Roman;sans-serif"/>
          <w:b/>
          <w:strike/>
          <w:color w:val="FF0000"/>
          <w:sz w:val="22"/>
        </w:rPr>
        <w:t>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pStyle w:val="TextBody"/>
        <w:bidi w:val="0"/>
        <w:spacing w:lineRule="auto" w:line="240" w:before="0" w:after="240"/>
        <w:ind w:left="0" w:right="0" w:firstLine="720"/>
        <w:jc w:val="both"/>
        <w:rPr/>
      </w:pPr>
      <w:r>
        <w:rPr>
          <w:rFonts w:ascii="Times New Roman;sans-serif" w:hAnsi="Times New Roman;sans-serif"/>
          <w:b/>
          <w:color w:val="0000FF"/>
          <w:sz w:val="22"/>
          <w:u w:val="single"/>
          <w:shd w:fill="FFFFFF" w:val="clear"/>
        </w:rPr>
        <w:t>(b)    </w:t>
      </w:r>
      <w:r>
        <w:rPr>
          <w:rFonts w:ascii="Times New Roman;sans-serif" w:hAnsi="Times New Roman;sans-serif"/>
          <w:b/>
          <w:strike/>
          <w:color w:val="FF0000"/>
          <w:sz w:val="22"/>
          <w:shd w:fill="FFFFFF" w:val="clear"/>
        </w:rPr>
        <w:t xml:space="preserve">(h) </w:t>
      </w:r>
      <w:r>
        <w:rPr>
          <w:rFonts w:ascii="Times New Roman;sans-serif" w:hAnsi="Times New Roman;sans-serif"/>
          <w:b w:val="false"/>
          <w:color w:val="000000"/>
          <w:sz w:val="22"/>
          <w:shd w:fill="FFFFFF" w:val="clear"/>
        </w:rPr>
        <w:t xml:space="preserve">At any time that any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 is affected by the circumstances described in </w:t>
      </w:r>
      <w:r>
        <w:rPr>
          <w:rFonts w:ascii="Times New Roman;sans-serif" w:hAnsi="Times New Roman;sans-serif"/>
          <w:b w:val="false"/>
          <w:color w:val="000000"/>
          <w:sz w:val="22"/>
          <w:u w:val="single"/>
          <w:shd w:fill="FFFFFF" w:val="clear"/>
        </w:rPr>
        <w:t>Section 2.10(a)(</w:t>
      </w:r>
      <w:r>
        <w:rPr>
          <w:rFonts w:ascii="Times New Roman;sans-serif" w:hAnsi="Times New Roman;sans-serif"/>
          <w:b/>
          <w:strike/>
          <w:color w:val="FF0000"/>
          <w:sz w:val="22"/>
          <w:u w:val="single"/>
          <w:shd w:fill="FFFFFF" w:val="clear"/>
        </w:rPr>
        <w:t>ii</w:t>
      </w:r>
      <w:r>
        <w:rPr>
          <w:rFonts w:ascii="Times New Roman;sans-serif" w:hAnsi="Times New Roman;sans-serif"/>
          <w:b/>
          <w:color w:val="0000FF"/>
          <w:sz w:val="22"/>
          <w:u w:val="single"/>
          <w:shd w:fill="FFFFFF" w:val="clear"/>
        </w:rPr>
        <w:t>i</w:t>
      </w:r>
      <w:r>
        <w:rPr>
          <w:rFonts w:ascii="Times New Roman;sans-serif" w:hAnsi="Times New Roman;sans-serif"/>
          <w:b w:val="false"/>
          <w:color w:val="000000"/>
          <w:sz w:val="22"/>
          <w:u w:val="single"/>
          <w:shd w:fill="FFFFFF" w:val="clear"/>
        </w:rPr>
        <w:t>)</w:t>
      </w:r>
      <w:r>
        <w:rPr>
          <w:color w:val="000000"/>
          <w:shd w:fill="FFFFFF" w:val="clear"/>
        </w:rPr>
        <w:t xml:space="preserve"> </w:t>
      </w:r>
      <w:r>
        <w:rPr>
          <w:rFonts w:ascii="Times New Roman;sans-serif" w:hAnsi="Times New Roman;sans-serif"/>
          <w:b w:val="false"/>
          <w:color w:val="000000"/>
          <w:sz w:val="22"/>
          <w:shd w:fill="FFFFFF" w:val="clear"/>
        </w:rPr>
        <w:t xml:space="preserve">or </w:t>
      </w:r>
      <w:r>
        <w:rPr>
          <w:rFonts w:ascii="Times New Roman;sans-serif" w:hAnsi="Times New Roman;sans-serif"/>
          <w:b w:val="false"/>
          <w:color w:val="000000"/>
          <w:sz w:val="22"/>
          <w:u w:val="single"/>
          <w:shd w:fill="FFFFFF" w:val="clear"/>
        </w:rPr>
        <w:t>(</w:t>
      </w:r>
      <w:r>
        <w:rPr>
          <w:rFonts w:ascii="Times New Roman;sans-serif" w:hAnsi="Times New Roman;sans-serif"/>
          <w:b/>
          <w:strike/>
          <w:color w:val="FF0000"/>
          <w:sz w:val="22"/>
          <w:u w:val="single"/>
          <w:shd w:fill="FFFFFF" w:val="clear"/>
        </w:rPr>
        <w:t>iv</w:t>
      </w:r>
      <w:r>
        <w:rPr>
          <w:rFonts w:ascii="Times New Roman;sans-serif" w:hAnsi="Times New Roman;sans-serif"/>
          <w:b/>
          <w:color w:val="0000FF"/>
          <w:sz w:val="22"/>
          <w:u w:val="single"/>
          <w:shd w:fill="FFFFFF" w:val="clear"/>
        </w:rPr>
        <w:t>iii</w:t>
      </w:r>
      <w:r>
        <w:rPr>
          <w:rFonts w:ascii="Times New Roman;sans-serif" w:hAnsi="Times New Roman;sans-serif"/>
          <w:b w:val="false"/>
          <w:color w:val="000000"/>
          <w:sz w:val="22"/>
          <w:u w:val="single"/>
          <w:shd w:fill="FFFFFF" w:val="clear"/>
        </w:rPr>
        <w:t>)</w:t>
      </w:r>
      <w:r>
        <w:rPr>
          <w:rFonts w:ascii="Times New Roman;sans-serif" w:hAnsi="Times New Roman;sans-serif"/>
          <w:b w:val="false"/>
          <w:color w:val="000000"/>
          <w:sz w:val="22"/>
          <w:shd w:fill="FFFFFF" w:val="clear"/>
        </w:rPr>
        <w:t xml:space="preserve">, the Borrower may (and in the case of a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 affected pursuant to </w:t>
      </w:r>
      <w:r>
        <w:rPr>
          <w:rFonts w:ascii="Times New Roman;sans-serif" w:hAnsi="Times New Roman;sans-serif"/>
          <w:b w:val="false"/>
          <w:color w:val="000000"/>
          <w:sz w:val="22"/>
          <w:u w:val="single"/>
          <w:shd w:fill="FFFFFF" w:val="clear"/>
        </w:rPr>
        <w:t>Section 2.10(a)(</w:t>
      </w:r>
      <w:r>
        <w:rPr>
          <w:rFonts w:ascii="Times New Roman;sans-serif" w:hAnsi="Times New Roman;sans-serif"/>
          <w:b/>
          <w:strike/>
          <w:color w:val="FF0000"/>
          <w:sz w:val="22"/>
          <w:u w:val="single"/>
          <w:shd w:fill="FFFFFF" w:val="clear"/>
        </w:rPr>
        <w:t>iv</w:t>
      </w:r>
      <w:r>
        <w:rPr>
          <w:rFonts w:ascii="Times New Roman;sans-serif" w:hAnsi="Times New Roman;sans-serif"/>
          <w:b/>
          <w:color w:val="0000FF"/>
          <w:sz w:val="22"/>
          <w:u w:val="single"/>
          <w:shd w:fill="FFFFFF" w:val="clear"/>
        </w:rPr>
        <w:t>iii</w:t>
      </w:r>
      <w:r>
        <w:rPr>
          <w:rFonts w:ascii="Times New Roman;sans-serif" w:hAnsi="Times New Roman;sans-serif"/>
          <w:b w:val="false"/>
          <w:color w:val="000000"/>
          <w:sz w:val="22"/>
          <w:u w:val="single"/>
          <w:shd w:fill="FFFFFF" w:val="clear"/>
        </w:rPr>
        <w:t>)</w:t>
      </w:r>
      <w:r>
        <w:rPr>
          <w:color w:val="000000"/>
          <w:shd w:fill="FFFFFF" w:val="clear"/>
        </w:rPr>
        <w:t xml:space="preserve"> </w:t>
      </w:r>
      <w:r>
        <w:rPr>
          <w:rFonts w:ascii="Times New Roman;sans-serif" w:hAnsi="Times New Roman;sans-serif"/>
          <w:b w:val="false"/>
          <w:color w:val="000000"/>
          <w:sz w:val="22"/>
          <w:shd w:fill="FFFFFF" w:val="clear"/>
        </w:rPr>
        <w:t xml:space="preserve">shall) either (x) if a Notice of Borrowing or Notice of Conversion or Continuation with respect to the affected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 has been submitted pursuant to </w:t>
      </w:r>
      <w:r>
        <w:rPr>
          <w:rFonts w:ascii="Times New Roman;sans-serif" w:hAnsi="Times New Roman;sans-serif"/>
          <w:b w:val="false"/>
          <w:color w:val="000000"/>
          <w:sz w:val="22"/>
          <w:u w:val="single"/>
          <w:shd w:fill="FFFFFF" w:val="clear"/>
        </w:rPr>
        <w:t>Section 2.3</w:t>
      </w:r>
      <w:r>
        <w:rPr>
          <w:color w:val="000000"/>
          <w:shd w:fill="FFFFFF" w:val="clear"/>
        </w:rPr>
        <w:t xml:space="preserve"> </w:t>
      </w:r>
      <w:r>
        <w:rPr>
          <w:rFonts w:ascii="Times New Roman;sans-serif" w:hAnsi="Times New Roman;sans-serif"/>
          <w:b w:val="false"/>
          <w:color w:val="000000"/>
          <w:sz w:val="22"/>
          <w:shd w:fill="FFFFFF" w:val="clear"/>
        </w:rPr>
        <w:t xml:space="preserve">but the affected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 has not been funded or continued, cancel such requested Borrowing by giving the Administrative Agent written notice thereof on the same date that the Borrower was notified by Lenders pursuant to </w:t>
      </w:r>
      <w:r>
        <w:rPr>
          <w:rFonts w:ascii="Times New Roman;sans-serif" w:hAnsi="Times New Roman;sans-serif"/>
          <w:b w:val="false"/>
          <w:color w:val="000000"/>
          <w:sz w:val="22"/>
          <w:u w:val="single"/>
          <w:shd w:fill="FFFFFF" w:val="clear"/>
        </w:rPr>
        <w:t>Section 2.10(a)(</w:t>
      </w:r>
      <w:r>
        <w:rPr>
          <w:rFonts w:ascii="Times New Roman;sans-serif" w:hAnsi="Times New Roman;sans-serif"/>
          <w:b/>
          <w:strike/>
          <w:color w:val="FF0000"/>
          <w:sz w:val="22"/>
          <w:u w:val="single"/>
          <w:shd w:fill="FFFFFF" w:val="clear"/>
        </w:rPr>
        <w:t>ii</w:t>
      </w:r>
      <w:r>
        <w:rPr>
          <w:rFonts w:ascii="Times New Roman;sans-serif" w:hAnsi="Times New Roman;sans-serif"/>
          <w:b/>
          <w:color w:val="0000FF"/>
          <w:sz w:val="22"/>
          <w:u w:val="single"/>
          <w:shd w:fill="FFFFFF" w:val="clear"/>
        </w:rPr>
        <w:t>i</w:t>
      </w:r>
      <w:r>
        <w:rPr>
          <w:rFonts w:ascii="Times New Roman;sans-serif" w:hAnsi="Times New Roman;sans-serif"/>
          <w:b w:val="false"/>
          <w:color w:val="000000"/>
          <w:sz w:val="22"/>
          <w:u w:val="single"/>
          <w:shd w:fill="FFFFFF" w:val="clear"/>
        </w:rPr>
        <w:t>)</w:t>
      </w:r>
      <w:r>
        <w:rPr>
          <w:color w:val="000000"/>
          <w:shd w:fill="FFFFFF" w:val="clear"/>
        </w:rPr>
        <w:t xml:space="preserve"> </w:t>
      </w:r>
      <w:r>
        <w:rPr>
          <w:rFonts w:ascii="Times New Roman;sans-serif" w:hAnsi="Times New Roman;sans-serif"/>
          <w:b w:val="false"/>
          <w:color w:val="000000"/>
          <w:sz w:val="22"/>
          <w:shd w:fill="FFFFFF" w:val="clear"/>
        </w:rPr>
        <w:t xml:space="preserve">or </w:t>
      </w:r>
      <w:r>
        <w:rPr>
          <w:rFonts w:ascii="Times New Roman;sans-serif" w:hAnsi="Times New Roman;sans-serif"/>
          <w:b w:val="false"/>
          <w:color w:val="000000"/>
          <w:sz w:val="22"/>
          <w:u w:val="single"/>
          <w:shd w:fill="FFFFFF" w:val="clear"/>
        </w:rPr>
        <w:t>(</w:t>
      </w:r>
      <w:r>
        <w:rPr>
          <w:rFonts w:ascii="Times New Roman;sans-serif" w:hAnsi="Times New Roman;sans-serif"/>
          <w:b/>
          <w:strike/>
          <w:color w:val="FF0000"/>
          <w:sz w:val="22"/>
          <w:u w:val="single"/>
          <w:shd w:fill="FFFFFF" w:val="clear"/>
        </w:rPr>
        <w:t>iv</w:t>
      </w:r>
      <w:r>
        <w:rPr>
          <w:rFonts w:ascii="Times New Roman;sans-serif" w:hAnsi="Times New Roman;sans-serif"/>
          <w:b/>
          <w:color w:val="0000FF"/>
          <w:sz w:val="22"/>
          <w:u w:val="single"/>
          <w:shd w:fill="FFFFFF" w:val="clear"/>
        </w:rPr>
        <w:t>iii</w:t>
      </w:r>
      <w:r>
        <w:rPr>
          <w:rFonts w:ascii="Times New Roman;sans-serif" w:hAnsi="Times New Roman;sans-serif"/>
          <w:b w:val="false"/>
          <w:color w:val="000000"/>
          <w:sz w:val="22"/>
          <w:u w:val="single"/>
          <w:shd w:fill="FFFFFF" w:val="clear"/>
        </w:rPr>
        <w:t>)</w:t>
      </w:r>
      <w:r>
        <w:rPr>
          <w:color w:val="000000"/>
          <w:shd w:fill="FFFFFF" w:val="clear"/>
        </w:rPr>
        <w:t xml:space="preserve"> </w:t>
      </w:r>
      <w:r>
        <w:rPr>
          <w:rFonts w:ascii="Times New Roman;sans-serif" w:hAnsi="Times New Roman;sans-serif"/>
          <w:b w:val="false"/>
          <w:color w:val="000000"/>
          <w:sz w:val="22"/>
          <w:shd w:fill="FFFFFF" w:val="clear"/>
        </w:rPr>
        <w:t xml:space="preserve">or (y) if the affected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 is then outstanding, upon at least three Business Days’ notice to the Administrative Agent, require the affected Lender to convert each such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 into an ABR Loan;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 xml:space="preserve">that if more than one Lender is affected at any time, then all affected Lenders must be treated in the same manner pursuant to this </w:t>
      </w:r>
      <w:r>
        <w:rPr>
          <w:rFonts w:ascii="Times New Roman;sans-serif" w:hAnsi="Times New Roman;sans-serif"/>
          <w:b w:val="false"/>
          <w:color w:val="000000"/>
          <w:sz w:val="22"/>
          <w:u w:val="single"/>
          <w:shd w:fill="FFFFFF" w:val="clear"/>
        </w:rPr>
        <w:t>Section 2.10(b)</w:t>
      </w:r>
      <w:r>
        <w:rPr>
          <w:rFonts w:ascii="Times New Roman;sans-serif" w:hAnsi="Times New Roman;sans-serif"/>
          <w:b w:val="false"/>
          <w:color w:val="000000"/>
          <w:sz w:val="22"/>
          <w:shd w:fill="FFFFFF" w:val="clear"/>
        </w:rPr>
        <w:t>.</w:t>
      </w:r>
    </w:p>
    <w:p>
      <w:pPr>
        <w:pStyle w:val="TextBody"/>
        <w:bidi w:val="0"/>
        <w:spacing w:lineRule="auto" w:line="240" w:before="0" w:after="240"/>
        <w:ind w:left="0" w:right="0" w:firstLine="720"/>
        <w:jc w:val="both"/>
        <w:rPr/>
      </w:pPr>
      <w:r>
        <w:rPr>
          <w:rFonts w:ascii="Times New Roman;sans-serif" w:hAnsi="Times New Roman;sans-serif"/>
          <w:b/>
          <w:color w:val="0000FF"/>
          <w:sz w:val="22"/>
          <w:u w:val="single"/>
          <w:shd w:fill="FFFFFF" w:val="clear"/>
        </w:rPr>
        <w:t>(c)    </w:t>
      </w:r>
      <w:r>
        <w:rPr>
          <w:rFonts w:ascii="Times New Roman;sans-serif" w:hAnsi="Times New Roman;sans-serif"/>
          <w:b/>
          <w:strike/>
          <w:color w:val="FF0000"/>
          <w:sz w:val="22"/>
          <w:shd w:fill="FFFFFF" w:val="clear"/>
        </w:rPr>
        <w:t xml:space="preserve">(i) </w:t>
      </w:r>
      <w:r>
        <w:rPr>
          <w:rFonts w:ascii="Times New Roman;sans-serif" w:hAnsi="Times New Roman;sans-serif"/>
          <w:b w:val="false"/>
          <w:color w:val="000000"/>
          <w:sz w:val="22"/>
          <w:shd w:fill="FFFFFF" w:val="clear"/>
        </w:rPr>
        <w:t xml:space="preserve">If, after the Closing Date, any Change in Law relating to capital adequacy or liquidity of any Lender or compliance by any Lender or its parent with any Change in Law relating to capital adequacy or liquidity occurring after the Closing Date, has or would have the effect of reducing the actual rate of return on such Lender’s or its respective parent’s or its Affiliate’s capital or assets as a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shd w:fill="FFFFFF" w:val="clear"/>
        </w:rPr>
        <w:t xml:space="preserve">consequence of such Lender’s commitments or obligations hereunder to a level below that which such Lender or its respective parent or its Affiliate could have achieved but for such Change in Law (taking into consideration such Lender’s or its respective parent’s policies with respect to capital adequacy or liquidity), then from time to time, promptly after written demand by such Lender (with a copy to the Administrative Agent), the Borrower shall pay to such Lender such actual additional amount or amounts as will compensate such Lender its parent for such actual reduction, it being understood and agreed, however, that a Lender shall not be entitled to such compensation as a result of such Lender’s compliance with, or pursuant to any request or directive to comply with, any law, rule or regulation as in effect on the Closing Date or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Times New Roman;sans-serif" w:hAnsi="Times New Roman;sans-serif"/>
          <w:b w:val="false"/>
          <w:color w:val="000000"/>
          <w:sz w:val="22"/>
          <w:u w:val="single"/>
          <w:shd w:fill="FFFFFF" w:val="clear"/>
        </w:rPr>
        <w:t>Section 2.10(c)</w:t>
      </w:r>
      <w:r>
        <w:rPr>
          <w:rFonts w:ascii="Times New Roman;sans-serif" w:hAnsi="Times New Roman;sans-serif"/>
          <w:b w:val="false"/>
          <w:color w:val="000000"/>
          <w:sz w:val="22"/>
          <w:shd w:fill="FFFFFF" w:val="clear"/>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sans-serif" w:hAnsi="Times New Roman;sans-serif"/>
          <w:b w:val="false"/>
          <w:color w:val="000000"/>
          <w:sz w:val="22"/>
          <w:u w:val="single"/>
          <w:shd w:fill="FFFFFF" w:val="clear"/>
        </w:rPr>
        <w:t>Section 2.13</w:t>
      </w:r>
      <w:r>
        <w:rPr>
          <w:rFonts w:ascii="Times New Roman;sans-serif" w:hAnsi="Times New Roman;sans-serif"/>
          <w:b w:val="false"/>
          <w:color w:val="000000"/>
          <w:sz w:val="22"/>
          <w:shd w:fill="FFFFFF" w:val="clear"/>
        </w:rPr>
        <w:t xml:space="preserve">, release or diminish the Borrower’s obligations to pay additional amounts pursuant to this </w:t>
      </w:r>
      <w:r>
        <w:rPr>
          <w:rFonts w:ascii="Times New Roman;sans-serif" w:hAnsi="Times New Roman;sans-serif"/>
          <w:b w:val="false"/>
          <w:color w:val="000000"/>
          <w:sz w:val="22"/>
          <w:u w:val="single"/>
          <w:shd w:fill="FFFFFF" w:val="clear"/>
        </w:rPr>
        <w:t>Section 2.10(c)</w:t>
      </w:r>
      <w:r>
        <w:rPr>
          <w:color w:val="000000"/>
          <w:shd w:fill="FFFFFF" w:val="clear"/>
        </w:rPr>
        <w:t xml:space="preserve"> </w:t>
      </w:r>
      <w:r>
        <w:rPr>
          <w:rFonts w:ascii="Times New Roman;sans-serif" w:hAnsi="Times New Roman;sans-serif"/>
          <w:b w:val="false"/>
          <w:color w:val="000000"/>
          <w:sz w:val="22"/>
          <w:shd w:fill="FFFFFF" w:val="clear"/>
        </w:rPr>
        <w:t>promptly following receipt of such notice.</w:t>
      </w:r>
    </w:p>
    <w:p>
      <w:pPr>
        <w:pStyle w:val="TextBody"/>
        <w:bidi w:val="0"/>
        <w:spacing w:lineRule="auto" w:line="240" w:before="0" w:after="240"/>
        <w:ind w:left="0" w:right="0" w:firstLine="720"/>
        <w:jc w:val="both"/>
        <w:rPr/>
      </w:pPr>
      <w:r>
        <w:rPr>
          <w:rFonts w:ascii="Times New Roman;sans-serif" w:hAnsi="Times New Roman;sans-serif"/>
          <w:b/>
          <w:color w:val="0000FF"/>
          <w:sz w:val="22"/>
          <w:u w:val="single"/>
          <w:shd w:fill="FFFFFF" w:val="clear"/>
        </w:rPr>
        <w:t>(d)    </w:t>
      </w:r>
      <w:r>
        <w:rPr>
          <w:rFonts w:ascii="Times New Roman;sans-serif" w:hAnsi="Times New Roman;sans-serif"/>
          <w:b/>
          <w:strike/>
          <w:color w:val="FF0000"/>
          <w:sz w:val="22"/>
          <w:shd w:fill="FFFFFF" w:val="clear"/>
        </w:rPr>
        <w:t xml:space="preserve">(j) </w:t>
      </w:r>
      <w:r>
        <w:rPr>
          <w:rFonts w:ascii="Times New Roman;sans-serif" w:hAnsi="Times New Roman;sans-serif"/>
          <w:b w:val="false"/>
          <w:color w:val="000000"/>
          <w:sz w:val="22"/>
          <w:shd w:fill="FFFFFF" w:val="clear"/>
        </w:rPr>
        <w:t xml:space="preserve">If the Administrative Agent shall have received notice from the Required Lenders that </w:t>
      </w:r>
      <w:r>
        <w:rPr>
          <w:rFonts w:ascii="Times New Roman;sans-serif" w:hAnsi="Times New Roman;sans-serif"/>
          <w:b/>
          <w:strike/>
          <w:color w:val="FF0000"/>
          <w:sz w:val="22"/>
          <w:shd w:fill="FFFFFF" w:val="clear"/>
        </w:rPr>
        <w:t xml:space="preserve">the </w:t>
      </w:r>
      <w:r>
        <w:rPr>
          <w:rFonts w:ascii="Times New Roman;sans-serif" w:hAnsi="Times New Roman;sans-serif"/>
          <w:b w:val="false"/>
          <w:color w:val="000000"/>
          <w:sz w:val="22"/>
          <w:shd w:fill="FFFFFF" w:val="clear"/>
        </w:rPr>
        <w:t xml:space="preserve">Adjusted </w:t>
      </w:r>
      <w:r>
        <w:rPr>
          <w:rFonts w:ascii="Times New Roman;sans-serif" w:hAnsi="Times New Roman;sans-serif"/>
          <w:b/>
          <w:strike/>
          <w:color w:val="FF0000"/>
          <w:sz w:val="22"/>
          <w:shd w:fill="FFFFFF" w:val="clear"/>
        </w:rPr>
        <w:t>LIBOR Rate</w:t>
      </w:r>
      <w:r>
        <w:rPr>
          <w:rFonts w:ascii="Times New Roman;sans-serif" w:hAnsi="Times New Roman;sans-serif"/>
          <w:b/>
          <w:color w:val="0000FF"/>
          <w:sz w:val="22"/>
          <w:u w:val="single"/>
          <w:shd w:fill="FFFFFF" w:val="clear"/>
        </w:rPr>
        <w:t>Term SOFR</w:t>
      </w:r>
      <w:r>
        <w:rPr>
          <w:color w:val="000000"/>
          <w:shd w:fill="FFFFFF" w:val="clear"/>
        </w:rPr>
        <w:t xml:space="preserve"> </w:t>
      </w:r>
      <w:r>
        <w:rPr>
          <w:rFonts w:ascii="Times New Roman;sans-serif" w:hAnsi="Times New Roman;sans-serif"/>
          <w:b w:val="false"/>
          <w:color w:val="000000"/>
          <w:sz w:val="22"/>
          <w:shd w:fill="FFFFFF" w:val="clear"/>
        </w:rPr>
        <w:t xml:space="preserve">determined or to be determined for such Interest Period will not adequately and fairly reflect the cost to such Lenders (as certified by such Lenders) of making or maintaining their affected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Loans during such Interest Period, the Administrative Agent shall give telecopy or telephonic notice thereof to the Borrower and the Lenders as soon as practicable thereafter (which notice shall include supporting calculations in reasonable detail). If such notice is given, (i) any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 requested to be made on the first day of such Interest Period shall be made an ABR Loan, (ii) any Loans that were to have been converted on the first day of such Interest Period to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Loans shall be continued as an ABR Loan and (iii) any outstanding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Loans shall be converted, on the first day of such Interest Period, to ABR Loans. Until such notice has been withdrawn by the Administrative Agent, no further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Loans shall be made or continued as such, nor shall the Borrower have the right to convert ABR Loans to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2.11    </w:t>
      </w:r>
      <w:r>
        <w:rPr>
          <w:rFonts w:ascii="Times New Roman;sans-serif" w:hAnsi="Times New Roman;sans-serif"/>
          <w:b w:val="false"/>
          <w:color w:val="000000"/>
          <w:sz w:val="22"/>
          <w:u w:val="single"/>
        </w:rPr>
        <w:t>Compensation</w:t>
      </w:r>
      <w:r>
        <w:rPr>
          <w:rFonts w:ascii="Times New Roman;sans-serif" w:hAnsi="Times New Roman;sans-serif"/>
          <w:b w:val="false"/>
          <w:color w:val="000000"/>
          <w:sz w:val="22"/>
        </w:rPr>
        <w:t xml:space="preserve">. If (a) any payment of principal of any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is made by the Borrower to or for the account of a Lender other than on the last day of the Interest Period for such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as a result of a payment or conversion pursuant to </w:t>
      </w:r>
      <w:r>
        <w:rPr>
          <w:rFonts w:ascii="Times New Roman;sans-serif" w:hAnsi="Times New Roman;sans-serif"/>
          <w:b w:val="false"/>
          <w:color w:val="000000"/>
          <w:sz w:val="22"/>
          <w:u w:val="single"/>
        </w:rPr>
        <w:t>Sections 2.5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13.7</w:t>
      </w:r>
      <w:r>
        <w:rPr>
          <w:rFonts w:ascii="Times New Roman;sans-serif" w:hAnsi="Times New Roman;sans-serif"/>
          <w:b w:val="false"/>
          <w:color w:val="000000"/>
          <w:sz w:val="22"/>
        </w:rPr>
        <w:t xml:space="preserve">, as a result of acceleration of the maturity of the Loans pursuant to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or for any other reason, (b) any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is not made as a result of a withdrawn Notice of Borrowing or a failure to satisfy borrowing conditions, (c) any ABR Loan is not converted into a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as a result of a withdrawn Notice of Conversion or Continuation, (d) any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is not continued as a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as the case may be, as a result of a withdrawn Notice of Conversion or Continuation or (e) any prepayment of principal of any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is not made as a result of a withdrawn notice of prepayment pursuant to </w:t>
      </w:r>
      <w:r>
        <w:rPr>
          <w:rFonts w:ascii="Times New Roman;sans-serif" w:hAnsi="Times New Roman;sans-serif"/>
          <w:b w:val="false"/>
          <w:color w:val="000000"/>
          <w:sz w:val="22"/>
          <w:u w:val="single"/>
        </w:rPr>
        <w:t>Sections 5.1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5.2</w:t>
      </w:r>
      <w:r>
        <w:rPr>
          <w:rFonts w:ascii="Times New Roman;sans-serif" w:hAnsi="Times New Roman;sans-serif"/>
          <w:b w:val="false"/>
          <w:color w:val="000000"/>
          <w:sz w:val="22"/>
        </w:rPr>
        <w:t xml:space="preserve">,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 A certificate of a Lender setting forth the amount or amounts necessary to compensate such Lender as specified in this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and setting forth in reasonable detail the manner in which such amount or amounts were determined shall be delivered to the Borrower and shall be conclusive, absent manifest error. The obligations of the Borrower under this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shall survive the payment in full of the Loans and the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2.12    </w:t>
      </w:r>
      <w:r>
        <w:rPr>
          <w:rFonts w:ascii="Times New Roman;sans-serif" w:hAnsi="Times New Roman;sans-serif"/>
          <w:b w:val="false"/>
          <w:color w:val="000000"/>
          <w:sz w:val="22"/>
          <w:u w:val="single"/>
        </w:rPr>
        <w:t>Change of Lending Office</w:t>
      </w:r>
      <w:r>
        <w:rPr>
          <w:rFonts w:ascii="Times New Roman;sans-serif" w:hAnsi="Times New Roman;sans-serif"/>
          <w:b w:val="false"/>
          <w:color w:val="000000"/>
          <w:sz w:val="22"/>
        </w:rPr>
        <w:t xml:space="preserve">. Each Lender agrees that, upon the occurrence of any event giving rise to the operation of </w:t>
      </w:r>
      <w:r>
        <w:rPr>
          <w:rFonts w:ascii="Times New Roman;sans-serif" w:hAnsi="Times New Roman;sans-serif"/>
          <w:b w:val="false"/>
          <w:color w:val="000000"/>
          <w:sz w:val="22"/>
          <w:u w:val="single"/>
        </w:rPr>
        <w:t>Sections 2.10(a)(</w:t>
      </w:r>
      <w:r>
        <w:rPr>
          <w:rFonts w:ascii="Times New Roman;sans-serif" w:hAnsi="Times New Roman;sans-serif"/>
          <w:b/>
          <w:strike/>
          <w:color w:val="FF0000"/>
          <w:sz w:val="22"/>
          <w:u w:val="single"/>
        </w:rPr>
        <w:t>ii</w:t>
      </w:r>
      <w:r>
        <w:rPr>
          <w:rFonts w:ascii="Times New Roman;sans-serif" w:hAnsi="Times New Roman;sans-serif"/>
          <w:b/>
          <w:color w:val="0000FF"/>
          <w:sz w:val="22"/>
          <w:u w:val="single"/>
        </w:rPr>
        <w:t>i</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2.10(a)(</w:t>
      </w:r>
      <w:r>
        <w:rPr>
          <w:rFonts w:ascii="Times New Roman;sans-serif" w:hAnsi="Times New Roman;sans-serif"/>
          <w:b/>
          <w:strike/>
          <w:color w:val="FF0000"/>
          <w:sz w:val="22"/>
          <w:u w:val="single"/>
        </w:rPr>
        <w:t>iii</w:t>
      </w:r>
      <w:r>
        <w:rPr>
          <w:rFonts w:ascii="Times New Roman;sans-serif" w:hAnsi="Times New Roman;sans-serif"/>
          <w:b/>
          <w:color w:val="0000FF"/>
          <w:sz w:val="22"/>
          <w:u w:val="single"/>
        </w:rPr>
        <w:t>ii</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2.10(b)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5.4</w:t>
      </w:r>
      <w:r>
        <w:rPr>
          <w:color w:val="000000"/>
        </w:rPr>
        <w:t xml:space="preserve"> </w:t>
      </w:r>
      <w:r>
        <w:rPr>
          <w:rFonts w:ascii="Times New Roman;sans-serif" w:hAnsi="Times New Roman;sans-serif"/>
          <w:b w:val="false"/>
          <w:color w:val="000000"/>
          <w:sz w:val="22"/>
        </w:rPr>
        <w:t xml:space="preserve">with respect to such Lender, it will, if requested by the Borrower, use reasonable efforts (subject to overall policy considerations of such Lender) to designate another lending office for any Loans affected by such event;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designation is made on such terms that such Lender and its lending office suffer no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unreimbursed cost or other material economic, legal or regulatory disadvantage, with the object of avoiding the consequence of the event giving rise to the operation of any such Section. Nothing in this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 xml:space="preserve">shall affect or postpone any of the obligations of the Borrower or the right of any Lender provided in </w:t>
      </w:r>
      <w:r>
        <w:rPr>
          <w:rFonts w:ascii="Times New Roman;sans-serif" w:hAnsi="Times New Roman;sans-serif"/>
          <w:b w:val="false"/>
          <w:color w:val="000000"/>
          <w:sz w:val="22"/>
          <w:u w:val="single"/>
        </w:rPr>
        <w:t>Sections 2.10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2.13    </w:t>
      </w:r>
      <w:r>
        <w:rPr>
          <w:rFonts w:ascii="Times New Roman;sans-serif" w:hAnsi="Times New Roman;sans-serif"/>
          <w:b w:val="false"/>
          <w:color w:val="000000"/>
          <w:sz w:val="22"/>
          <w:u w:val="single"/>
        </w:rPr>
        <w:t>Notice of Certain Costs</w:t>
      </w:r>
      <w:r>
        <w:rPr>
          <w:rFonts w:ascii="Times New Roman;sans-serif" w:hAnsi="Times New Roman;sans-serif"/>
          <w:b w:val="false"/>
          <w:color w:val="000000"/>
          <w:sz w:val="22"/>
        </w:rPr>
        <w:t xml:space="preserve">. Notwithstanding anything in this Agreement to the contrary, to the extent any notice required by </w:t>
      </w:r>
      <w:r>
        <w:rPr>
          <w:rFonts w:ascii="Times New Roman;sans-serif" w:hAnsi="Times New Roman;sans-serif"/>
          <w:b w:val="false"/>
          <w:color w:val="000000"/>
          <w:sz w:val="22"/>
          <w:u w:val="single"/>
        </w:rPr>
        <w:t>Sections 2.10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2.11</w:t>
      </w:r>
      <w:r>
        <w:rPr>
          <w:color w:val="000000"/>
        </w:rPr>
        <w:t xml:space="preserve"> </w:t>
      </w:r>
      <w:r>
        <w:rPr>
          <w:rFonts w:ascii="Times New Roman;sans-serif" w:hAnsi="Times New Roman;sans-serif"/>
          <w:b w:val="false"/>
          <w:color w:val="000000"/>
          <w:sz w:val="22"/>
        </w:rPr>
        <w:t xml:space="preserve">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Times New Roman;sans-serif" w:hAnsi="Times New Roman;sans-serif"/>
          <w:b w:val="false"/>
          <w:color w:val="000000"/>
          <w:sz w:val="22"/>
          <w:u w:val="single"/>
        </w:rPr>
        <w:t>Sections 2.10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2.11</w:t>
      </w:r>
      <w:r>
        <w:rPr>
          <w:rFonts w:ascii="Times New Roman;sans-serif" w:hAnsi="Times New Roman;sans-serif"/>
          <w:b w:val="false"/>
          <w:color w:val="000000"/>
          <w:sz w:val="22"/>
        </w:rPr>
        <w:t>, as the case may be, for any such amounts incurred or accruing prior to the 121st day prior to the giving of such notice to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2.14    </w:t>
      </w:r>
      <w:r>
        <w:rPr>
          <w:rFonts w:ascii="Times New Roman;sans-serif" w:hAnsi="Times New Roman;sans-serif"/>
          <w:b w:val="false"/>
          <w:color w:val="000000"/>
          <w:sz w:val="22"/>
          <w:u w:val="single"/>
        </w:rPr>
        <w:t>Incremental Facilities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Borrower may, elect to request the establishment of one or more additional tranches of term loans or increases in Term Loans of any Class (the commitments thereto, the “</w:t>
      </w:r>
      <w:r>
        <w:rPr>
          <w:rFonts w:ascii="Times New Roman;sans-serif" w:hAnsi="Times New Roman;sans-serif"/>
          <w:b/>
          <w:color w:val="000000"/>
          <w:sz w:val="22"/>
        </w:rPr>
        <w:t>New Term Loan Commitments</w:t>
      </w:r>
      <w:r>
        <w:rPr>
          <w:color w:val="000000"/>
        </w:rPr>
        <w:t>”</w:t>
      </w:r>
      <w:r>
        <w:rPr>
          <w:rFonts w:ascii="Times New Roman;sans-serif" w:hAnsi="Times New Roman;sans-serif"/>
          <w:b w:val="false"/>
          <w:color w:val="000000"/>
          <w:sz w:val="22"/>
        </w:rPr>
        <w:t xml:space="preserve">) by an aggregate amount not in excess of the Maximum Incremental Facilities Amount in the aggregate and not less than $10,000,000 individually (or such lesser amount as (x) may be approved by the Administrative Agent or (y) shall constitute the difference between the Maximum Incremental Facilities Amount and all such New Term Loan Commitments obtained on or prior to such date) which may be Incurred in Dollars, Euros or Pounds Sterling. The Borrower may approach any Lender or any Person (other than a natural Person) to provide all or a portion of the New Term Loan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any Lender offered or approached to provide all or a portion of the New Term Loan Commitments may elect or decline, in its sole discretion, to provide a New Term Loan Commitment. In each case, such New Term Loan Commitments shall become effective as of the applicable Increased Amount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 no Event of Default (except in connection with a Limited Condition Transaction, other Permitted Acquisition or Permitted Investment, in which case the standard shall be no Event of Default under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11.5</w:t>
      </w:r>
      <w:r>
        <w:rPr>
          <w:rFonts w:ascii="Times New Roman;sans-serif" w:hAnsi="Times New Roman;sans-serif"/>
          <w:b w:val="false"/>
          <w:color w:val="000000"/>
          <w:sz w:val="22"/>
        </w:rPr>
        <w:t xml:space="preserve">) shall exist on such Increased Amount Date before or after giving effect to such New Term Loan Commitments, as applicable, and subject to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 xml:space="preserve">, (ii) the New Term Loan Commitments shall be effected pursuant to one or more Joinder Agreements executed and delivered by the Borrower and Administrative Agent, and each of which shall be recorded in the Register and shall be subject to the requirements set forth in </w:t>
      </w:r>
      <w:r>
        <w:rPr>
          <w:rFonts w:ascii="Times New Roman;sans-serif" w:hAnsi="Times New Roman;sans-serif"/>
          <w:b w:val="false"/>
          <w:color w:val="000000"/>
          <w:sz w:val="22"/>
          <w:u w:val="single"/>
        </w:rPr>
        <w:t>Section 5.4(e)</w:t>
      </w:r>
      <w:r>
        <w:rPr>
          <w:rFonts w:ascii="Times New Roman;sans-serif" w:hAnsi="Times New Roman;sans-serif"/>
          <w:b w:val="false"/>
          <w:color w:val="000000"/>
          <w:sz w:val="22"/>
        </w:rPr>
        <w:t xml:space="preserve">, and (iii) the Borrower shall make any payments required pursuant to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in connection with the New Term Loan Commitments, as applicable. No Lender shall have any obligation to provide any Commitments pursuant to this </w:t>
      </w:r>
      <w:r>
        <w:rPr>
          <w:rFonts w:ascii="Times New Roman;sans-serif" w:hAnsi="Times New Roman;sans-serif"/>
          <w:b w:val="false"/>
          <w:color w:val="000000"/>
          <w:sz w:val="22"/>
          <w:u w:val="single"/>
        </w:rPr>
        <w:t>Section 2.14(a)</w:t>
      </w:r>
      <w:r>
        <w:rPr>
          <w:rFonts w:ascii="Times New Roman;sans-serif" w:hAnsi="Times New Roman;sans-serif"/>
          <w:b w:val="false"/>
          <w:color w:val="000000"/>
          <w:sz w:val="22"/>
        </w:rPr>
        <w:t>. Any New Term Loans made on an Increased Amount Date shall, at the election of the Borrower and agreed to by Lenders providing such New Term Loan Commitments, be designated as (a) a separate series (a “</w:t>
      </w:r>
      <w:r>
        <w:rPr>
          <w:rFonts w:ascii="Times New Roman;sans-serif" w:hAnsi="Times New Roman;sans-serif"/>
          <w:b/>
          <w:color w:val="000000"/>
          <w:sz w:val="22"/>
        </w:rPr>
        <w:t>Series</w:t>
      </w:r>
      <w:r>
        <w:rPr>
          <w:color w:val="000000"/>
        </w:rPr>
        <w:t>”</w:t>
      </w:r>
      <w:r>
        <w:rPr>
          <w:rFonts w:ascii="Times New Roman;sans-serif" w:hAnsi="Times New Roman;sans-serif"/>
          <w:b w:val="false"/>
          <w:color w:val="000000"/>
          <w:sz w:val="22"/>
        </w:rPr>
        <w:t xml:space="preserve">) of New Term Loans for all purposes of this Agreement or (b) as part of a Series of existing Term Loans for all purposes of this Agreement.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[Reserved].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On any Increased Amount Date on which any New Term Loan Commitments of any Series are effective, subject to the satisfaction of the foregoing terms and conditions, (i) each Lender with a New Term Loan Commitment (each, a “</w:t>
      </w:r>
      <w:r>
        <w:rPr>
          <w:rFonts w:ascii="Times New Roman;sans-serif" w:hAnsi="Times New Roman;sans-serif"/>
          <w:b/>
          <w:color w:val="000000"/>
          <w:sz w:val="22"/>
        </w:rPr>
        <w:t>New</w:t>
      </w:r>
      <w:r>
        <w:rPr>
          <w:color w:val="000000"/>
        </w:rPr>
        <w:t xml:space="preserve"> </w:t>
      </w:r>
      <w:r>
        <w:rPr>
          <w:rFonts w:ascii="Times New Roman;sans-serif" w:hAnsi="Times New Roman;sans-serif"/>
          <w:b/>
          <w:color w:val="000000"/>
          <w:sz w:val="22"/>
        </w:rPr>
        <w:t>Term Loan Lender</w:t>
      </w:r>
      <w:r>
        <w:rPr>
          <w:color w:val="000000"/>
        </w:rPr>
        <w:t>”</w:t>
      </w:r>
      <w:r>
        <w:rPr>
          <w:rFonts w:ascii="Times New Roman;sans-serif" w:hAnsi="Times New Roman;sans-serif"/>
          <w:b w:val="false"/>
          <w:color w:val="000000"/>
          <w:sz w:val="22"/>
        </w:rPr>
        <w:t>) of any Series shall make a Loan to the Borrower (a “</w:t>
      </w:r>
      <w:r>
        <w:rPr>
          <w:rFonts w:ascii="Times New Roman;sans-serif" w:hAnsi="Times New Roman;sans-serif"/>
          <w:b/>
          <w:color w:val="000000"/>
          <w:sz w:val="22"/>
        </w:rPr>
        <w:t>New</w:t>
      </w:r>
      <w:r>
        <w:rPr>
          <w:color w:val="000000"/>
        </w:rPr>
        <w:t xml:space="preserve"> </w:t>
      </w:r>
      <w:r>
        <w:rPr>
          <w:rFonts w:ascii="Times New Roman;sans-serif" w:hAnsi="Times New Roman;sans-serif"/>
          <w:b/>
          <w:color w:val="000000"/>
          <w:sz w:val="22"/>
        </w:rPr>
        <w:t>Term Loan</w:t>
      </w:r>
      <w:r>
        <w:rPr>
          <w:color w:val="000000"/>
        </w:rPr>
        <w:t>”</w:t>
      </w:r>
      <w:r>
        <w:rPr>
          <w:rFonts w:ascii="Times New Roman;sans-serif" w:hAnsi="Times New Roman;sans-serif"/>
          <w:b w:val="false"/>
          <w:color w:val="000000"/>
          <w:sz w:val="22"/>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(d)    </w:t>
      </w:r>
      <w:r>
        <w:rPr>
          <w:rFonts w:ascii="Times New Roman;sans-serif" w:hAnsi="Times New Roman;sans-serif"/>
          <w:b w:val="false"/>
          <w:color w:val="000000"/>
          <w:sz w:val="22"/>
          <w:shd w:fill="FFFFFF" w:val="clear"/>
        </w:rPr>
        <w:t xml:space="preserve">The terms and provisions of the New Term Loans and New Term Loan Commitments of any Series shall be on terms and documentation set forth in the Joinder Agreement as determined by the Borrower;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 xml:space="preserve">that (i) the applicable New Term Loan Maturity Date of each Series shall be no earlier than the Initial Term Loan Maturity Date; (ii) the weighted average life to maturity of all New Term Loans shall be no shorter than the weighted average life to maturity of the then existing Initial Term Loans as calculated without giving effect to any prepayments made in connection with the Initial Term Loans; (iii) the pricing, interest rate margins, discounts, premiums, rate floors, fees, and, subject to </w:t>
      </w:r>
      <w:r>
        <w:rPr>
          <w:rFonts w:ascii="Times New Roman;sans-serif" w:hAnsi="Times New Roman;sans-serif"/>
          <w:b w:val="false"/>
          <w:color w:val="000000"/>
          <w:sz w:val="22"/>
          <w:u w:val="single"/>
          <w:shd w:fill="FFFFFF" w:val="clear"/>
        </w:rPr>
        <w:t>clauses (i)</w:t>
      </w:r>
      <w:r>
        <w:rPr>
          <w:color w:val="000000"/>
          <w:shd w:fill="FFFFFF" w:val="clear"/>
        </w:rPr>
        <w:t xml:space="preserve"> </w:t>
      </w:r>
      <w:r>
        <w:rPr>
          <w:rFonts w:ascii="Times New Roman;sans-serif" w:hAnsi="Times New Roman;sans-serif"/>
          <w:b w:val="false"/>
          <w:color w:val="000000"/>
          <w:sz w:val="22"/>
          <w:shd w:fill="FFFFFF" w:val="clear"/>
        </w:rPr>
        <w:t xml:space="preserve">and </w:t>
      </w:r>
      <w:r>
        <w:rPr>
          <w:rFonts w:ascii="Times New Roman;sans-serif" w:hAnsi="Times New Roman;sans-serif"/>
          <w:b w:val="false"/>
          <w:color w:val="000000"/>
          <w:sz w:val="22"/>
          <w:u w:val="single"/>
          <w:shd w:fill="FFFFFF" w:val="clear"/>
        </w:rPr>
        <w:t>(ii)</w:t>
      </w:r>
      <w:r>
        <w:rPr>
          <w:color w:val="000000"/>
          <w:shd w:fill="FFFFFF" w:val="clear"/>
        </w:rPr>
        <w:t xml:space="preserve"> </w:t>
      </w:r>
      <w:r>
        <w:rPr>
          <w:rFonts w:ascii="Times New Roman;sans-serif" w:hAnsi="Times New Roman;sans-serif"/>
          <w:b w:val="false"/>
          <w:color w:val="000000"/>
          <w:sz w:val="22"/>
          <w:shd w:fill="FFFFFF" w:val="clear"/>
        </w:rPr>
        <w:t xml:space="preserve">above, amortization schedule applicable to any New Term Loans shall be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shd w:fill="FFFFFF" w:val="clear"/>
        </w:rPr>
        <w:t xml:space="preserve">by the Borrower and the Lenders thereunder;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 xml:space="preserve">that, with respect to any broadly syndicated New Term Loan Incurred pursuant to </w:t>
      </w:r>
      <w:r>
        <w:rPr>
          <w:rFonts w:ascii="Times New Roman;sans-serif" w:hAnsi="Times New Roman;sans-serif"/>
          <w:b w:val="false"/>
          <w:color w:val="000000"/>
          <w:sz w:val="22"/>
          <w:u w:val="single"/>
          <w:shd w:fill="FFFFFF" w:val="clear"/>
        </w:rPr>
        <w:t>clause (i)</w:t>
      </w:r>
      <w:r>
        <w:rPr>
          <w:color w:val="000000"/>
          <w:shd w:fill="FFFFFF" w:val="clear"/>
        </w:rPr>
        <w:t xml:space="preserve"> </w:t>
      </w:r>
      <w:r>
        <w:rPr>
          <w:rFonts w:ascii="Times New Roman;sans-serif" w:hAnsi="Times New Roman;sans-serif"/>
          <w:b w:val="false"/>
          <w:color w:val="000000"/>
          <w:sz w:val="22"/>
          <w:shd w:fill="FFFFFF" w:val="clear"/>
        </w:rPr>
        <w:t xml:space="preserve">of the definition of Maximum Incremental Facilities Amount that matures earlier than the date that is two years after the Initial Term Loan Maturity Date, only during the period commencing on the Closing Date and ending on the date that is six months after the Closing Date, if the Effective Yield for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Loans or ABR Loans in respect of such New Term Loans exceeds the Effective Yield for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Loans or ABR Loans in respect of the then existing Initial Term Loans of the same currency by more than 0.50%, the Applicable Margin for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Loans or ABR Loans in respect of the then existing Initial Term Loans of the same currency shall be adjusted so that the Effective Yield in respect of the then existing Initial Term Loans of the same currency is equal to the Effective Yield for </w:t>
      </w:r>
      <w:r>
        <w:rPr>
          <w:rFonts w:ascii="Times New Roman;sans-serif" w:hAnsi="Times New Roman;sans-serif"/>
          <w:b/>
          <w:strike/>
          <w:color w:val="FF0000"/>
          <w:sz w:val="22"/>
          <w:shd w:fill="FFFFFF" w:val="clear"/>
        </w:rPr>
        <w:t>LIBOR</w:t>
      </w:r>
      <w:r>
        <w:rPr>
          <w:rFonts w:ascii="Times New Roman;sans-serif" w:hAnsi="Times New Roman;sans-serif"/>
          <w:b/>
          <w:color w:val="0000FF"/>
          <w:sz w:val="22"/>
          <w:u w:val="single"/>
          <w:shd w:fill="FFFFFF" w:val="clear"/>
        </w:rPr>
        <w:t>SOFR</w:t>
      </w:r>
      <w:r>
        <w:rPr>
          <w:color w:val="000000"/>
          <w:shd w:fill="FFFFFF" w:val="clear"/>
        </w:rPr>
        <w:t xml:space="preserve"> </w:t>
      </w:r>
      <w:r>
        <w:rPr>
          <w:rFonts w:ascii="Times New Roman;sans-serif" w:hAnsi="Times New Roman;sans-serif"/>
          <w:b w:val="false"/>
          <w:color w:val="000000"/>
          <w:sz w:val="22"/>
          <w:shd w:fill="FFFFFF" w:val="clear"/>
        </w:rPr>
        <w:t xml:space="preserve">Loans or ABR Loans in respect of the New Term Loans minus 0.50%;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 xml:space="preserve">that, any amendments to the applicable margin on the Initial Term Loans that became effective subsequent to the Restatement Effective Date but prior to the time of such New Term Loans shall be included in the calculation of the Effective Yield (the terms of this proviso to this </w:t>
      </w:r>
      <w:r>
        <w:rPr>
          <w:rFonts w:ascii="Times New Roman;sans-serif" w:hAnsi="Times New Roman;sans-serif"/>
          <w:b w:val="false"/>
          <w:color w:val="000000"/>
          <w:sz w:val="22"/>
          <w:u w:val="single"/>
          <w:shd w:fill="FFFFFF" w:val="clear"/>
        </w:rPr>
        <w:t>clause (iii)</w:t>
      </w:r>
      <w:r>
        <w:rPr>
          <w:rFonts w:ascii="Times New Roman;sans-serif" w:hAnsi="Times New Roman;sans-serif"/>
          <w:b w:val="false"/>
          <w:color w:val="000000"/>
          <w:sz w:val="22"/>
          <w:shd w:fill="FFFFFF" w:val="clear"/>
        </w:rPr>
        <w:t>, the “</w:t>
      </w:r>
      <w:r>
        <w:rPr>
          <w:rFonts w:ascii="Times New Roman;sans-serif" w:hAnsi="Times New Roman;sans-serif"/>
          <w:b/>
          <w:color w:val="000000"/>
          <w:sz w:val="22"/>
          <w:shd w:fill="FFFFFF" w:val="clear"/>
        </w:rPr>
        <w:t>MFN Protection</w:t>
      </w:r>
      <w:r>
        <w:rPr>
          <w:color w:val="000000"/>
          <w:shd w:fill="FFFFFF" w:val="clear"/>
        </w:rPr>
        <w:t>”</w:t>
      </w:r>
      <w:r>
        <w:rPr>
          <w:rFonts w:ascii="Times New Roman;sans-serif" w:hAnsi="Times New Roman;sans-serif"/>
          <w:b w:val="false"/>
          <w:color w:val="000000"/>
          <w:sz w:val="22"/>
          <w:shd w:fill="FFFFFF" w:val="clear"/>
        </w:rPr>
        <w:t xml:space="preserve">); and (iv) to the extent such terms and documentation are not consistent with the then existing Initial Term Loans (except to the extent permitted by </w:t>
      </w:r>
      <w:r>
        <w:rPr>
          <w:rFonts w:ascii="Times New Roman;sans-serif" w:hAnsi="Times New Roman;sans-serif"/>
          <w:b w:val="false"/>
          <w:color w:val="000000"/>
          <w:sz w:val="22"/>
          <w:u w:val="single"/>
          <w:shd w:fill="FFFFFF" w:val="clear"/>
        </w:rPr>
        <w:t>clause (i)</w:t>
      </w:r>
      <w:r>
        <w:rPr>
          <w:rFonts w:ascii="Times New Roman;sans-serif" w:hAnsi="Times New Roman;sans-serif"/>
          <w:b w:val="false"/>
          <w:color w:val="000000"/>
          <w:sz w:val="22"/>
          <w:shd w:fill="FFFFFF" w:val="clear"/>
        </w:rPr>
        <w:t xml:space="preserve">, </w:t>
      </w:r>
      <w:r>
        <w:rPr>
          <w:rFonts w:ascii="Times New Roman;sans-serif" w:hAnsi="Times New Roman;sans-serif"/>
          <w:b w:val="false"/>
          <w:color w:val="000000"/>
          <w:sz w:val="22"/>
          <w:u w:val="single"/>
          <w:shd w:fill="FFFFFF" w:val="clear"/>
        </w:rPr>
        <w:t>(ii)</w:t>
      </w:r>
      <w:r>
        <w:rPr>
          <w:color w:val="000000"/>
          <w:shd w:fill="FFFFFF" w:val="clear"/>
        </w:rPr>
        <w:t xml:space="preserve"> </w:t>
      </w:r>
      <w:r>
        <w:rPr>
          <w:rFonts w:ascii="Times New Roman;sans-serif" w:hAnsi="Times New Roman;sans-serif"/>
          <w:b w:val="false"/>
          <w:color w:val="000000"/>
          <w:sz w:val="22"/>
          <w:shd w:fill="FFFFFF" w:val="clear"/>
        </w:rPr>
        <w:t xml:space="preserve">or </w:t>
      </w:r>
      <w:r>
        <w:rPr>
          <w:rFonts w:ascii="Times New Roman;sans-serif" w:hAnsi="Times New Roman;sans-serif"/>
          <w:b w:val="false"/>
          <w:color w:val="000000"/>
          <w:sz w:val="22"/>
          <w:u w:val="single"/>
          <w:shd w:fill="FFFFFF" w:val="clear"/>
        </w:rPr>
        <w:t>(iii)</w:t>
      </w:r>
      <w:r>
        <w:rPr>
          <w:color w:val="000000"/>
          <w:shd w:fill="FFFFFF" w:val="clear"/>
        </w:rPr>
        <w:t xml:space="preserve"> </w:t>
      </w:r>
      <w:r>
        <w:rPr>
          <w:rFonts w:ascii="Times New Roman;sans-serif" w:hAnsi="Times New Roman;sans-serif"/>
          <w:b w:val="false"/>
          <w:color w:val="000000"/>
          <w:sz w:val="22"/>
          <w:shd w:fill="FFFFFF" w:val="clear"/>
        </w:rPr>
        <w:t xml:space="preserve">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added for the benefit of any corresponding Term Loans remaining outstanding after the issuance or incurrence of such Indebtedness and (2) no consent shall be required by the Administrative Agent or any of the Lenders if any covenants or other provisions are only applicable after the Latest Term Loan Maturity Date); </w:t>
      </w:r>
      <w:r>
        <w:rPr>
          <w:rFonts w:ascii="Times New Roman;sans-serif" w:hAnsi="Times New Roman;sans-serif"/>
          <w:b w:val="false"/>
          <w:color w:val="000000"/>
          <w:sz w:val="22"/>
          <w:u w:val="single"/>
          <w:shd w:fill="FFFFFF" w:val="clear"/>
        </w:rPr>
        <w:t>provided</w:t>
      </w:r>
      <w:r>
        <w:rPr>
          <w:rFonts w:ascii="Times New Roman;sans-serif" w:hAnsi="Times New Roman;sans-serif"/>
          <w:b w:val="false"/>
          <w:color w:val="000000"/>
          <w:sz w:val="22"/>
          <w:shd w:fill="FFFFFF" w:val="clear"/>
        </w:rPr>
        <w:t xml:space="preserve">, further, that (x) </w:t>
      </w:r>
      <w:r>
        <w:rPr>
          <w:rFonts w:ascii="Times New Roman;sans-serif" w:hAnsi="Times New Roman;sans-serif"/>
          <w:b w:val="false"/>
          <w:color w:val="000000"/>
          <w:sz w:val="22"/>
          <w:u w:val="single"/>
          <w:shd w:fill="FFFFFF" w:val="clear"/>
        </w:rPr>
        <w:t>clauses (i)</w:t>
      </w:r>
      <w:r>
        <w:rPr>
          <w:color w:val="000000"/>
          <w:shd w:fill="FFFFFF" w:val="clear"/>
        </w:rPr>
        <w:t xml:space="preserve"> </w:t>
      </w:r>
      <w:r>
        <w:rPr>
          <w:rFonts w:ascii="Times New Roman;sans-serif" w:hAnsi="Times New Roman;sans-serif"/>
          <w:b w:val="false"/>
          <w:color w:val="000000"/>
          <w:sz w:val="22"/>
          <w:shd w:fill="FFFFFF" w:val="clear"/>
        </w:rPr>
        <w:t xml:space="preserve">and </w:t>
      </w:r>
      <w:r>
        <w:rPr>
          <w:rFonts w:ascii="Times New Roman;sans-serif" w:hAnsi="Times New Roman;sans-serif"/>
          <w:b w:val="false"/>
          <w:color w:val="000000"/>
          <w:sz w:val="22"/>
          <w:u w:val="single"/>
          <w:shd w:fill="FFFFFF" w:val="clear"/>
        </w:rPr>
        <w:t>(ii)</w:t>
      </w:r>
      <w:r>
        <w:rPr>
          <w:color w:val="000000"/>
          <w:shd w:fill="FFFFFF" w:val="clear"/>
        </w:rPr>
        <w:t xml:space="preserve"> </w:t>
      </w:r>
      <w:r>
        <w:rPr>
          <w:rFonts w:ascii="Times New Roman;sans-serif" w:hAnsi="Times New Roman;sans-serif"/>
          <w:b w:val="false"/>
          <w:color w:val="000000"/>
          <w:sz w:val="22"/>
          <w:shd w:fill="FFFFFF" w:val="clear"/>
        </w:rPr>
        <w:t>shall not apply to up to an amount equal to the greater of (A) $480,000,000 or (B) 100% of Consolidated EBITDA for the four consecutive fiscal quarters of the Borrower most recently ended on or prior to such date of determination in respect of New Term Loans or Permitted Other Indebtedness (as selected by the Borrower) (the “</w:t>
      </w:r>
      <w:r>
        <w:rPr>
          <w:rFonts w:ascii="Times New Roman;sans-serif" w:hAnsi="Times New Roman;sans-serif"/>
          <w:b/>
          <w:color w:val="000000"/>
          <w:sz w:val="22"/>
          <w:shd w:fill="FFFFFF" w:val="clear"/>
        </w:rPr>
        <w:t>Maturity Carveout Amount</w:t>
      </w:r>
      <w:r>
        <w:rPr>
          <w:color w:val="000000"/>
          <w:shd w:fill="FFFFFF" w:val="clear"/>
        </w:rPr>
        <w:t>”</w:t>
      </w:r>
      <w:r>
        <w:rPr>
          <w:rFonts w:ascii="Times New Roman;sans-serif" w:hAnsi="Times New Roman;sans-serif"/>
          <w:b w:val="false"/>
          <w:color w:val="000000"/>
          <w:sz w:val="22"/>
          <w:shd w:fill="FFFFFF" w:val="clear"/>
        </w:rPr>
        <w:t>) and (y) the MFN Protection shall not apply to (I) up to the greater of (A) $480,000,000 and (B) 100.0% of Consolidated EBITDA for the most recently ended Test Period (as selected by the Borrower) of New Term Loans and (II) any New Term Loans Incurred in connection with a Permitted Acquisition or other Permitted Investment.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color w:val="000000"/>
        </w:rPr>
        <w:t xml:space="preserve"> </w:t>
      </w:r>
      <w:r>
        <w:rPr>
          <w:rFonts w:ascii="Times New Roman;sans-serif" w:hAnsi="Times New Roman;sans-serif"/>
          <w:b w:val="false"/>
          <w:color w:val="000000"/>
          <w:sz w:val="22"/>
        </w:rPr>
        <w:t>[Reserved].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(i)    The Borrower may at any time, and from time to time, request that all or a portion of the Term Loans of any Class (an “</w:t>
      </w:r>
      <w:r>
        <w:rPr>
          <w:rFonts w:ascii="Times New Roman;sans-serif" w:hAnsi="Times New Roman;sans-serif"/>
          <w:b/>
          <w:color w:val="000000"/>
          <w:sz w:val="22"/>
        </w:rPr>
        <w:t>Existing Term Loan Class</w:t>
      </w:r>
      <w:r>
        <w:rPr>
          <w:color w:val="000000"/>
        </w:rPr>
        <w:t>”</w:t>
      </w:r>
      <w:r>
        <w:rPr>
          <w:rFonts w:ascii="Times New Roman;sans-serif" w:hAnsi="Times New Roman;sans-serif"/>
          <w:b w:val="false"/>
          <w:color w:val="000000"/>
          <w:sz w:val="22"/>
        </w:rPr>
        <w:t>) be converted to extend the scheduled maturity date(s) of any payment of principal with respect to all or a portion of any principal amount of such Term Loans (any such Term Loans which have been so converted, “</w:t>
      </w:r>
      <w:r>
        <w:rPr>
          <w:rFonts w:ascii="Times New Roman;sans-serif" w:hAnsi="Times New Roman;sans-serif"/>
          <w:b/>
          <w:color w:val="000000"/>
          <w:sz w:val="22"/>
        </w:rPr>
        <w:t>Extended Term Loans</w:t>
      </w:r>
      <w:r>
        <w:rPr>
          <w:color w:val="000000"/>
        </w:rPr>
        <w:t>”</w:t>
      </w:r>
      <w:r>
        <w:rPr>
          <w:rFonts w:ascii="Times New Roman;sans-serif" w:hAnsi="Times New Roman;sans-serif"/>
          <w:b w:val="false"/>
          <w:color w:val="000000"/>
          <w:sz w:val="22"/>
        </w:rPr>
        <w:t xml:space="preserve">) and to provide for other terms consistent with this </w:t>
      </w:r>
      <w:r>
        <w:rPr>
          <w:rFonts w:ascii="Times New Roman;sans-serif" w:hAnsi="Times New Roman;sans-serif"/>
          <w:b w:val="false"/>
          <w:color w:val="000000"/>
          <w:sz w:val="22"/>
          <w:u w:val="single"/>
        </w:rPr>
        <w:t>Section 2.14(g)</w:t>
      </w:r>
      <w:r>
        <w:rPr>
          <w:rFonts w:ascii="Times New Roman;sans-serif" w:hAnsi="Times New Roman;sans-serif"/>
          <w:b w:val="false"/>
          <w:color w:val="000000"/>
          <w:sz w:val="22"/>
        </w:rPr>
        <w:t>. In order to establish any Extended Term Loans, the Borrower shall provide a notice to the Administrative Agent (who shall provide a copy of such notice to each of the Lenders of the applicable Existing Term Loan</w:t>
      </w:r>
      <w:r>
        <w:rPr>
          <w:color w:val="000000"/>
        </w:rPr>
        <w:t xml:space="preserve"> </w:t>
      </w:r>
      <w:r>
        <w:rPr>
          <w:rFonts w:ascii="Times New Roman;sans-serif" w:hAnsi="Times New Roman;sans-serif"/>
          <w:b w:val="false"/>
          <w:color w:val="000000"/>
          <w:sz w:val="22"/>
        </w:rPr>
        <w:t>Class which such request shall be offered equally to all such Lenders) (a “</w:t>
      </w:r>
      <w:r>
        <w:rPr>
          <w:rFonts w:ascii="Times New Roman;sans-serif" w:hAnsi="Times New Roman;sans-serif"/>
          <w:b/>
          <w:color w:val="000000"/>
          <w:sz w:val="22"/>
        </w:rPr>
        <w:t>Term Loan Extension Request</w:t>
      </w:r>
      <w:r>
        <w:rPr>
          <w:color w:val="000000"/>
        </w:rPr>
        <w:t>”</w:t>
      </w:r>
      <w:r>
        <w:rPr>
          <w:rFonts w:ascii="Times New Roman;sans-serif" w:hAnsi="Times New Roman;sans-serif"/>
          <w:b w:val="false"/>
          <w:color w:val="000000"/>
          <w:sz w:val="22"/>
        </w:rPr>
        <w:t>) setting forth the proposed terms of the Extended Term Loans to be established, which shall not be materially more restrictive to the Credit Parties (as determined in good faith by the Borrower), when taken as a whole, than the terms of the Term Loans of the Existing Term Loan Class unless (x) the Lenders of the Term Loans of such applicable Existing Term Loan Class receive the benefit of such more restrictive terms or (y) any such provisions apply after the Initial Term Loan Maturity Date (a “</w:t>
      </w:r>
      <w:r>
        <w:rPr>
          <w:rFonts w:ascii="Times New Roman;sans-serif" w:hAnsi="Times New Roman;sans-serif"/>
          <w:b/>
          <w:color w:val="000000"/>
          <w:sz w:val="22"/>
        </w:rPr>
        <w:t>Permitted Other Provision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(x) the scheduled final maturity date shall be extended and all or any of the scheduled amortization payments of 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Times New Roman;sans-serif" w:hAnsi="Times New Roman;sans-serif"/>
          <w:b w:val="false"/>
          <w:color w:val="000000"/>
          <w:sz w:val="22"/>
          <w:u w:val="single"/>
        </w:rPr>
        <w:t>Section 2.5</w:t>
      </w:r>
      <w:r>
        <w:rPr>
          <w:color w:val="000000"/>
        </w:rPr>
        <w:t xml:space="preserve"> </w:t>
      </w:r>
      <w:r>
        <w:rPr>
          <w:rFonts w:ascii="Times New Roman;sans-serif" w:hAnsi="Times New Roman;sans-serif"/>
          <w:b w:val="false"/>
          <w:color w:val="000000"/>
          <w:sz w:val="22"/>
        </w:rPr>
        <w:t xml:space="preserve">or in the Joinder Agreement, as the case may be, with respect to the Existing Term Loan Class from which such Extended Term Loans were converted, in each case as more particularly set forth in paragraph (iv) of this </w:t>
      </w:r>
      <w:r>
        <w:rPr>
          <w:rFonts w:ascii="Times New Roman;sans-serif" w:hAnsi="Times New Roman;sans-serif"/>
          <w:b w:val="false"/>
          <w:color w:val="000000"/>
          <w:sz w:val="22"/>
          <w:u w:val="single"/>
        </w:rPr>
        <w:t>Section 2.14(g)</w:t>
      </w:r>
      <w:r>
        <w:rPr>
          <w:color w:val="000000"/>
        </w:rPr>
        <w:t xml:space="preserve"> </w:t>
      </w:r>
      <w:r>
        <w:rPr>
          <w:rFonts w:ascii="Times New Roman;sans-serif" w:hAnsi="Times New Roman;sans-serif"/>
          <w:b w:val="false"/>
          <w:color w:val="000000"/>
          <w:sz w:val="22"/>
        </w:rPr>
        <w:t xml:space="preserve">below), (y) (A) the interest margins with respect to the Extended Term Loans may be higher or lower than the interest margins for the Term Loans of such Existing Term Loan Class and/or (B) additional fees, premiums or applicable high-yield discount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obligation (“</w:t>
      </w:r>
      <w:r>
        <w:rPr>
          <w:rFonts w:ascii="Times New Roman;sans-serif" w:hAnsi="Times New Roman;sans-serif"/>
          <w:b/>
          <w:color w:val="000000"/>
          <w:sz w:val="22"/>
        </w:rPr>
        <w:t>AHYDO</w:t>
      </w:r>
      <w:r>
        <w:rPr>
          <w:color w:val="000000"/>
        </w:rPr>
        <w:t>”</w:t>
      </w:r>
      <w:r>
        <w:rPr>
          <w:rFonts w:ascii="Times New Roman;sans-serif" w:hAnsi="Times New Roman;sans-serif"/>
          <w:b w:val="false"/>
          <w:color w:val="000000"/>
          <w:sz w:val="22"/>
        </w:rPr>
        <w:t xml:space="preserve">) payments may be payable to the Lenders providing such Extended Term Loans in addition to or in lieu of any increased margins contemplated by the preceding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or if such Permitted Other Provision applies only after the Initial Term Loan Maturity Date. Notwithstanding anything to the contrary in this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or otherwise, no Extended Term Loans may be optionally prepaid prior to the date on which the Existing Term Loan Class from which they were converted is repaid in full, except in accordance with the penultimate sentence of </w:t>
      </w:r>
      <w:r>
        <w:rPr>
          <w:rFonts w:ascii="Times New Roman;sans-serif" w:hAnsi="Times New Roman;sans-serif"/>
          <w:b w:val="false"/>
          <w:color w:val="000000"/>
          <w:sz w:val="22"/>
          <w:u w:val="single"/>
        </w:rPr>
        <w:t>Section 5.1(a)</w:t>
      </w:r>
      <w:r>
        <w:rPr>
          <w:rFonts w:ascii="Times New Roman;sans-serif" w:hAnsi="Times New Roman;sans-serif"/>
          <w:b w:val="false"/>
          <w:color w:val="000000"/>
          <w:sz w:val="22"/>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color w:val="000000"/>
        </w:rPr>
        <w:t xml:space="preserve">     </w:t>
      </w:r>
      <w:r>
        <w:rPr>
          <w:rFonts w:ascii="Times New Roman;sans-serif" w:hAnsi="Times New Roman;sans-serif"/>
          <w:b w:val="false"/>
          <w:color w:val="000000"/>
          <w:sz w:val="22"/>
        </w:rPr>
        <w:t>[Reserved].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color w:val="000000"/>
        </w:rPr>
        <w:t>    </w:t>
      </w:r>
      <w:r>
        <w:rPr>
          <w:rFonts w:ascii="Times New Roman;sans-serif" w:hAnsi="Times New Roman;sans-serif"/>
          <w:b w:val="false"/>
          <w:color w:val="000000"/>
          <w:sz w:val="22"/>
        </w:rPr>
        <w:t>Any Lender (an “</w:t>
      </w:r>
      <w:r>
        <w:rPr>
          <w:rFonts w:ascii="Times New Roman;sans-serif" w:hAnsi="Times New Roman;sans-serif"/>
          <w:b/>
          <w:color w:val="000000"/>
          <w:sz w:val="22"/>
        </w:rPr>
        <w:t>Extending Lender</w:t>
      </w:r>
      <w:r>
        <w:rPr>
          <w:color w:val="000000"/>
        </w:rPr>
        <w:t>”</w:t>
      </w:r>
      <w:r>
        <w:rPr>
          <w:rFonts w:ascii="Times New Roman;sans-serif" w:hAnsi="Times New Roman;sans-serif"/>
          <w:b w:val="false"/>
          <w:color w:val="000000"/>
          <w:sz w:val="22"/>
        </w:rPr>
        <w:t>) wishing to have all or a portion of its Term Loans converted into Extended Term Loans shall notify the Administrative Agent (an “</w:t>
      </w:r>
      <w:r>
        <w:rPr>
          <w:rFonts w:ascii="Times New Roman;sans-serif" w:hAnsi="Times New Roman;sans-serif"/>
          <w:b/>
          <w:color w:val="000000"/>
          <w:sz w:val="22"/>
        </w:rPr>
        <w:t>Extension Election</w:t>
      </w:r>
      <w:r>
        <w:rPr>
          <w:color w:val="000000"/>
        </w:rPr>
        <w:t>”</w:t>
      </w:r>
      <w:r>
        <w:rPr>
          <w:rFonts w:ascii="Times New Roman;sans-serif" w:hAnsi="Times New Roman;sans-serif"/>
          <w:b w:val="false"/>
          <w:color w:val="000000"/>
          <w:sz w:val="22"/>
        </w:rPr>
        <w:t>) on or prior to the date specified in such Extension Request of the amount of its Term Loans of the Existing Class or Existing Classes subject to such Extension Request that it has elected to convert into Extended Term Loans. In the event that the aggregate amount of Term Loans of the Existing Class or Existing Classes subject to Extension Elections exceeds the amount of Extended Term Loans requested pursuant to the Extension Request or Loans of the Existing Class or Existing Classes subject to Extension Elections shall be converted to Extended Term Loans on a pro rata basis based on the amount of Loans in each such Extension Election.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color w:val="000000"/>
        </w:rPr>
        <w:t>    </w:t>
      </w:r>
      <w:r>
        <w:rPr>
          <w:rFonts w:ascii="Times New Roman;sans-serif" w:hAnsi="Times New Roman;sans-serif"/>
          <w:b w:val="false"/>
          <w:color w:val="000000"/>
          <w:sz w:val="22"/>
        </w:rPr>
        <w:t>Extended Term Loans shall be established pursuant to an amendment (an “</w:t>
      </w:r>
      <w:r>
        <w:rPr>
          <w:rFonts w:ascii="Times New Roman;sans-serif" w:hAnsi="Times New Roman;sans-serif"/>
          <w:b/>
          <w:color w:val="000000"/>
          <w:sz w:val="22"/>
        </w:rPr>
        <w:t>Extension Amendment</w:t>
      </w:r>
      <w:r>
        <w:rPr>
          <w:color w:val="000000"/>
        </w:rPr>
        <w:t>”</w:t>
      </w:r>
      <w:r>
        <w:rPr>
          <w:rFonts w:ascii="Times New Roman;sans-serif" w:hAnsi="Times New Roman;sans-serif"/>
          <w:b w:val="false"/>
          <w:color w:val="000000"/>
          <w:sz w:val="22"/>
        </w:rPr>
        <w:t xml:space="preserve">) to this Agreement (which, except to the extent expressly contemplated by the penultimate sentence of this </w:t>
      </w:r>
      <w:r>
        <w:rPr>
          <w:rFonts w:ascii="Times New Roman;sans-serif" w:hAnsi="Times New Roman;sans-serif"/>
          <w:b w:val="false"/>
          <w:color w:val="000000"/>
          <w:sz w:val="22"/>
          <w:u w:val="single"/>
        </w:rPr>
        <w:t>Section 2.14(g)(iv)</w:t>
      </w:r>
      <w:r>
        <w:rPr>
          <w:color w:val="000000"/>
        </w:rPr>
        <w:t xml:space="preserve"> </w:t>
      </w:r>
      <w:r>
        <w:rPr>
          <w:rFonts w:ascii="Times New Roman;sans-serif" w:hAnsi="Times New Roman;sans-serif"/>
          <w:b w:val="false"/>
          <w:color w:val="000000"/>
          <w:sz w:val="22"/>
        </w:rPr>
        <w:t xml:space="preserve">and notwithstanding anything to the contrary set forth in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 xml:space="preserve">, shall not require the consent of any Lender other than the Extending Lenders with respect to the Extended Term Loans established thereby) executed by the Credit Parties, the Administrative Agent and the Extending Lenders. No Extension Amendment shall provide for any tranche of Extended Term Loans in an aggregate principal amount that is less than $10,000,000. In addition to any terms and changes required or permitted by </w:t>
      </w:r>
      <w:r>
        <w:rPr>
          <w:rFonts w:ascii="Times New Roman;sans-serif" w:hAnsi="Times New Roman;sans-serif"/>
          <w:b w:val="false"/>
          <w:color w:val="000000"/>
          <w:sz w:val="22"/>
          <w:u w:val="single"/>
        </w:rPr>
        <w:t>Section 2.14(g)(i)</w:t>
      </w:r>
      <w:r>
        <w:rPr>
          <w:rFonts w:ascii="Times New Roman;sans-serif" w:hAnsi="Times New Roman;sans-serif"/>
          <w:b w:val="false"/>
          <w:color w:val="000000"/>
          <w:sz w:val="22"/>
        </w:rPr>
        <w:t xml:space="preserve">, each Extension Amendment (x) shall amend the scheduled amortization payments pursuant to </w:t>
      </w:r>
      <w:r>
        <w:rPr>
          <w:rFonts w:ascii="Times New Roman;sans-serif" w:hAnsi="Times New Roman;sans-serif"/>
          <w:b w:val="false"/>
          <w:color w:val="000000"/>
          <w:sz w:val="22"/>
          <w:u w:val="single"/>
        </w:rPr>
        <w:t>Section 2.5</w:t>
      </w:r>
      <w:r>
        <w:rPr>
          <w:color w:val="000000"/>
        </w:rPr>
        <w:t xml:space="preserve"> </w:t>
      </w:r>
      <w:r>
        <w:rPr>
          <w:rFonts w:ascii="Times New Roman;sans-serif" w:hAnsi="Times New Roman;sans-serif"/>
          <w:b w:val="false"/>
          <w:color w:val="000000"/>
          <w:sz w:val="22"/>
        </w:rPr>
        <w:t xml:space="preserve">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Times New Roman;sans-serif" w:hAnsi="Times New Roman;sans-serif"/>
          <w:b w:val="false"/>
          <w:color w:val="000000"/>
          <w:sz w:val="22"/>
          <w:u w:val="single"/>
        </w:rPr>
        <w:t>Section 2.14(g)</w:t>
      </w:r>
      <w:r>
        <w:rPr>
          <w:color w:val="000000"/>
        </w:rPr>
        <w:t xml:space="preserve"> </w:t>
      </w:r>
      <w:r>
        <w:rPr>
          <w:rFonts w:ascii="Times New Roman;sans-serif" w:hAnsi="Times New Roman;sans-serif"/>
          <w:b w:val="false"/>
          <w:color w:val="000000"/>
          <w:sz w:val="22"/>
        </w:rPr>
        <w:t xml:space="preserve">and without limiting the generality or applicability of </w:t>
      </w:r>
      <w:r>
        <w:rPr>
          <w:rFonts w:ascii="Times New Roman;sans-serif" w:hAnsi="Times New Roman;sans-serif"/>
          <w:b w:val="false"/>
          <w:color w:val="000000"/>
          <w:sz w:val="22"/>
          <w:u w:val="single"/>
        </w:rPr>
        <w:t>Section 13.1</w:t>
      </w:r>
      <w:r>
        <w:rPr>
          <w:color w:val="000000"/>
        </w:rPr>
        <w:t xml:space="preserve"> </w:t>
      </w:r>
      <w:r>
        <w:rPr>
          <w:rFonts w:ascii="Times New Roman;sans-serif" w:hAnsi="Times New Roman;sans-serif"/>
          <w:b w:val="false"/>
          <w:color w:val="000000"/>
          <w:sz w:val="22"/>
        </w:rPr>
        <w:t>to any Section 2.14 Additional Amendments, any Extension Amendment may provide for additional terms and/or additional amendments other than those referred to or contemplated above (any such additional amendment, a “</w:t>
      </w:r>
      <w:r>
        <w:rPr>
          <w:rFonts w:ascii="Times New Roman;sans-serif" w:hAnsi="Times New Roman;sans-serif"/>
          <w:b/>
          <w:color w:val="000000"/>
          <w:sz w:val="22"/>
        </w:rPr>
        <w:t>Section 2.14 Additional Amendment</w:t>
      </w:r>
      <w:r>
        <w:rPr>
          <w:color w:val="000000"/>
        </w:rPr>
        <w:t>”</w:t>
      </w:r>
      <w:r>
        <w:rPr>
          <w:rFonts w:ascii="Times New Roman;sans-serif" w:hAnsi="Times New Roman;sans-serif"/>
          <w:b w:val="false"/>
          <w:color w:val="000000"/>
          <w:sz w:val="22"/>
        </w:rPr>
        <w:t xml:space="preserve">) to this Agreement and the other Credit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Section 2.14 Additional Amendments are within the requirements of </w:t>
      </w:r>
      <w:r>
        <w:rPr>
          <w:rFonts w:ascii="Times New Roman;sans-serif" w:hAnsi="Times New Roman;sans-serif"/>
          <w:b w:val="false"/>
          <w:color w:val="000000"/>
          <w:sz w:val="22"/>
          <w:u w:val="single"/>
        </w:rPr>
        <w:t>Section 2.14(g)(i)</w:t>
      </w:r>
      <w:r>
        <w:rPr>
          <w:color w:val="000000"/>
        </w:rPr>
        <w:t xml:space="preserve"> </w:t>
      </w:r>
      <w:r>
        <w:rPr>
          <w:rFonts w:ascii="Times New Roman;sans-serif" w:hAnsi="Times New Roman;sans-serif"/>
          <w:b w:val="false"/>
          <w:color w:val="000000"/>
          <w:sz w:val="22"/>
        </w:rPr>
        <w:t xml:space="preserve">and do not become effective prior to the time that such Section 2.14 Additional Amendments have been consented to (including, without limitation, pursuant to (1) consents applicable to holders of New Term Loans provided for in any Joinder Agreement and (2) consents applicable to holders of any Extended Term Loans provided for in any Extension Amendment) by such of the Lenders, Credit Parties and other parties (if any) as may be required in order for such Section 2.14 Additional Amendments to become effective in accordance with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(iv)    </w:t>
      </w:r>
      <w:r>
        <w:rPr>
          <w:color w:val="000000"/>
        </w:rPr>
        <w:t>    </w:t>
      </w:r>
      <w:r>
        <w:rPr>
          <w:rFonts w:ascii="Times New Roman;sans-serif" w:hAnsi="Times New Roman;sans-serif"/>
          <w:b w:val="false"/>
          <w:color w:val="000000"/>
          <w:sz w:val="22"/>
        </w:rPr>
        <w:t xml:space="preserve">Notwithstanding anything to the contrary contained in this Agreement, on any date on which any Existing Class is converted to extend the related scheduled maturity date(s) in accordance with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 (an “</w:t>
      </w:r>
      <w:r>
        <w:rPr>
          <w:rFonts w:ascii="Times New Roman;sans-serif" w:hAnsi="Times New Roman;sans-serif"/>
          <w:b/>
          <w:color w:val="000000"/>
          <w:sz w:val="22"/>
        </w:rPr>
        <w:t>Extension Date</w:t>
      </w:r>
      <w:r>
        <w:rPr>
          <w:color w:val="000000"/>
        </w:rPr>
        <w:t>”</w:t>
      </w:r>
      <w:r>
        <w:rPr>
          <w:rFonts w:ascii="Times New Roman;sans-serif" w:hAnsi="Times New Roman;sans-serif"/>
          <w:b w:val="false"/>
          <w:color w:val="000000"/>
          <w:sz w:val="22"/>
        </w:rPr>
        <w:t>),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(v)    </w:t>
      </w:r>
      <w:r>
        <w:rPr>
          <w:color w:val="000000"/>
        </w:rPr>
        <w:t>    </w:t>
      </w:r>
      <w:r>
        <w:rPr>
          <w:rFonts w:ascii="Times New Roman;sans-serif" w:hAnsi="Times New Roman;sans-serif"/>
          <w:b w:val="false"/>
          <w:color w:val="000000"/>
          <w:sz w:val="22"/>
        </w:rPr>
        <w:t xml:space="preserve">The Administrative Agent and the Lenders hereby consent to the consummation of the transactions contemplated by this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(including, for the avoidance of doubt, payment of any interest, fees, or premium in respect of any Extended Term Loans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2.15    </w:t>
      </w:r>
      <w:r>
        <w:rPr>
          <w:rFonts w:ascii="Times New Roman;sans-serif" w:hAnsi="Times New Roman;sans-serif"/>
          <w:b w:val="false"/>
          <w:color w:val="000000"/>
          <w:sz w:val="22"/>
          <w:u w:val="single"/>
        </w:rPr>
        <w:t>Permitted Debt Exchanges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Notwithstanding anything to the contrary contained in this Agreement, pursuant to one or more offers (each, a “</w:t>
      </w:r>
      <w:r>
        <w:rPr>
          <w:rFonts w:ascii="Times New Roman;sans-serif" w:hAnsi="Times New Roman;sans-serif"/>
          <w:b/>
          <w:color w:val="000000"/>
          <w:sz w:val="22"/>
        </w:rPr>
        <w:t>Permitted Debt Exchange Offer</w:t>
      </w:r>
      <w:r>
        <w:rPr>
          <w:color w:val="000000"/>
        </w:rPr>
        <w:t>”</w:t>
      </w:r>
      <w:r>
        <w:rPr>
          <w:rFonts w:ascii="Times New Roman;sans-serif" w:hAnsi="Times New Roman;sans-serif"/>
          <w:b w:val="false"/>
          <w:color w:val="000000"/>
          <w:sz w:val="22"/>
        </w:rPr>
        <w:t>) made from time to time by the Borrower, the Borrower may from time to time following the Restatement Effective Date consummate one or more exchanges of Term Loans for Permitted Other Indebtedness in the form of notes (such notes, “</w:t>
      </w:r>
      <w:r>
        <w:rPr>
          <w:rFonts w:ascii="Times New Roman;sans-serif" w:hAnsi="Times New Roman;sans-serif"/>
          <w:b/>
          <w:color w:val="000000"/>
          <w:sz w:val="22"/>
        </w:rPr>
        <w:t>Permitted Debt Exchange Notes</w:t>
      </w:r>
      <w:r>
        <w:rPr>
          <w:rFonts w:ascii="Times New Roman;sans-serif" w:hAnsi="Times New Roman;sans-serif"/>
          <w:b w:val="false"/>
          <w:color w:val="000000"/>
          <w:sz w:val="22"/>
        </w:rPr>
        <w:t>,” and</w:t>
      </w:r>
      <w:r>
        <w:rPr>
          <w:color w:val="000000"/>
        </w:rPr>
        <w:t xml:space="preserve"> </w:t>
      </w:r>
      <w:r>
        <w:rPr>
          <w:rFonts w:ascii="Times New Roman;sans-serif" w:hAnsi="Times New Roman;sans-serif"/>
          <w:b w:val="false"/>
          <w:color w:val="000000"/>
          <w:sz w:val="22"/>
        </w:rPr>
        <w:t>each such exchange a “</w:t>
      </w:r>
      <w:r>
        <w:rPr>
          <w:rFonts w:ascii="Times New Roman;sans-serif" w:hAnsi="Times New Roman;sans-serif"/>
          <w:b/>
          <w:color w:val="000000"/>
          <w:sz w:val="22"/>
        </w:rPr>
        <w:t>Permitted Debt Exchange</w:t>
      </w:r>
      <w:r>
        <w:rPr>
          <w:color w:val="000000"/>
        </w:rPr>
        <w:t>”</w:t>
      </w:r>
      <w:r>
        <w:rPr>
          <w:rFonts w:ascii="Times New Roman;sans-serif" w:hAnsi="Times New Roman;sans-serif"/>
          <w:b w:val="false"/>
          <w:color w:val="000000"/>
          <w:sz w:val="22"/>
        </w:rPr>
        <w:t xml:space="preserve">), so long as the following conditions are satisfied: (i) no Event of Default shall have occurred and be continuing at the time the final 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aggregate principal amount of the Permitted Debt Exchange Notes may include accrued interest and premium (if any) under the Term Loans exchanged and underwriting discounts, fees, commissions and expenses in connection with the issuance of such Permitted Debt Exchange Notes, (iii) the aggregate principal amount (calculated on the face amount thereof) of all Term Loans exchanged under each applicable Class by the Borrower pursuant to any Permitted Debt Exchange shall automatically be cancelled and retired by the Borrower on the date of the settlement thereof (and, if requested by the Administrative Agent, any applicable exchanging Lender shall execute and deliver to the Administrative Agent an Assignment and Acceptance, or such other form as may be reasonably requested by the Administrative Agent, in respect thereof pursuant to which the respective Lender assigns its interest in the Term Loans being exchanged pursuant to the Permitted Debt Exchange to the Borrower for immediate cancellation), (iv) if the aggregate principal amount of all Term Loans of a given Class (calculated on the face amount thereof)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subject to such Permitted Debt Exchange Offer tendered by such Lenders ratably up to such maximum amount based on the respective principal amounts so tendered, (vi)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Auction Agent, and (vii) any applicable Minimum Tender Condition shall be satisfied.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With respect to all Permitted Debt Exchanges effected by the Borrower pursuant to this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(i) such Permitted Debt Exchanges (and the cancellation of the exchanged Term Loans in connection therewith) shall not constitute voluntary or mandatory payments or prepayments for purposes of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5.2</w:t>
      </w:r>
      <w:r>
        <w:rPr>
          <w:rFonts w:ascii="Times New Roman;sans-serif" w:hAnsi="Times New Roman;sans-serif"/>
          <w:b w:val="false"/>
          <w:color w:val="000000"/>
          <w:sz w:val="22"/>
        </w:rPr>
        <w:t xml:space="preserve">, and (ii) such Permitted Debt Exchange Offer shall be made for not less than $10,000,000 in aggregate principal amount of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subject to the foregoing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the Borrower may at its election specify as a condition (a “</w:t>
      </w:r>
      <w:r>
        <w:rPr>
          <w:rFonts w:ascii="Times New Roman;sans-serif" w:hAnsi="Times New Roman;sans-serif"/>
          <w:b/>
          <w:color w:val="000000"/>
          <w:sz w:val="22"/>
        </w:rPr>
        <w:t>Minimum Tender Condition</w:t>
      </w:r>
      <w:r>
        <w:rPr>
          <w:color w:val="000000"/>
        </w:rPr>
        <w:t>”</w:t>
      </w:r>
      <w:r>
        <w:rPr>
          <w:rFonts w:ascii="Times New Roman;sans-serif" w:hAnsi="Times New Roman;sans-serif"/>
          <w:b w:val="false"/>
          <w:color w:val="000000"/>
          <w:sz w:val="22"/>
        </w:rPr>
        <w:t xml:space="preserve">) to consummating any such Permitted Debt Exchange that a minimum amount (to be determined and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specified in the relevant Permitted Debt Exchange Offer in the Borrower’s discretion) of Term Loans of any or all applicable Classes be tendered.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In connection with each Permitted Debt Exchange, the Borrower and the Auction Agent shall mutually agree to such procedures as may be necessary or advisable to accomplish the purposes of this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and without conflict with </w:t>
      </w:r>
      <w:r>
        <w:rPr>
          <w:rFonts w:ascii="Times New Roman;sans-serif" w:hAnsi="Times New Roman;sans-serif"/>
          <w:b w:val="false"/>
          <w:color w:val="000000"/>
          <w:sz w:val="22"/>
          <w:u w:val="single"/>
        </w:rPr>
        <w:t>Section 2.15(d)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terms of any Permitted Debt Exchange Offer shall provide that the date by which the relevant Lenders are required to indicate their election to participate in such Permitted Debt Exchange shall be not less than a reasonable period (in the discretion of the Borrower and the Auction Agent) of time following the date on which the Permitted Debt Exchange Offer is made.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The Borrower shall be responsible for compliance with, and hereby agrees to comply with, all applicable securities and other laws in connection with each Permitted Debt Exchange, it being understood and agreed that (x) none of the Auction Agent, the Administrative Agent nor any Lender assumes any responsibility in connection with the Borrower’s compliance with such laws in connection with any Permitted Debt Exchange and (y) each Lender shall be solely responsible for its compliance with any applicable “insider trading” laws and regulations to which such Lender may be subject under the Securities Exchange Act of 1934, as amended.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2.16    </w:t>
      </w:r>
      <w:r>
        <w:rPr>
          <w:rFonts w:ascii="Times New Roman;sans-serif" w:hAnsi="Times New Roman;sans-serif"/>
          <w:b w:val="false"/>
          <w:color w:val="000000"/>
          <w:sz w:val="22"/>
          <w:u w:val="single"/>
        </w:rPr>
        <w:t>Defaulting Lenders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that Lender is no longer a Defaulting Lender, to the extent permitted by applicable Requirements of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u w:val="single"/>
        </w:rPr>
        <w:t>Defaulting Lender Waterfall</w:t>
      </w:r>
      <w:r>
        <w:rPr>
          <w:rFonts w:ascii="Times New Roman;sans-serif" w:hAnsi="Times New Roman;sans-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or otherwise) or received by the Administrative Agent from a Defaulting Lender pursuant to </w:t>
      </w:r>
      <w:r>
        <w:rPr>
          <w:rFonts w:ascii="Times New Roman;sans-serif" w:hAnsi="Times New Roman;sans-serif"/>
          <w:b w:val="false"/>
          <w:color w:val="000000"/>
          <w:sz w:val="22"/>
          <w:u w:val="single"/>
        </w:rPr>
        <w:t>Section 13.8</w:t>
      </w:r>
      <w:r>
        <w:rPr>
          <w:color w:val="000000"/>
        </w:rPr>
        <w:t xml:space="preserve"> </w:t>
      </w:r>
      <w:r>
        <w:rPr>
          <w:rFonts w:ascii="Times New Roman;sans-serif" w:hAnsi="Times New Roman;sans-serif"/>
          <w:b w:val="false"/>
          <w:color w:val="000000"/>
          <w:sz w:val="22"/>
        </w:rPr>
        <w:t xml:space="preserve">shall be applied at such time or times as may be determined by the Administrative Agent as follows: </w:t>
      </w: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i/>
          <w:color w:val="000000"/>
          <w:sz w:val="22"/>
        </w:rPr>
        <w:t>second</w:t>
      </w:r>
      <w:r>
        <w:rPr>
          <w:rFonts w:ascii="Times New Roman;sans-serif" w:hAnsi="Times New Roman;sans-serif"/>
          <w:b w:val="false"/>
          <w:color w:val="000000"/>
          <w:sz w:val="22"/>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2"/>
        </w:rPr>
        <w:t>third</w:t>
      </w:r>
      <w:r>
        <w:rPr>
          <w:rFonts w:ascii="Times New Roman;sans-serif" w:hAnsi="Times New Roman;sans-serif"/>
          <w:b w:val="false"/>
          <w:color w:val="000000"/>
          <w:sz w:val="22"/>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sans-serif" w:hAnsi="Times New Roman;sans-serif"/>
          <w:b w:val="false"/>
          <w:i/>
          <w:color w:val="000000"/>
          <w:sz w:val="22"/>
        </w:rPr>
        <w:t>fourth</w:t>
      </w:r>
      <w:r>
        <w:rPr>
          <w:rFonts w:ascii="Times New Roman;sans-serif" w:hAnsi="Times New Roman;sans-serif"/>
          <w:b w:val="false"/>
          <w:color w:val="000000"/>
          <w:sz w:val="22"/>
        </w:rPr>
        <w:t xml:space="preserve">, to the payment of any amounts owing to the Borrower or the Lenders as a result of any judgment of a court of competent jurisdiction obtained by the Borrower or any Lender against such Defaulting Lender as a result of such Defaulting Lender’s breach of its obligations under this Agreement; and </w:t>
      </w:r>
      <w:r>
        <w:rPr>
          <w:rFonts w:ascii="Times New Roman;sans-serif" w:hAnsi="Times New Roman;sans-serif"/>
          <w:b w:val="false"/>
          <w:i/>
          <w:color w:val="000000"/>
          <w:sz w:val="22"/>
        </w:rPr>
        <w:t>fifth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if (x) such payment is a payment of the principal amount of any Loans in respect of which such Defaulting Lender has not fully funded its appropriate share, and (y) such Loans were made at a time when the conditions set forth in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 xml:space="preserve">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pursuant to this </w:t>
      </w:r>
      <w:r>
        <w:rPr>
          <w:rFonts w:ascii="Times New Roman;sans-serif" w:hAnsi="Times New Roman;sans-serif"/>
          <w:b w:val="false"/>
          <w:color w:val="000000"/>
          <w:sz w:val="22"/>
          <w:u w:val="single"/>
        </w:rPr>
        <w:t>Section 2.16(a)(ii)</w:t>
      </w:r>
      <w:r>
        <w:rPr>
          <w:color w:val="000000"/>
        </w:rPr>
        <w:t xml:space="preserve"> </w:t>
      </w:r>
      <w:r>
        <w:rPr>
          <w:rFonts w:ascii="Times New Roman;sans-serif" w:hAnsi="Times New Roman;sans-serif"/>
          <w:b w:val="false"/>
          <w:color w:val="000000"/>
          <w:sz w:val="22"/>
        </w:rPr>
        <w:t>shall be deemed paid to and redirected by such Defaulting Lender, and each Lender irrevocably consents 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 xml:space="preserve">. No Defaulting Lender shall be entitled to receive any fee payable under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 xml:space="preserve">for any period during which that Lender is a Defaulting Lender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Borrower shall not be required to pay any such fee that otherwise would have been required to have been paid to that Defaulting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whereupon such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 adjustments will be made retroactively with respect to fees accrued or payments made by or on behalf of the Borrower while that Lender was a Defaulting Lender;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3.    </w:t>
      </w:r>
      <w:r>
        <w:rPr>
          <w:rFonts w:ascii="Times New Roman;sans-serif" w:hAnsi="Times New Roman;sans-serif"/>
          <w:b w:val="false"/>
          <w:color w:val="000000"/>
          <w:sz w:val="22"/>
        </w:rPr>
        <w:t>Benchmark Replacement Setting</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3.1    </w:t>
      </w:r>
      <w:r>
        <w:rPr>
          <w:rFonts w:ascii="Times New Roman;sans-serif" w:hAnsi="Times New Roman;sans-serif"/>
          <w:b w:val="false"/>
          <w:color w:val="000000"/>
          <w:sz w:val="22"/>
          <w:u w:val="single"/>
        </w:rPr>
        <w:t>Benchmark Replacement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herein or in any other Credit Document, if a Benchmark Transition Event </w:t>
      </w:r>
      <w:r>
        <w:rPr>
          <w:rFonts w:ascii="Times New Roman;sans-serif" w:hAnsi="Times New Roman;sans-serif"/>
          <w:b/>
          <w:strike/>
          <w:color w:val="FF0000"/>
          <w:sz w:val="22"/>
        </w:rPr>
        <w:t xml:space="preserve">or an Early Opt-in Election, as applicable, </w:t>
      </w:r>
      <w:r>
        <w:rPr>
          <w:rFonts w:ascii="Times New Roman;sans-serif" w:hAnsi="Times New Roman;sans-serif"/>
          <w:b w:val="false"/>
          <w:color w:val="000000"/>
          <w:sz w:val="22"/>
        </w:rPr>
        <w:t xml:space="preserve">and its related Benchmark Replacement Date have occurred prior to </w:t>
      </w:r>
      <w:r>
        <w:rPr>
          <w:rFonts w:ascii="Times New Roman;sans-serif" w:hAnsi="Times New Roman;sans-serif"/>
          <w:b/>
          <w:strike/>
          <w:color w:val="FF0000"/>
          <w:sz w:val="22"/>
        </w:rPr>
        <w:t xml:space="preserve">the Reference Time in respect of </w:t>
      </w:r>
      <w:r>
        <w:rPr>
          <w:rFonts w:ascii="Times New Roman;sans-serif" w:hAnsi="Times New Roman;sans-serif"/>
          <w:b w:val="false"/>
          <w:color w:val="000000"/>
          <w:sz w:val="22"/>
        </w:rPr>
        <w:t xml:space="preserve">any setting of the then-current Benchmark, then (x) if a Benchmark Replacement is determined in accordance with clause (1) </w:t>
      </w:r>
      <w:r>
        <w:rPr>
          <w:rFonts w:ascii="Times New Roman;sans-serif" w:hAnsi="Times New Roman;sans-serif"/>
          <w:b/>
          <w:strike/>
          <w:color w:val="FF0000"/>
          <w:sz w:val="22"/>
        </w:rPr>
        <w:t xml:space="preserve">or (2) </w:t>
      </w:r>
      <w:r>
        <w:rPr>
          <w:rFonts w:ascii="Times New Roman;sans-serif" w:hAnsi="Times New Roman;sans-serif"/>
          <w:b w:val="false"/>
          <w:color w:val="000000"/>
          <w:sz w:val="22"/>
        </w:rPr>
        <w:t>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w:t>
      </w:r>
      <w:r>
        <w:rPr>
          <w:rFonts w:ascii="Times New Roman;sans-serif" w:hAnsi="Times New Roman;sans-serif"/>
          <w:b/>
          <w:strike/>
          <w:color w:val="FF0000"/>
          <w:sz w:val="22"/>
        </w:rPr>
        <w:t>3</w:t>
      </w:r>
      <w:r>
        <w:rPr>
          <w:rFonts w:ascii="Times New Roman;sans-serif" w:hAnsi="Times New Roman;sans-serif"/>
          <w:b/>
          <w:color w:val="0000FF"/>
          <w:sz w:val="22"/>
          <w:u w:val="single"/>
        </w:rPr>
        <w:t>2</w:t>
      </w:r>
      <w:r>
        <w:rPr>
          <w:rFonts w:ascii="Times New Roman;sans-serif" w:hAnsi="Times New Roman;sans-serif"/>
          <w:b w:val="false"/>
          <w:color w:val="000000"/>
          <w:sz w:val="22"/>
        </w:rPr>
        <w:t>)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by the Administrative Agent to the Lenders and the Borrower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of each Class.</w:t>
      </w:r>
      <w:r>
        <w:rPr>
          <w:color w:val="0000FF"/>
          <w:u w:val="single"/>
        </w:rPr>
        <w:t xml:space="preserve"> </w:t>
      </w:r>
      <w:r>
        <w:rPr>
          <w:rFonts w:ascii="Times New Roman;sans-serif" w:hAnsi="Times New Roman;sans-serif"/>
          <w:b/>
          <w:color w:val="0000FF"/>
          <w:sz w:val="22"/>
          <w:u w:val="single"/>
        </w:rPr>
        <w:t>If the Benchmark Replacement is Daily Simple SOFR, all interest payments will be payable on a monthly basis.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3.2    </w:t>
      </w:r>
      <w:r>
        <w:rPr>
          <w:rFonts w:ascii="Times New Roman;sans-serif" w:hAnsi="Times New Roman;sans-serif"/>
          <w:b w:val="false"/>
          <w:color w:val="000000"/>
          <w:sz w:val="22"/>
          <w:u w:val="single"/>
        </w:rPr>
        <w:t>Benchmark Replacement Conforming Changes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In connection with the </w:t>
      </w:r>
      <w:r>
        <w:rPr>
          <w:rFonts w:ascii="Times New Roman;sans-serif" w:hAnsi="Times New Roman;sans-serif"/>
          <w:b/>
          <w:color w:val="0000FF"/>
          <w:sz w:val="22"/>
          <w:u w:val="single"/>
        </w:rPr>
        <w:t xml:space="preserve">use, administration, adoption or </w:t>
      </w:r>
      <w:r>
        <w:rPr>
          <w:rFonts w:ascii="Times New Roman;sans-serif" w:hAnsi="Times New Roman;sans-serif"/>
          <w:b w:val="false"/>
          <w:color w:val="000000"/>
          <w:sz w:val="22"/>
        </w:rPr>
        <w:t>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 (other than as provided in the definition of Benchmark Replacement Conforming Changes).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3.3    </w:t>
      </w:r>
      <w:r>
        <w:rPr>
          <w:rFonts w:ascii="Times New Roman;sans-serif" w:hAnsi="Times New Roman;sans-serif"/>
          <w:b w:val="false"/>
          <w:color w:val="000000"/>
          <w:sz w:val="22"/>
          <w:u w:val="single"/>
        </w:rPr>
        <w:t>Notices; Standards for Decisions and Determinations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Administrative Agent will promptly notify the Borrower and the Lenders of (i) any occurrence of a Benchmark Transition Event </w:t>
      </w:r>
      <w:r>
        <w:rPr>
          <w:rFonts w:ascii="Times New Roman;sans-serif" w:hAnsi="Times New Roman;sans-serif"/>
          <w:b/>
          <w:strike/>
          <w:color w:val="FF0000"/>
          <w:sz w:val="22"/>
        </w:rPr>
        <w:t xml:space="preserve">or an Early Opt-in Election, as applicable, </w:t>
      </w:r>
      <w:r>
        <w:rPr>
          <w:rFonts w:ascii="Times New Roman;sans-serif" w:hAnsi="Times New Roman;sans-serif"/>
          <w:b w:val="false"/>
          <w:color w:val="000000"/>
          <w:sz w:val="22"/>
        </w:rPr>
        <w:t>and its related Benchmark Replacement Date, (ii) the implementation of any Benchmark Replacement, (iii) the effectiveness of any Benchmark Replacement Conforming Changes</w:t>
      </w:r>
      <w:r>
        <w:rPr>
          <w:color w:val="0000FF"/>
          <w:u w:val="single"/>
        </w:rPr>
        <w:t xml:space="preserve"> </w:t>
      </w:r>
      <w:r>
        <w:rPr>
          <w:rFonts w:ascii="Times New Roman;sans-serif" w:hAnsi="Times New Roman;sans-serif"/>
          <w:b/>
          <w:color w:val="0000FF"/>
          <w:sz w:val="22"/>
          <w:u w:val="single"/>
        </w:rPr>
        <w:t>in connection with the use, administration, adoption or implementation of a Benchmark Replacement</w:t>
      </w:r>
      <w:r>
        <w:rPr>
          <w:rFonts w:ascii="Times New Roman;sans-serif" w:hAnsi="Times New Roman;sans-serif"/>
          <w:b w:val="false"/>
          <w:color w:val="000000"/>
          <w:sz w:val="22"/>
        </w:rPr>
        <w:t xml:space="preserve">, (iv) the removal or reinstatement of any tenor of a Benchmark pursuant to </w:t>
      </w:r>
      <w:r>
        <w:rPr>
          <w:rFonts w:ascii="Times New Roman;sans-serif" w:hAnsi="Times New Roman;sans-serif"/>
          <w:b w:val="false"/>
          <w:color w:val="000000"/>
          <w:sz w:val="22"/>
          <w:u w:val="single"/>
        </w:rPr>
        <w:t>Section 3.4</w:t>
      </w:r>
      <w:r>
        <w:rPr>
          <w:color w:val="000000"/>
        </w:rPr>
        <w:t xml:space="preserve"> </w:t>
      </w:r>
      <w:r>
        <w:rPr>
          <w:rFonts w:ascii="Times New Roman;sans-serif" w:hAnsi="Times New Roman;sans-serif"/>
          <w:b w:val="false"/>
          <w:color w:val="000000"/>
          <w:sz w:val="22"/>
        </w:rPr>
        <w:t xml:space="preserve">below and (v) the commencement and related conclusion of any Benchmark Unavailability Period. Any determination, decision or election that may be made by the Administrative Agent or, if applicable, the Borrower or any Lender (or group of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Lenders) pursuant to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3.4    </w:t>
      </w:r>
      <w:r>
        <w:rPr>
          <w:rFonts w:ascii="Times New Roman;sans-serif" w:hAnsi="Times New Roman;sans-serif"/>
          <w:b w:val="false"/>
          <w:color w:val="000000"/>
          <w:sz w:val="22"/>
          <w:u w:val="single"/>
        </w:rPr>
        <w:t>Unavailability of Tenor of Benchmark</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herein or in any other Credit Document, at any time (including in connection with the implementation of a Benchmark Replacement), (i) if a then-current Benchmark is a term rate (including Term SOFR </w:t>
      </w:r>
      <w:r>
        <w:rPr>
          <w:rFonts w:ascii="Times New Roman;sans-serif" w:hAnsi="Times New Roman;sans-serif"/>
          <w:b/>
          <w:strike/>
          <w:color w:val="FF0000"/>
          <w:sz w:val="22"/>
        </w:rPr>
        <w:t>or LIBOR</w:t>
      </w:r>
      <w:r>
        <w:rPr>
          <w:rFonts w:ascii="Times New Roman;sans-serif" w:hAnsi="Times New Roman;sans-serif"/>
          <w:b/>
          <w:color w:val="0000FF"/>
          <w:sz w:val="22"/>
          <w:u w:val="single"/>
        </w:rPr>
        <w:t>Reference</w:t>
      </w:r>
      <w:r>
        <w:rPr>
          <w:color w:val="000000"/>
        </w:rPr>
        <w:t xml:space="preserve"> </w:t>
      </w:r>
      <w:r>
        <w:rPr>
          <w:rFonts w:ascii="Times New Roman;sans-serif" w:hAnsi="Times New Roman;sans-serif"/>
          <w:b w:val="false"/>
          <w:color w:val="000000"/>
          <w:sz w:val="22"/>
        </w:rPr>
        <w:t xml:space="preserve">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w:t>
      </w:r>
      <w:r>
        <w:rPr>
          <w:rFonts w:ascii="Times New Roman;sans-serif" w:hAnsi="Times New Roman;sans-serif"/>
          <w:b/>
          <w:strike/>
          <w:color w:val="FF0000"/>
          <w:sz w:val="22"/>
        </w:rPr>
        <w:t>(1) is no longer representative</w:t>
      </w:r>
      <w:r>
        <w:rPr>
          <w:rFonts w:ascii="Times New Roman;sans-serif" w:hAnsi="Times New Roman;sans-serif"/>
          <w:b/>
          <w:color w:val="0000FF"/>
          <w:sz w:val="22"/>
          <w:u w:val="single"/>
        </w:rPr>
        <w:t>is not</w:t>
      </w:r>
      <w:r>
        <w:rPr>
          <w:color w:val="000000"/>
        </w:rPr>
        <w:t xml:space="preserve"> </w:t>
      </w:r>
      <w:r>
        <w:rPr>
          <w:rFonts w:ascii="Times New Roman;sans-serif" w:hAnsi="Times New Roman;sans-serif"/>
          <w:b w:val="false"/>
          <w:color w:val="000000"/>
          <w:sz w:val="22"/>
        </w:rPr>
        <w:t>or will no longer be representative</w:t>
      </w:r>
      <w:r>
        <w:rPr>
          <w:strike/>
          <w:color w:val="FF0000"/>
        </w:rPr>
        <w:t xml:space="preserve"> </w:t>
      </w:r>
      <w:r>
        <w:rPr>
          <w:rFonts w:ascii="Times New Roman;sans-serif" w:hAnsi="Times New Roman;sans-serif"/>
          <w:b/>
          <w:strike/>
          <w:color w:val="FF0000"/>
          <w:sz w:val="22"/>
        </w:rPr>
        <w:t>as of a specified date or (2) will cease to be provided by the administrator permanently or indefinitely as of a specified date</w:t>
      </w:r>
      <w:r>
        <w:rPr>
          <w:rFonts w:ascii="Times New Roman;sans-serif" w:hAnsi="Times New Roman;sans-serif"/>
          <w:b w:val="false"/>
          <w:color w:val="000000"/>
          <w:sz w:val="22"/>
        </w:rPr>
        <w:t xml:space="preserve">, then the Administrative Agent may modify the definition of “Interest Period” </w:t>
      </w:r>
      <w:r>
        <w:rPr>
          <w:rFonts w:ascii="Times New Roman;sans-serif" w:hAnsi="Times New Roman;sans-serif"/>
          <w:b/>
          <w:color w:val="0000FF"/>
          <w:sz w:val="22"/>
          <w:u w:val="single"/>
        </w:rPr>
        <w:t xml:space="preserve">(or any similar or analogous definition) </w:t>
      </w:r>
      <w:r>
        <w:rPr>
          <w:rFonts w:ascii="Times New Roman;sans-serif" w:hAnsi="Times New Roman;sans-serif"/>
          <w:b w:val="false"/>
          <w:color w:val="000000"/>
          <w:sz w:val="22"/>
        </w:rPr>
        <w:t xml:space="preserve">for any Benchmark settings at or after such time to remove such affected tenor and (ii) if a tenor that was removed pursuant to </w:t>
      </w:r>
      <w:r>
        <w:rPr>
          <w:rFonts w:ascii="Times New Roman;sans-serif" w:hAnsi="Times New Roman;sans-serif"/>
          <w:b w:val="false"/>
          <w:color w:val="000000"/>
          <w:sz w:val="22"/>
          <w:u w:val="single"/>
        </w:rPr>
        <w:t>Section 3.1</w:t>
      </w:r>
      <w:r>
        <w:rPr>
          <w:color w:val="000000"/>
        </w:rPr>
        <w:t xml:space="preserve"> </w:t>
      </w:r>
      <w:r>
        <w:rPr>
          <w:rFonts w:ascii="Times New Roman;sans-serif" w:hAnsi="Times New Roman;sans-serif"/>
          <w:b w:val="false"/>
          <w:color w:val="000000"/>
          <w:sz w:val="22"/>
        </w:rPr>
        <w:t xml:space="preserve">above either (A) is subsequently displayed on a screen or information service for a Benchmark (including a Benchmark Replacement) or (B) is not, or is no longer, subject to an announcement that it is no longer or will no longer be representative for such Benchmark (including a Benchmark Replacement) or will cease to be provided by the administrator, then the Administrative Agent may modify the definition of “Interest Period” </w:t>
      </w:r>
      <w:r>
        <w:rPr>
          <w:rFonts w:ascii="Times New Roman;sans-serif" w:hAnsi="Times New Roman;sans-serif"/>
          <w:b/>
          <w:color w:val="0000FF"/>
          <w:sz w:val="22"/>
          <w:u w:val="single"/>
        </w:rPr>
        <w:t xml:space="preserve">(or any similar or analogous definition) </w:t>
      </w:r>
      <w:r>
        <w:rPr>
          <w:rFonts w:ascii="Times New Roman;sans-serif" w:hAnsi="Times New Roman;sans-serif"/>
          <w:b w:val="false"/>
          <w:color w:val="000000"/>
          <w:sz w:val="22"/>
        </w:rPr>
        <w:t>for all settings of such Benchmark at or after such time to reinstate such previously removed tenor.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3.5    </w:t>
      </w:r>
      <w:r>
        <w:rPr>
          <w:rFonts w:ascii="Times New Roman;sans-serif" w:hAnsi="Times New Roman;sans-serif"/>
          <w:b w:val="false"/>
          <w:color w:val="000000"/>
          <w:sz w:val="22"/>
          <w:u w:val="single"/>
        </w:rPr>
        <w:t>Benchmark Unavailability Period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Upon the Borrower’s receipt of notice of the commencement of a Benchmark Unavailability Period, </w:t>
      </w:r>
      <w:r>
        <w:rPr>
          <w:rFonts w:ascii="Times New Roman;sans-serif" w:hAnsi="Times New Roman;sans-serif"/>
          <w:b/>
          <w:color w:val="0000FF"/>
          <w:sz w:val="22"/>
          <w:u w:val="single"/>
        </w:rPr>
        <w:t xml:space="preserve">(i) </w:t>
      </w:r>
      <w:r>
        <w:rPr>
          <w:rFonts w:ascii="Times New Roman;sans-serif" w:hAnsi="Times New Roman;sans-serif"/>
          <w:b w:val="false"/>
          <w:color w:val="000000"/>
          <w:sz w:val="22"/>
        </w:rPr>
        <w:t xml:space="preserve">the Borrower may revoke any </w:t>
      </w:r>
      <w:r>
        <w:rPr>
          <w:rFonts w:ascii="Times New Roman;sans-serif" w:hAnsi="Times New Roman;sans-serif"/>
          <w:b/>
          <w:color w:val="0000FF"/>
          <w:sz w:val="22"/>
          <w:u w:val="single"/>
        </w:rPr>
        <w:t xml:space="preserve">pending </w:t>
      </w:r>
      <w:r>
        <w:rPr>
          <w:rFonts w:ascii="Times New Roman;sans-serif" w:hAnsi="Times New Roman;sans-serif"/>
          <w:b w:val="false"/>
          <w:color w:val="000000"/>
          <w:sz w:val="22"/>
        </w:rPr>
        <w:t xml:space="preserve">request for a Borrowing of, conversion to or continuation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to be made, converted or continued during any such Benchmark Unavailability Period and, failing that, the Borrower will be deemed to have converted any such request into a request for a Borrowing of or conversion to ABR Loans</w:t>
      </w:r>
      <w:r>
        <w:rPr>
          <w:color w:val="0000FF"/>
          <w:u w:val="single"/>
        </w:rPr>
        <w:t xml:space="preserve"> </w:t>
      </w:r>
      <w:r>
        <w:rPr>
          <w:rFonts w:ascii="Times New Roman;sans-serif" w:hAnsi="Times New Roman;sans-serif"/>
          <w:b/>
          <w:color w:val="0000FF"/>
          <w:sz w:val="22"/>
          <w:u w:val="single"/>
        </w:rPr>
        <w:t>and (ii) any outstanding affected SOFR Loans will be deemed to have been converted to ABR Loans at the end of the applicable Interest Period</w:t>
      </w:r>
      <w:r>
        <w:rPr>
          <w:rFonts w:ascii="Times New Roman;sans-serif" w:hAnsi="Times New Roman;sans-serif"/>
          <w:b w:val="false"/>
          <w:color w:val="000000"/>
          <w:sz w:val="22"/>
        </w:rPr>
        <w:t>.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3.6    </w:t>
      </w:r>
      <w:r>
        <w:rPr>
          <w:rFonts w:ascii="Times New Roman;sans-serif" w:hAnsi="Times New Roman;sans-serif"/>
          <w:b w:val="false"/>
          <w:color w:val="000000"/>
          <w:sz w:val="22"/>
          <w:u w:val="single"/>
        </w:rPr>
        <w:t>Tax Matters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herein or in any other Credit Document to the contrary, any Benchmark Replacement pursuant to this Section 3 shall be required to meet the standards set forth in Proposed United States Treasury Regulations under Section 1.1001-6 (or any successor United States Treasury Regulations or other official IRS guidance promulgated that supersedes such Proposed United States Treasury Regulations) such that that use of the Benchmark Replacement is not treated as a “modification” (and therefore an exchange) of any Loans for purposes of Treasury Regulations Section 1.1001-3 (and, if the Administrative Agent determines in good faith consultation with the Borrower that the Benchmark Replacement as determined pursuant to clauses (1) through (3) of the definition thereof does not meet such standards, the Administrative Agent and the Borrower shall cooperate in good faith to make such commercially reasonable adjustments to the Benchmark Replacement that are necessary to ensure that the use of the Benchmark Replacement is not treated as a “modification” (and therefore an exchange) of any Loans for purposes of Treasury Regulations Section 1.1001-3).</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4.    </w:t>
      </w:r>
      <w:r>
        <w:rPr>
          <w:rFonts w:ascii="Times New Roman;sans-serif" w:hAnsi="Times New Roman;sans-serif"/>
          <w:b w:val="false"/>
          <w:color w:val="000000"/>
          <w:sz w:val="22"/>
        </w:rPr>
        <w:t>Fees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4.1    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Without duplication, the Borrower agrees to pay to the Administrative Agent in Dollars, for its own account, administrative agent fees as have been previously agreed in writing or as may be agreed in writing from time to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Notwithstanding the foregoing, the Borrower shall not be obligated to pay any amounts to any Defaulting Lender pursuant to this </w:t>
      </w:r>
      <w:r>
        <w:rPr>
          <w:rFonts w:ascii="Times New Roman;sans-serif" w:hAnsi="Times New Roman;sans-serif"/>
          <w:b w:val="false"/>
          <w:color w:val="000000"/>
          <w:sz w:val="22"/>
          <w:u w:val="single"/>
        </w:rPr>
        <w:t>Section 4.1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4.2    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4.3    </w:t>
      </w:r>
      <w:r>
        <w:rPr>
          <w:rFonts w:ascii="Times New Roman;sans-serif" w:hAnsi="Times New Roman;sans-serif"/>
          <w:b w:val="false"/>
          <w:color w:val="000000"/>
          <w:sz w:val="22"/>
          <w:u w:val="single"/>
        </w:rPr>
        <w:t>Mandatory Termination of Commitments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Initial Term Loan Commitments shall terminate upon funding on the Amendment No. 4 Effective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New Term Loan Commitment for any Series shall, unless otherwise provided in the applicable Joinder Agreement, terminate upon funding on the Increased Amount Date for such Series.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5.    </w:t>
      </w:r>
      <w:r>
        <w:rPr>
          <w:rFonts w:ascii="Times New Roman;sans-serif" w:hAnsi="Times New Roman;sans-serif"/>
          <w:b w:val="false"/>
          <w:color w:val="000000"/>
          <w:sz w:val="22"/>
        </w:rPr>
        <w:t>Payments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5.1    </w:t>
      </w:r>
      <w:r>
        <w:rPr>
          <w:rFonts w:ascii="Times New Roman;sans-serif" w:hAnsi="Times New Roman;sans-serif"/>
          <w:b w:val="false"/>
          <w:color w:val="000000"/>
          <w:sz w:val="22"/>
          <w:u w:val="single"/>
        </w:rPr>
        <w:t>Voluntary Prepayments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Borrower shall have the right to prepay Loans, including Term Loans, other than as set forth in </w:t>
      </w:r>
      <w:r>
        <w:rPr>
          <w:rFonts w:ascii="Times New Roman;sans-serif" w:hAnsi="Times New Roman;sans-serif"/>
          <w:b w:val="false"/>
          <w:color w:val="000000"/>
          <w:sz w:val="22"/>
          <w:u w:val="single"/>
        </w:rPr>
        <w:t>Section 5.1(b)</w:t>
      </w:r>
      <w:r>
        <w:rPr>
          <w:rFonts w:ascii="Times New Roman;sans-serif" w:hAnsi="Times New Roman;sans-serif"/>
          <w:b w:val="false"/>
          <w:color w:val="000000"/>
          <w:sz w:val="22"/>
        </w:rPr>
        <w:t xml:space="preserve">, without premium or penalty, in whole or in part from time to time on the following terms and conditions: (1) the Borrower shall give the Administrative Agent at the Administrative Agent’s Office written notice of its intent to make such prepayment, the amount of such prepayment and (in the case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the specific Borrowing(s) pursuant to which made, which notice shall be given by the Borrower no later than 12:00 noon (New York City time) (i) in the case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three Business Days prior to or (ii) in the case of ABR Loans, one Business Day prior to the date of such prepayment and shall promptly be transmitted by the Administrative Agent to each of the Lenders; (2) each partial prepayment of (i) any Borrowing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shall be in a minimum amount of $5,000,000 and in multiples of $1,000,000 in excess thereof and (ii) any ABR Loans shall be in a minimum amount of $1,000,000 and in multiples of $100,000 in excess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 partial prepayment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made pursuant to a single Borrowing shall reduce the outstanding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made pursuant to such Borrowing to an amount less than the applicable Minimum Borrowing Amount for such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and (3) in the case of any prepayment of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 xml:space="preserve">Loans pursuant to this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 xml:space="preserve">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Each prepayment in respect of any Term Loans pursuant to this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 xml:space="preserve">shall be applied to the Class or Classes of Term Loans as the Borrower may specify. Each prepayment in respect of any Term Loans pursuant to this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 xml:space="preserve">shall be (a) applied to the Class or Classes of Term Loans as the Borrower may specify and (b) applied to reduce Initial Term Loan Repayment Amounts, any New Term Loan Repayment Amounts, and, subject to </w:t>
      </w:r>
      <w:r>
        <w:rPr>
          <w:rFonts w:ascii="Times New Roman;sans-serif" w:hAnsi="Times New Roman;sans-serif"/>
          <w:b w:val="false"/>
          <w:color w:val="000000"/>
          <w:sz w:val="22"/>
          <w:u w:val="single"/>
        </w:rPr>
        <w:t>Section 2.14(g)</w:t>
      </w:r>
      <w:r>
        <w:rPr>
          <w:rFonts w:ascii="Times New Roman;sans-serif" w:hAnsi="Times New Roman;sans-serif"/>
          <w:b w:val="false"/>
          <w:color w:val="000000"/>
          <w:sz w:val="22"/>
        </w:rPr>
        <w:t xml:space="preserve">, Extended Term Loan Repayment Amounts, as the case may be, in each case, in such order as the Borrower may specify. At the Borrower’s election in connection with any prepayment pursuant to this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such prepayment shall not be applied to any Term Loan of a Defaulting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In the event that, on or prior to the six-month anniversary of the Amendment No. 4 Effective Date, the Borrower (i) makes any prepayment of Initial Term Loans in connection with any Repricing Transaction the primary purpose of which is to decrease the Effective Yield on such Term Initial Term Loans or (ii) effects any amendment of this Agreement resulting in a Repricing Transaction the primary purpose of which is to decrease the Effective Yield on the Initial Term Loans, the Borrower shall pay to the Administrative Agent, for the ratable account of each of the applicable Lenders, (x) in the case of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xml:space="preserve">, a prepayment premium of 1.00% of the principal amount of the Initial Term Loans being prepaid in connection with such Repricing Transaction and (y) in the case of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xml:space="preserve">, an amount equal to 1.00% of the aggregate amount of the applicable Initial Term Loans outstanding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prior to such amendment that are subject to an effective pricing reduction pursuant to such Repricing Transaction.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5.2    </w:t>
      </w:r>
      <w:r>
        <w:rPr>
          <w:rFonts w:ascii="Times New Roman;sans-serif" w:hAnsi="Times New Roman;sans-serif"/>
          <w:b w:val="false"/>
          <w:color w:val="000000"/>
          <w:sz w:val="22"/>
          <w:u w:val="single"/>
        </w:rPr>
        <w:t>Mandatory Prepayments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Term Loan Prepayments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On each occasion that a Prepayment Event occurs, the Borrower shall, within three Business Days after receipt of the Net Cash Proceeds of a Debt Incurrence Prepayment Event (other than one covered by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below) and within ten Business Days after the occurrence of any other Prepayment Event (or, in the case of Deferred Net Cash Proceeds, within ten Business Days after the Deferred Net Cash Proceeds Payment Date), prepay, in accordance with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below, Term Loans with an equivalent principal amount equal to 100% of the Net Cash Proceeds from such Prepayment Event;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an Asset Sale Prepayment Event, a Casualty Event or a Permitted Sale Leaseback, the percentage in this Section 5.2(a)(i) shall be reduced to (x) 50% if the Consolidated First Lien Secured Debt to Consolidated EBITDA Ratio on the date of prepayment (prior to giving effect thereto but, at the election of the Borrower, giving effect to any prepayment described in Section 5.2(a)(ii)(y) below and as certified by an Authorized Officer of the Borrower) is less than or equal to 1.25:1.00 but greater than 1.00:1.00 and (y) 0% if the Consolidated First Lien Secured Debt to Consolidated EBITDA Ratio on the date of prepayment (prior to giving effect thereto but, at the election of the Borrower, giving effect to any prepayment described in Section 5.2(a)(ii)(y) below and as certified by an Authorized Officer of the Borrower) is less than or equal to 1.00:1.00 (any amount of Net Cash Proceeds not required to prepay Term Loans pursuant to this Section 5.2(a)(i), “</w:t>
      </w:r>
      <w:r>
        <w:rPr>
          <w:rFonts w:ascii="Times New Roman;sans-serif" w:hAnsi="Times New Roman;sans-serif"/>
          <w:b/>
          <w:i/>
          <w:color w:val="000000"/>
          <w:sz w:val="22"/>
        </w:rPr>
        <w:t>Retained Asset Sale Proceeds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with respect to the Net Cash Proceeds of an Asset Sale Prepayment Event, Casualty Event or Permitted Sale Leaseback, the Borrower may use a portion of such Net Cash Proceeds to prepay or repurchase Permitted Other Indebtedness (and with such prepaid or repurchased Permitted Other Indebtedness permanently extinguished) with a Lien on the Collateral ranking equal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 (x) the amount of such Net Cash Proceeds </w:t>
      </w:r>
      <w:r>
        <w:rPr>
          <w:rFonts w:ascii="Times New Roman;sans-serif" w:hAnsi="Times New Roman;sans-serif"/>
          <w:b w:val="false"/>
          <w:i/>
          <w:color w:val="000000"/>
          <w:sz w:val="22"/>
        </w:rPr>
        <w:t>multiplied</w:t>
      </w:r>
      <w:r>
        <w:rPr>
          <w:color w:val="000000"/>
        </w:rPr>
        <w:t xml:space="preserve"> </w:t>
      </w:r>
      <w:r>
        <w:rPr>
          <w:rFonts w:ascii="Times New Roman;sans-serif" w:hAnsi="Times New Roman;sans-serif"/>
          <w:b w:val="false"/>
          <w:color w:val="000000"/>
          <w:sz w:val="22"/>
        </w:rPr>
        <w:t>by (y) a fraction, the numerator of which is the outstanding principal amount of the Permitted Other Indebtedness with a Lien on the Collateral ranking equal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Not later than ten Business Days after the date on which financial statements are required to be delivered pursuant to </w:t>
      </w:r>
      <w:r>
        <w:rPr>
          <w:rFonts w:ascii="Times New Roman;sans-serif" w:hAnsi="Times New Roman;sans-serif"/>
          <w:b w:val="false"/>
          <w:color w:val="000000"/>
          <w:sz w:val="22"/>
          <w:u w:val="single"/>
        </w:rPr>
        <w:t>Section 9.1(a)</w:t>
      </w:r>
      <w:r>
        <w:rPr>
          <w:color w:val="000000"/>
        </w:rPr>
        <w:t xml:space="preserve"> </w:t>
      </w:r>
      <w:r>
        <w:rPr>
          <w:rFonts w:ascii="Times New Roman;sans-serif" w:hAnsi="Times New Roman;sans-serif"/>
          <w:b w:val="false"/>
          <w:color w:val="000000"/>
          <w:sz w:val="22"/>
        </w:rPr>
        <w:t xml:space="preserve">for any fiscal year (commencing with and including the fiscal year ending January 31, 2022), if, and solely to the extent, Excess Cash Flow for such fiscal year exceeds $10,000,000, the Borrower shall prepay (or cause to be prepaid), in accordance with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below, Term Loans with a principal amount equal to (x) 50% of Excess Cash Flow for such fiscal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 the percentage in this </w:t>
      </w:r>
      <w:r>
        <w:rPr>
          <w:rFonts w:ascii="Times New Roman;sans-serif" w:hAnsi="Times New Roman;sans-serif"/>
          <w:b w:val="false"/>
          <w:color w:val="000000"/>
          <w:sz w:val="22"/>
          <w:u w:val="single"/>
        </w:rPr>
        <w:t>Section 5.2(a)(ii)</w:t>
      </w:r>
      <w:r>
        <w:rPr>
          <w:color w:val="000000"/>
        </w:rPr>
        <w:t xml:space="preserve"> </w:t>
      </w:r>
      <w:r>
        <w:rPr>
          <w:rFonts w:ascii="Times New Roman;sans-serif" w:hAnsi="Times New Roman;sans-serif"/>
          <w:b w:val="false"/>
          <w:color w:val="000000"/>
          <w:sz w:val="22"/>
        </w:rPr>
        <w:t xml:space="preserve">shall be reduced to 25% if the Consolidated First Lien Secured Debt to Consolidated EBITDA Ratio on the date of prepayment (prior to giving effect thereto but giving effect to any prepayment described in </w:t>
      </w:r>
      <w:r>
        <w:rPr>
          <w:rFonts w:ascii="Times New Roman;sans-serif" w:hAnsi="Times New Roman;sans-serif"/>
          <w:b w:val="false"/>
          <w:color w:val="000000"/>
          <w:sz w:val="22"/>
          <w:u w:val="single"/>
        </w:rPr>
        <w:t>clause (y)</w:t>
      </w:r>
      <w:r>
        <w:rPr>
          <w:color w:val="000000"/>
        </w:rPr>
        <w:t xml:space="preserve"> </w:t>
      </w:r>
      <w:r>
        <w:rPr>
          <w:rFonts w:ascii="Times New Roman;sans-serif" w:hAnsi="Times New Roman;sans-serif"/>
          <w:b w:val="false"/>
          <w:color w:val="000000"/>
          <w:sz w:val="22"/>
        </w:rPr>
        <w:t xml:space="preserve">below and as certified by an Authorized Officer of the Borrower) for the most recent Test Period ended prior to such prepayment date is less than or equal to 1.25 to 1.00 but greater than 1.00 to 1.00 and (B) no payment of any Term Loans shall be required under this </w:t>
      </w:r>
      <w:r>
        <w:rPr>
          <w:rFonts w:ascii="Times New Roman;sans-serif" w:hAnsi="Times New Roman;sans-serif"/>
          <w:b w:val="false"/>
          <w:color w:val="000000"/>
          <w:sz w:val="22"/>
          <w:u w:val="single"/>
        </w:rPr>
        <w:t>Section 5.2(a)(ii)</w:t>
      </w:r>
      <w:r>
        <w:rPr>
          <w:color w:val="000000"/>
        </w:rPr>
        <w:t xml:space="preserve"> </w:t>
      </w:r>
      <w:r>
        <w:rPr>
          <w:rFonts w:ascii="Times New Roman;sans-serif" w:hAnsi="Times New Roman;sans-serif"/>
          <w:b w:val="false"/>
          <w:color w:val="000000"/>
          <w:sz w:val="22"/>
        </w:rPr>
        <w:t xml:space="preserve">if the Consolidated First Lien Secured Debt to Consolidated EBITDA Ratio on the date of prepayment (prior to giving effect thereto but giving effect to any prepayment described in </w:t>
      </w:r>
      <w:r>
        <w:rPr>
          <w:rFonts w:ascii="Times New Roman;sans-serif" w:hAnsi="Times New Roman;sans-serif"/>
          <w:b w:val="false"/>
          <w:color w:val="000000"/>
          <w:sz w:val="22"/>
          <w:u w:val="single"/>
        </w:rPr>
        <w:t>clause (y)</w:t>
      </w:r>
      <w:r>
        <w:rPr>
          <w:color w:val="000000"/>
        </w:rPr>
        <w:t xml:space="preserve"> </w:t>
      </w:r>
      <w:r>
        <w:rPr>
          <w:rFonts w:ascii="Times New Roman;sans-serif" w:hAnsi="Times New Roman;sans-serif"/>
          <w:b w:val="false"/>
          <w:color w:val="000000"/>
          <w:sz w:val="22"/>
        </w:rPr>
        <w:t xml:space="preserve">below and as certified by an Authorized Officer of the Borrower) for the most recent Test Period ended prior to such prepayment date is less than or equal to 1.00 to 1.00,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 xml:space="preserve">(y) the principal amount of Term Loans voluntarily prepaid pursuant to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13.6</w:t>
      </w:r>
      <w:r>
        <w:rPr>
          <w:color w:val="000000"/>
        </w:rPr>
        <w:t xml:space="preserve"> </w:t>
      </w:r>
      <w:r>
        <w:rPr>
          <w:rFonts w:ascii="Times New Roman;sans-serif" w:hAnsi="Times New Roman;sans-serif"/>
          <w:b w:val="false"/>
          <w:color w:val="000000"/>
          <w:sz w:val="22"/>
        </w:rPr>
        <w:t xml:space="preserve">(in each case, including purchases of the Loans by the Borrower and its Subsidiaries at or below par, in which case the amount of voluntary prepayments of Loans shall be deemed not to exceed the actual purchase price of such Loans below par)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voluntary prepayments of Permitted Other Indebtedness or Ratio Debt (in each case secured with a Lien on the Collateral ranking pari passu with the Liens securing the Obligations) during such fiscal year or after such fiscal year and prior to the date of the required Excess Cash Flow payment (provided that, for the avoidance of doubt, any such voluntary prepayments that have not been applied to reduce the payments which may be due from time to time pursuant to this Section 5.2(a)(ii) shall be carried over to subsequent periods, and may reduce the payments due from time to time pursuant to this Section 5.2(a)(ii) during such subsequent periods, until such time as such voluntary prepayments reduce such payments which may be due from time to time) other than to the extent any such prepayment is funded with the proceeds of Funded Debt;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to the extent the sum of the amounts specified in this </w:t>
      </w:r>
      <w:r>
        <w:rPr>
          <w:rFonts w:ascii="Times New Roman;sans-serif" w:hAnsi="Times New Roman;sans-serif"/>
          <w:b w:val="false"/>
          <w:color w:val="000000"/>
          <w:sz w:val="22"/>
          <w:u w:val="single"/>
        </w:rPr>
        <w:t>clause (y)</w:t>
      </w:r>
      <w:r>
        <w:rPr>
          <w:color w:val="000000"/>
        </w:rPr>
        <w:t xml:space="preserve"> </w:t>
      </w:r>
      <w:r>
        <w:rPr>
          <w:rFonts w:ascii="Times New Roman;sans-serif" w:hAnsi="Times New Roman;sans-serif"/>
          <w:b w:val="false"/>
          <w:color w:val="000000"/>
          <w:sz w:val="22"/>
        </w:rPr>
        <w:t xml:space="preserve">exceed the prepayments required to be made pursuant to </w:t>
      </w:r>
      <w:r>
        <w:rPr>
          <w:rFonts w:ascii="Times New Roman;sans-serif" w:hAnsi="Times New Roman;sans-serif"/>
          <w:b w:val="false"/>
          <w:color w:val="000000"/>
          <w:sz w:val="22"/>
          <w:u w:val="single"/>
        </w:rPr>
        <w:t>clause (x)</w:t>
      </w:r>
      <w:r>
        <w:rPr>
          <w:rFonts w:ascii="Times New Roman;sans-serif" w:hAnsi="Times New Roman;sans-serif"/>
          <w:b w:val="false"/>
          <w:color w:val="000000"/>
          <w:sz w:val="22"/>
        </w:rPr>
        <w:t xml:space="preserve">, the full amount of any such excess shall carry over and be deducted from required payments in subsequent years until such time as no excess remains,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 xml:space="preserve">(z) (A) the aggregate amount of cash consideration paid by Holdings, the Borrower and the Restricted Subsidiaries (on a consolidated basis) in connection with Permitted Acquisitions or Investments (including acquisitions (but excluding Permitted Investments of the type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thereof)</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 xml:space="preserve">made during such period constituting Permitted Investments or made pursuant to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to the extent that such Investments, were not financed with the proceeds received from (1) the issuance or incurrence of long-term Indebtedness or (2) the issuance of Capital Stock, (B) the amount of dividends paid in cash during such period (on a consolidated basis) by Holdings, the Borrower and the Restricted Subsidiaries, to the extent such dividends were not financed with the proceeds received from (1) the issuance or incurrence of long-term Indebtedness or (2) the issuance of Capital Stock, (C) payments in cash by the Borrower and the Restricted Subsidiaries during such period in respect of any purchase price holdbacks, earn-out obligations and long-term liabilities of the Borrower and the Restricted Subsidiaries other than Indebtedness, to the extent not already deducted from Consolidated Net Income, (D) the aggregate amount of Capital Expenditures or acquisitions of Intellectual Property accrued or made in cash during such period, except to the extent that such Capital Expenditures or acquisitions were financed with the proceeds of long-term Funded Debt of the Borrower or its Restricted Subsidiaries (unless such Indebtedness has been repaid other than with the proceeds of long-term Funded Debt other than intercompany loans) and (E) (1) the aggregate consideration required to be paid in cash by the Borrower or any of its Restricted Subsidiaries pursuant to binding contracts, commitments, letters of intent or purchase orders (the “</w:t>
      </w:r>
      <w:r>
        <w:rPr>
          <w:rFonts w:ascii="Times New Roman;sans-serif" w:hAnsi="Times New Roman;sans-serif"/>
          <w:b/>
          <w:color w:val="000000"/>
          <w:sz w:val="22"/>
        </w:rPr>
        <w:t>Contract Consideration</w:t>
      </w:r>
      <w:r>
        <w:rPr>
          <w:color w:val="000000"/>
        </w:rPr>
        <w:t>”</w:t>
      </w:r>
      <w:r>
        <w:rPr>
          <w:rFonts w:ascii="Times New Roman;sans-serif" w:hAnsi="Times New Roman;sans-serif"/>
          <w:b w:val="false"/>
          <w:color w:val="000000"/>
          <w:sz w:val="22"/>
        </w:rPr>
        <w:t>) entered into prior to or during such period and (2) any planned cash expenditures by the Borrower or any of the Restricted Subsidiaries (the “</w:t>
      </w:r>
      <w:r>
        <w:rPr>
          <w:rFonts w:ascii="Times New Roman;sans-serif" w:hAnsi="Times New Roman;sans-serif"/>
          <w:b/>
          <w:color w:val="000000"/>
          <w:sz w:val="22"/>
        </w:rPr>
        <w:t>Planned Expenditures</w:t>
      </w:r>
      <w:r>
        <w:rPr>
          <w:color w:val="000000"/>
        </w:rPr>
        <w:t>”</w:t>
      </w:r>
      <w:r>
        <w:rPr>
          <w:rFonts w:ascii="Times New Roman;sans-serif" w:hAnsi="Times New Roman;sans-serif"/>
          <w:b w:val="false"/>
          <w:color w:val="000000"/>
          <w:sz w:val="22"/>
        </w:rPr>
        <w:t xml:space="preserve">), in the case of each of </w:t>
      </w:r>
      <w:r>
        <w:rPr>
          <w:rFonts w:ascii="Times New Roman;sans-serif" w:hAnsi="Times New Roman;sans-serif"/>
          <w:b w:val="false"/>
          <w:color w:val="000000"/>
          <w:sz w:val="22"/>
          <w:u w:val="single"/>
        </w:rPr>
        <w:t>clauses (1)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w:t>
      </w:r>
      <w:r>
        <w:rPr>
          <w:rFonts w:ascii="Times New Roman;sans-serif" w:hAnsi="Times New Roman;sans-serif"/>
          <w:b w:val="false"/>
          <w:color w:val="000000"/>
          <w:sz w:val="22"/>
        </w:rPr>
        <w:t xml:space="preserve">, relating to Permitted Acquisitions (or other Investments), Capital Expenditures, or acquisitions of Intellectual Property or other assets to be consummated or made during the period of four consecutive fiscal quarters of the Borrower following the end of such period (except to the extent financed with any of the proceeds received from (A) the issuance or incurrence of long-term Indebtedness or (B) the issuance of Equity Interests);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that the aggregate amount of cash actually utilized to finance such Permitted Acquisitions (or other Investments), Capital Expenditures, or acquisitions of Intellectual Property or other assets during such following period of four consecutive fiscal quarters is less than the Contract Consideration and Planned Expenditures, the amount of such shortfall shall be added to the calculation of the prepayment required pursuant to this </w:t>
      </w:r>
      <w:r>
        <w:rPr>
          <w:rFonts w:ascii="Times New Roman;sans-serif" w:hAnsi="Times New Roman;sans-serif"/>
          <w:b w:val="false"/>
          <w:color w:val="000000"/>
          <w:sz w:val="22"/>
          <w:u w:val="single"/>
        </w:rPr>
        <w:t>Section 5.2(a)(ii)</w:t>
      </w:r>
      <w:r>
        <w:rPr>
          <w:rFonts w:ascii="Times New Roman;sans-serif" w:hAnsi="Times New Roman;sans-serif"/>
          <w:b w:val="false"/>
          <w:color w:val="000000"/>
          <w:sz w:val="22"/>
        </w:rPr>
        <w:t>, at the end of such period of four consecutive fiscal quarters.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 xml:space="preserve">On each occasion that Permitted Other Indebtedness is issued or incurred pursuant to </w:t>
      </w:r>
      <w:r>
        <w:rPr>
          <w:rFonts w:ascii="Times New Roman;sans-serif" w:hAnsi="Times New Roman;sans-serif"/>
          <w:b w:val="false"/>
          <w:color w:val="000000"/>
          <w:sz w:val="22"/>
          <w:u w:val="single"/>
        </w:rPr>
        <w:t>Section 10.1(w)</w:t>
      </w:r>
      <w:r>
        <w:rPr>
          <w:rFonts w:ascii="Times New Roman;sans-serif" w:hAnsi="Times New Roman;sans-serif"/>
          <w:b w:val="false"/>
          <w:color w:val="000000"/>
          <w:sz w:val="22"/>
        </w:rPr>
        <w:t xml:space="preserve">, the Borrower shall within three Business Days of receipt of the Net Cash Proceeds of such Permitted Other Indebtedness prepay, in accordance with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below, Term Loans with a principal amount equal to 100% of the Net Cash Proceeds from such issuance or incurrence of Permitted Other Indebtedness.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 xml:space="preserve">Notwithstanding any other provisions of this </w:t>
      </w:r>
      <w:r>
        <w:rPr>
          <w:rFonts w:ascii="Times New Roman;sans-serif" w:hAnsi="Times New Roman;sans-serif"/>
          <w:b w:val="false"/>
          <w:color w:val="000000"/>
          <w:sz w:val="22"/>
          <w:u w:val="single"/>
        </w:rPr>
        <w:t>Section 5.2</w:t>
      </w:r>
      <w:r>
        <w:rPr>
          <w:rFonts w:ascii="Times New Roman;sans-serif" w:hAnsi="Times New Roman;sans-serif"/>
          <w:b w:val="false"/>
          <w:color w:val="000000"/>
          <w:sz w:val="22"/>
        </w:rPr>
        <w:t xml:space="preserve">, (A) to the extent that any or all of the Net Cash Proceeds of any Prepayment Event by a Subsidiary that is not the Borrower or a Subsidiary Credit Party giving rise to a prepayment pursuant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 (a “</w:t>
      </w:r>
      <w:r>
        <w:rPr>
          <w:rFonts w:ascii="Times New Roman;sans-serif" w:hAnsi="Times New Roman;sans-serif"/>
          <w:b/>
          <w:color w:val="000000"/>
          <w:sz w:val="22"/>
        </w:rPr>
        <w:t>Non-Credit Party Prepayment Event</w:t>
      </w:r>
      <w:r>
        <w:rPr>
          <w:color w:val="000000"/>
        </w:rPr>
        <w:t>”</w:t>
      </w:r>
      <w:r>
        <w:rPr>
          <w:rFonts w:ascii="Times New Roman;sans-serif" w:hAnsi="Times New Roman;sans-serif"/>
          <w:b w:val="false"/>
          <w:color w:val="000000"/>
          <w:sz w:val="22"/>
        </w:rPr>
        <w:t xml:space="preserve">) or Excess Cash Flow are prohibited or delayed by any Requirements of Law from being repatriated to the Borrower and the Subsidiary Credit Parties, an amount equal to the portion of such Net Cash Proceeds or Excess Cash Flow so affected will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not be required to be applied to repay Loans at the times provided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above, as the case may be, but only so long, as the applicable Requirements of Law will not permit repatriation to the Borrower and the Subsidiary Credit Parties (the Credit Parties hereby agreeing to cause the applicable Subsidiary to promptly take all actions reasonably required by the applicable Requirements of Law to permit repatriation), and once a repatriation of any of such affected Net Cash Proceeds or Excess Cash Flow is permitted under the applicable Requirements of Law, an amount equal to such Net Cash Proceeds or Excess Cash Flow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above, as applicable, and (B) to the extent that the Borrower has determined in good faith that repatriation of any of or all the Net Cash Proceeds of any Non-Credit Party Prepayment Event or Excess Cash Flow would have a material adverse tax consequence to the Borrower or any Subsidiary with respect to such Net Cash Proceeds or Excess Cash Flow, an amount equal to the Net Cash Proceeds or Excess Cash Flow so affected may be retained by the applicable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in the case of this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xml:space="preserve">, on or before the date on which any Net Cash Proceeds from any Non-Credit Party Prepayment Event so retained would otherwise have been required to be applied to reinvestments or prepayments pursuant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or, in the case of Excess Cash Flow, a date on or before the date that is eighteen months after the date an amount equal to such Excess Cash Flow would have so required to be applied to prepayments pursuant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above unless previously actually repatriated in which case such repatriated Excess Cash Flow shall have been promptly applied to the repayment of the Term Loans pursuant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above, (x) the Borrower shall apply an amount equal to such Net Cash Proceeds or Excess Cash Flow to such reinvestments or prepayments as if such Net Cash Proceeds or Excess Cash Flow had been received by the Borrower and the Subsidiary Credit Parties rather than such Subsidiary, less the amount of any taxes that would have been payable or reserved against if such Net Cash Proceeds or Excess Cash Flow had been repatriated (or, if less, the Net Cash Proceeds or Excess Cash Flow that would be calculated if received by such Foreign Subsidiary) or (y) such Net Cash Proceeds or Excess Cash Flow shall be applied to the repayment of Indebtedness of a Subsidiary that is not a Credit Party. For the avoidance of doubt, nothing in this Agreement, including </w:t>
      </w:r>
      <w:r>
        <w:rPr>
          <w:rFonts w:ascii="Times New Roman;sans-serif" w:hAnsi="Times New Roman;sans-serif"/>
          <w:b w:val="false"/>
          <w:color w:val="000000"/>
          <w:sz w:val="22"/>
          <w:u w:val="single"/>
        </w:rPr>
        <w:t>Section 5</w:t>
      </w:r>
      <w:r>
        <w:rPr>
          <w:color w:val="000000"/>
        </w:rPr>
        <w:t xml:space="preserve"> </w:t>
      </w:r>
      <w:r>
        <w:rPr>
          <w:rFonts w:ascii="Times New Roman;sans-serif" w:hAnsi="Times New Roman;sans-serif"/>
          <w:b w:val="false"/>
          <w:color w:val="000000"/>
          <w:sz w:val="22"/>
        </w:rPr>
        <w:t>shall be construed to require any Subsidiary to repatriate cash.</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Application to Repayment Amounts</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5.2(f)</w:t>
      </w:r>
      <w:r>
        <w:rPr>
          <w:rFonts w:ascii="Times New Roman;sans-serif" w:hAnsi="Times New Roman;sans-serif"/>
          <w:b w:val="false"/>
          <w:color w:val="000000"/>
          <w:sz w:val="22"/>
        </w:rPr>
        <w:t xml:space="preserve">, each prepayment of Term Loans required by </w:t>
      </w:r>
      <w:r>
        <w:rPr>
          <w:rFonts w:ascii="Times New Roman;sans-serif" w:hAnsi="Times New Roman;sans-serif"/>
          <w:b w:val="false"/>
          <w:color w:val="000000"/>
          <w:sz w:val="22"/>
          <w:u w:val="single"/>
        </w:rPr>
        <w:t>Section 5.2(a)(i)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shall be allocated pro rata among the Initial Term Loans, the New Term Loans and the Extended Term Loans based on the applicable remaining Repayment Amounts due thereunder and shall be applied within each Class of Term Loans in respect of such Term Loans in direct order of maturity thereof or as otherwise directed by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if any Class of Extended Term Loans have been established hereunder, the Borrower may allocate such prepayment in its sole discretion to the Term Loans of the Existing Term Loan Class, if any, from which such Extended Term Loans were converted (except, as to Term Loans made pursuant to a Joinder Agreement, as otherwise set forth in such Joinder Agreement, or as to a Replacement Term Loan). Subject to </w:t>
      </w:r>
      <w:r>
        <w:rPr>
          <w:rFonts w:ascii="Times New Roman;sans-serif" w:hAnsi="Times New Roman;sans-serif"/>
          <w:b w:val="false"/>
          <w:color w:val="000000"/>
          <w:sz w:val="22"/>
          <w:u w:val="single"/>
        </w:rPr>
        <w:t>Section 5.2(f)</w:t>
      </w:r>
      <w:r>
        <w:rPr>
          <w:rFonts w:ascii="Times New Roman;sans-serif" w:hAnsi="Times New Roman;sans-serif"/>
          <w:b w:val="false"/>
          <w:color w:val="000000"/>
          <w:sz w:val="22"/>
        </w:rPr>
        <w:t xml:space="preserve">, with respect to each such prepayment, the Borrower will, not later than the date specified in </w:t>
      </w:r>
      <w:r>
        <w:rPr>
          <w:rFonts w:ascii="Times New Roman;sans-serif" w:hAnsi="Times New Roman;sans-serif"/>
          <w:b w:val="false"/>
          <w:color w:val="000000"/>
          <w:sz w:val="22"/>
          <w:u w:val="single"/>
        </w:rPr>
        <w:t>Section 5.2(a)</w:t>
      </w:r>
      <w:r>
        <w:rPr>
          <w:color w:val="000000"/>
        </w:rPr>
        <w:t xml:space="preserve"> </w:t>
      </w:r>
      <w:r>
        <w:rPr>
          <w:rFonts w:ascii="Times New Roman;sans-serif" w:hAnsi="Times New Roman;sans-serif"/>
          <w:b w:val="false"/>
          <w:color w:val="000000"/>
          <w:sz w:val="22"/>
        </w:rPr>
        <w:t>for making such prepayment, give the Administrative Agent written notice which shall include a calculation of the amount of such prepayment to be applied to each Class of Term Loans requesting that the Administrative Agent provide notice of such prepayment to each Initial Term Loan Lender, New Term Loan Lender or Lender of Extended Term Loans, as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u w:val="single"/>
        </w:rPr>
        <w:t>Application to Term Loans</w:t>
      </w:r>
      <w:r>
        <w:rPr>
          <w:rFonts w:ascii="Times New Roman;sans-serif" w:hAnsi="Times New Roman;sans-serif"/>
          <w:b w:val="false"/>
          <w:color w:val="000000"/>
          <w:sz w:val="22"/>
        </w:rPr>
        <w:t xml:space="preserve">. With respect to each prepayment of Term Loans required by </w:t>
      </w:r>
      <w:r>
        <w:rPr>
          <w:rFonts w:ascii="Times New Roman;sans-serif" w:hAnsi="Times New Roman;sans-serif"/>
          <w:b w:val="false"/>
          <w:color w:val="000000"/>
          <w:sz w:val="22"/>
          <w:u w:val="single"/>
        </w:rPr>
        <w:t>Section 5.2(a)</w:t>
      </w:r>
      <w:r>
        <w:rPr>
          <w:rFonts w:ascii="Times New Roman;sans-serif" w:hAnsi="Times New Roman;sans-serif"/>
          <w:b w:val="false"/>
          <w:color w:val="000000"/>
          <w:sz w:val="22"/>
        </w:rPr>
        <w:t xml:space="preserve">, the Borrower may, if applicable, designate the Types of Loans that are to be prepaid and the specific Borrowing(s) pursuant to which made;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if any Lender has provided a Rejection Notice in compliance with </w:t>
      </w:r>
      <w:r>
        <w:rPr>
          <w:rFonts w:ascii="Times New Roman;sans-serif" w:hAnsi="Times New Roman;sans-serif"/>
          <w:b w:val="false"/>
          <w:color w:val="000000"/>
          <w:sz w:val="22"/>
          <w:u w:val="single"/>
        </w:rPr>
        <w:t>Section 5.2(f)</w:t>
      </w:r>
      <w:r>
        <w:rPr>
          <w:rFonts w:ascii="Times New Roman;sans-serif" w:hAnsi="Times New Roman;sans-serif"/>
          <w:b w:val="false"/>
          <w:color w:val="000000"/>
          <w:sz w:val="22"/>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u w:val="single"/>
        </w:rPr>
        <w:t>Rejection Right</w:t>
      </w:r>
      <w:r>
        <w:rPr>
          <w:rFonts w:ascii="Times New Roman;sans-serif" w:hAnsi="Times New Roman;sans-serif"/>
          <w:b w:val="false"/>
          <w:color w:val="000000"/>
          <w:sz w:val="22"/>
        </w:rPr>
        <w:t xml:space="preserve">. The Borrower shall notify the Administrative Agent in writing of any mandatory prepayment of Term Loans required to be made pursuant to </w:t>
      </w:r>
      <w:r>
        <w:rPr>
          <w:rFonts w:ascii="Times New Roman;sans-serif" w:hAnsi="Times New Roman;sans-serif"/>
          <w:b w:val="false"/>
          <w:color w:val="000000"/>
          <w:sz w:val="22"/>
          <w:u w:val="single"/>
        </w:rPr>
        <w:t>Section 5.2(a)</w:t>
      </w:r>
      <w:r>
        <w:rPr>
          <w:color w:val="000000"/>
        </w:rPr>
        <w:t xml:space="preserve"> </w:t>
      </w:r>
      <w:r>
        <w:rPr>
          <w:rFonts w:ascii="Times New Roman;sans-serif" w:hAnsi="Times New Roman;sans-serif"/>
          <w:b w:val="false"/>
          <w:color w:val="000000"/>
          <w:sz w:val="22"/>
        </w:rPr>
        <w:t>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w:t>
      </w:r>
      <w:r>
        <w:rPr>
          <w:color w:val="000000"/>
        </w:rPr>
        <w:t xml:space="preserve"> </w:t>
      </w:r>
      <w:r>
        <w:rPr>
          <w:rFonts w:ascii="Times New Roman;sans-serif" w:hAnsi="Times New Roman;sans-serif"/>
          <w:b w:val="false"/>
          <w:color w:val="000000"/>
          <w:sz w:val="22"/>
        </w:rPr>
        <w:t xml:space="preserve">share of any mandatory prepayment other than any such mandatory prepayment with respect to a Debt Incurrence Prepayment Event under </w:t>
      </w:r>
      <w:r>
        <w:rPr>
          <w:rFonts w:ascii="Times New Roman;sans-serif" w:hAnsi="Times New Roman;sans-serif"/>
          <w:b w:val="false"/>
          <w:color w:val="000000"/>
          <w:sz w:val="22"/>
          <w:u w:val="single"/>
        </w:rPr>
        <w:t>Section 5.2(a)(i)</w:t>
      </w:r>
      <w:r>
        <w:rPr>
          <w:color w:val="000000"/>
        </w:rPr>
        <w:t xml:space="preserve"> </w:t>
      </w:r>
      <w:r>
        <w:rPr>
          <w:rFonts w:ascii="Times New Roman;sans-serif" w:hAnsi="Times New Roman;sans-serif"/>
          <w:b w:val="false"/>
          <w:color w:val="000000"/>
          <w:sz w:val="22"/>
        </w:rPr>
        <w:t xml:space="preserve">or Permitted Other Indebtedness under </w:t>
      </w:r>
      <w:r>
        <w:rPr>
          <w:rFonts w:ascii="Times New Roman;sans-serif" w:hAnsi="Times New Roman;sans-serif"/>
          <w:b w:val="false"/>
          <w:color w:val="000000"/>
          <w:sz w:val="22"/>
          <w:u w:val="single"/>
        </w:rPr>
        <w:t>Section 5.2(a)(iii)</w:t>
      </w:r>
      <w:r>
        <w:rPr>
          <w:color w:val="000000"/>
        </w:rPr>
        <w:t xml:space="preserve"> </w:t>
      </w:r>
      <w:r>
        <w:rPr>
          <w:rFonts w:ascii="Times New Roman;sans-serif" w:hAnsi="Times New Roman;sans-serif"/>
          <w:b w:val="false"/>
          <w:color w:val="000000"/>
          <w:sz w:val="22"/>
        </w:rPr>
        <w:t>(such declined amounts, the “</w:t>
      </w:r>
      <w:r>
        <w:rPr>
          <w:rFonts w:ascii="Times New Roman;sans-serif" w:hAnsi="Times New Roman;sans-serif"/>
          <w:b/>
          <w:color w:val="000000"/>
          <w:sz w:val="22"/>
        </w:rPr>
        <w:t>Declined Proceeds</w:t>
      </w:r>
      <w:r>
        <w:rPr>
          <w:color w:val="000000"/>
        </w:rPr>
        <w:t>”</w:t>
      </w:r>
      <w:r>
        <w:rPr>
          <w:rFonts w:ascii="Times New Roman;sans-serif" w:hAnsi="Times New Roman;sans-serif"/>
          <w:b w:val="false"/>
          <w:color w:val="000000"/>
          <w:sz w:val="22"/>
        </w:rPr>
        <w:t xml:space="preserve">) of Term Loans required to be made pursuant to </w:t>
      </w:r>
      <w:r>
        <w:rPr>
          <w:rFonts w:ascii="Times New Roman;sans-serif" w:hAnsi="Times New Roman;sans-serif"/>
          <w:b w:val="false"/>
          <w:color w:val="000000"/>
          <w:sz w:val="22"/>
          <w:u w:val="single"/>
        </w:rPr>
        <w:t>Section 5.2(a)</w:t>
      </w:r>
      <w:r>
        <w:rPr>
          <w:color w:val="000000"/>
        </w:rPr>
        <w:t xml:space="preserve"> </w:t>
      </w:r>
      <w:r>
        <w:rPr>
          <w:rFonts w:ascii="Times New Roman;sans-serif" w:hAnsi="Times New Roman;sans-serif"/>
          <w:b w:val="false"/>
          <w:color w:val="000000"/>
          <w:sz w:val="22"/>
        </w:rPr>
        <w:t>by providing written notice (each, a “</w:t>
      </w:r>
      <w:r>
        <w:rPr>
          <w:rFonts w:ascii="Times New Roman;sans-serif" w:hAnsi="Times New Roman;sans-serif"/>
          <w:b/>
          <w:color w:val="000000"/>
          <w:sz w:val="22"/>
        </w:rPr>
        <w:t>Rejection Notice</w:t>
      </w:r>
      <w:r>
        <w:rPr>
          <w:color w:val="000000"/>
        </w:rPr>
        <w:t>”</w:t>
      </w:r>
      <w:r>
        <w:rPr>
          <w:rFonts w:ascii="Times New Roman;sans-serif" w:hAnsi="Times New Roman;sans-serif"/>
          <w:b w:val="false"/>
          <w:color w:val="000000"/>
          <w:sz w:val="22"/>
        </w:rPr>
        <w:t>) to the Administrative 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shall be retained by the Borrower (“</w:t>
      </w:r>
      <w:r>
        <w:rPr>
          <w:rFonts w:ascii="Times New Roman;sans-serif" w:hAnsi="Times New Roman;sans-serif"/>
          <w:b/>
          <w:color w:val="000000"/>
          <w:sz w:val="22"/>
        </w:rPr>
        <w:t>Retained Declined Proceeds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5.3    </w:t>
      </w:r>
      <w:r>
        <w:rPr>
          <w:rFonts w:ascii="Times New Roman;sans-serif" w:hAnsi="Times New Roman;sans-serif"/>
          <w:b w:val="false"/>
          <w:color w:val="000000"/>
          <w:sz w:val="22"/>
          <w:u w:val="single"/>
        </w:rPr>
        <w:t>Method and Place of Payment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Except as otherwise specifically provided herein, all payments under this Agreement shall be made by the Borrower, without set-off, counterclaim or deduction of any kind, to the Administrative Agent for the ratable account of the Lenders entitled thereto, as the case may be, not later than 12:00 noon (New York City time)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unless otherwise specified in such Credit Document, be made in Dollars. The Administrative Agent will thereafter cause to be distributed on the same day (if payment was actually received by the Administrative Agent prior to 12:00 noon (New York City time) or, otherwise, on the next Business Day in the Administrative Agent’s sole discretion) like funds relating to the payment of principal or interest or Fees ratably to the Lenders entitled thereto.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Any payments under this Agreement that are made later than 12:00 noon (New York City time) may be deemed to have been made on the next succeeding Business Day in the Administrative Agent’s sole discretion for purposes of calculating interest thereon.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5.4    </w:t>
      </w:r>
      <w:r>
        <w:rPr>
          <w:rFonts w:ascii="Times New Roman;sans-serif" w:hAnsi="Times New Roman;sans-serif"/>
          <w:b w:val="false"/>
          <w:color w:val="000000"/>
          <w:sz w:val="22"/>
          <w:u w:val="single"/>
        </w:rPr>
        <w:t>Net Payments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Payments Free of Taxes; Obligation to Withhold; Payments on Account of Taxes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Any and all payments by or on account of any obligation of any Credit Party hereunder or under any other Credit Document shall to the extent permitted by applicable laws be made free and clear of and without reduction or withholding for any Taxes.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If any applicable Withholding Agent shall be required by applicable law to withhold or deduct any Taxes from any payment under any Credit Document, then (A) such Withholding Agent shall withhold or make such deductions as are reasonably determined by such Withholding Agent to be required by applicable law, (B) such Withholding Agent shall timely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Times New Roman;sans-serif" w:hAnsi="Times New Roman;sans-serif"/>
          <w:b w:val="false"/>
          <w:color w:val="000000"/>
          <w:sz w:val="22"/>
          <w:u w:val="single"/>
        </w:rPr>
        <w:t>Section 5.4</w:t>
      </w:r>
      <w:r>
        <w:rPr>
          <w:rFonts w:ascii="Times New Roman;sans-serif" w:hAnsi="Times New Roman;sans-serif"/>
          <w:b w:val="false"/>
          <w:color w:val="000000"/>
          <w:sz w:val="22"/>
        </w:rPr>
        <w:t>) each Lender (or, in the case of a payment to the Administrative Agent for its own account, the Administrative Agent) receives an amount equal to the sum it would have received had no such withholding or deductions been made.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Payment of Other Taxes by the Borrower</w:t>
      </w:r>
      <w:r>
        <w:rPr>
          <w:rFonts w:ascii="Times New Roman;sans-serif" w:hAnsi="Times New Roman;sans-serif"/>
          <w:b w:val="false"/>
          <w:color w:val="000000"/>
          <w:sz w:val="22"/>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Tax Indemnifications</w:t>
      </w:r>
      <w:r>
        <w:rPr>
          <w:rFonts w:ascii="Times New Roman;sans-serif" w:hAnsi="Times New Roman;sans-serif"/>
          <w:b w:val="false"/>
          <w:color w:val="000000"/>
          <w:sz w:val="22"/>
        </w:rPr>
        <w:t xml:space="preserve">. Without limiting the provisions of subsection (a) or (b) above, the Borrower shall indemnify the Administrative Agent and each Lender, and shall make payment in respect thereof within 15 days after receipt of written demand therefor, for the full amount of Indemnified Taxes or Other Taxes (including Indemnified Taxes or Other Taxes imposed or asserted on or attributable to amounts payable under this </w:t>
      </w:r>
      <w:r>
        <w:rPr>
          <w:rFonts w:ascii="Times New Roman;sans-serif" w:hAnsi="Times New Roman;sans-serif"/>
          <w:b w:val="false"/>
          <w:color w:val="000000"/>
          <w:sz w:val="22"/>
          <w:u w:val="single"/>
        </w:rPr>
        <w:t>Section 5.4</w:t>
      </w:r>
      <w:r>
        <w:rPr>
          <w:rFonts w:ascii="Times New Roman;sans-serif" w:hAnsi="Times New Roman;sans-serif"/>
          <w:b w:val="false"/>
          <w:color w:val="000000"/>
          <w:sz w:val="22"/>
        </w:rPr>
        <w:t xml:space="preserve">) payable or paid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 Any resulting refund shall be governed by </w:t>
      </w:r>
      <w:r>
        <w:rPr>
          <w:rFonts w:ascii="Times New Roman;sans-serif" w:hAnsi="Times New Roman;sans-serif"/>
          <w:b w:val="false"/>
          <w:color w:val="000000"/>
          <w:sz w:val="22"/>
          <w:u w:val="single"/>
        </w:rPr>
        <w:t>Section 5.4(f)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After any payment of Taxes by any Credit Party or the Administrative Agent to a Governmental Authority as provided in this </w:t>
      </w:r>
      <w:r>
        <w:rPr>
          <w:rFonts w:ascii="Times New Roman;sans-serif" w:hAnsi="Times New Roman;sans-serif"/>
          <w:b w:val="false"/>
          <w:color w:val="000000"/>
          <w:sz w:val="22"/>
          <w:u w:val="single"/>
        </w:rPr>
        <w:t>Section 5.4</w:t>
      </w:r>
      <w:r>
        <w:rPr>
          <w:rFonts w:ascii="Times New Roman;sans-serif" w:hAnsi="Times New Roman;sans-serif"/>
          <w:b w:val="false"/>
          <w:color w:val="000000"/>
          <w:sz w:val="22"/>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u w:val="single"/>
        </w:rPr>
        <w:t>Status of Lenders and Tax Documentation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or to enable to the Borrower or the Administrative Agent to comply with any withholding or information reporting requirements. Any documentation and information required to be delivered by a Lender pursuant to this </w:t>
      </w:r>
      <w:r>
        <w:rPr>
          <w:rFonts w:ascii="Times New Roman;sans-serif" w:hAnsi="Times New Roman;sans-serif"/>
          <w:b w:val="false"/>
          <w:color w:val="000000"/>
          <w:sz w:val="22"/>
          <w:u w:val="single"/>
        </w:rPr>
        <w:t>Section 5.4(e)</w:t>
      </w:r>
      <w:r>
        <w:rPr>
          <w:color w:val="000000"/>
        </w:rPr>
        <w:t xml:space="preserve"> </w:t>
      </w:r>
      <w:r>
        <w:rPr>
          <w:rFonts w:ascii="Times New Roman;sans-serif" w:hAnsi="Times New Roman;sans-serif"/>
          <w:b w:val="false"/>
          <w:color w:val="000000"/>
          <w:sz w:val="22"/>
        </w:rPr>
        <w:t xml:space="preserve">(including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promptly after the occurrence of any change in the Lender’s circumstances requiring a change in the most recent documentation previously delivered by it to the Borrower and the Administrative Agent,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 Each Lender hereby authorizes the Administrative Agent to deliver to the Borrower and to any successor Administrative Agent any documentation provided to the Administrative Agent pursuant to this </w:t>
      </w:r>
      <w:r>
        <w:rPr>
          <w:rFonts w:ascii="Times New Roman;sans-serif" w:hAnsi="Times New Roman;sans-serif"/>
          <w:b w:val="false"/>
          <w:color w:val="000000"/>
          <w:sz w:val="22"/>
          <w:u w:val="single"/>
        </w:rPr>
        <w:t>Section 5.4(e)</w:t>
      </w:r>
      <w:r>
        <w:rPr>
          <w:rFonts w:ascii="Times New Roman;sans-serif" w:hAnsi="Times New Roman;sans-serif"/>
          <w:b w:val="false"/>
          <w:color w:val="000000"/>
          <w:sz w:val="22"/>
        </w:rPr>
        <w:t xml:space="preserve">. Notwithstanding anything to the contrary in the preceding three sentences, the completion, execution and submission of such documentation (other than such documentation set forth in </w:t>
      </w:r>
      <w:r>
        <w:rPr>
          <w:rFonts w:ascii="Times New Roman;sans-serif" w:hAnsi="Times New Roman;sans-serif"/>
          <w:b w:val="false"/>
          <w:color w:val="000000"/>
          <w:sz w:val="22"/>
          <w:u w:val="single"/>
        </w:rPr>
        <w:t>paragraphs (e)(ii)(A)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(ii)(B)(1)</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(ii)(B)(4)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(ii)(D)</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5.4(e)</w:t>
      </w:r>
      <w:r>
        <w:rPr>
          <w:rFonts w:ascii="Times New Roman;sans-serif" w:hAnsi="Times New Roman;sans-serif"/>
          <w:b w:val="false"/>
          <w:color w:val="000000"/>
          <w:sz w:val="22"/>
        </w:rPr>
        <w:t>)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Without limiting the generality of the foregoing:</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any Lender that is a “United States person” within the meaning of Section 7701(a)(30) of the Code (a “</w:t>
      </w:r>
      <w:r>
        <w:rPr>
          <w:rFonts w:ascii="Times New Roman;sans-serif" w:hAnsi="Times New Roman;sans-serif"/>
          <w:b/>
          <w:color w:val="000000"/>
          <w:sz w:val="22"/>
        </w:rPr>
        <w:t>U.S. Lender</w:t>
      </w:r>
      <w:r>
        <w:rPr>
          <w:color w:val="000000"/>
        </w:rPr>
        <w:t>”</w:t>
      </w:r>
      <w:r>
        <w:rPr>
          <w:rFonts w:ascii="Times New Roman;sans-serif" w:hAnsi="Times New Roman;sans-serif"/>
          <w:b w:val="false"/>
          <w:color w:val="000000"/>
          <w:sz w:val="22"/>
        </w:rPr>
        <w:t>) shall deliver to the Borrower and the Administrative Agent on or before the date on which it becomes a party to this Agreement (and from time to time thereafter upon the reasonable request of the Borrower or the Administrative Agent) two executed copies of Internal Revenue Service Form W-9 certifying that such Lender is exempt from U.S. federal backup withholding and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each Non-U.S. Lender shall deliver to the Borrower and the Administrative Agent on or before the date on which it becomes a party to this Agreement (and from time to time thereafter upon the reasonable request of the Borrower or the Administrative Agent) two copies of whichever of the following is applicable:</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(1)    </w:t>
      </w:r>
      <w:r>
        <w:rPr>
          <w:rFonts w:ascii="Times New Roman;sans-serif" w:hAnsi="Times New Roman;sans-serif"/>
          <w:b w:val="false"/>
          <w:color w:val="000000"/>
          <w:sz w:val="22"/>
        </w:rPr>
        <w:t>executed copies of Internal Revenue Service Form W-8BEN or Form W-8BEN-E (or any applicable successor form) claiming eligibility for benefits of an income tax treaty to which the United States is a party;</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(2)    </w:t>
      </w:r>
      <w:r>
        <w:rPr>
          <w:rFonts w:ascii="Times New Roman;sans-serif" w:hAnsi="Times New Roman;sans-serif"/>
          <w:b w:val="false"/>
          <w:color w:val="000000"/>
          <w:sz w:val="22"/>
        </w:rPr>
        <w:t>executed copies of Internal Revenue Service Form W-8ECI (or any successor form thereto);</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(3)    </w:t>
      </w:r>
      <w:r>
        <w:rPr>
          <w:rFonts w:ascii="Times New Roman;sans-serif" w:hAnsi="Times New Roman;sans-serif"/>
          <w:b w:val="false"/>
          <w:color w:val="000000"/>
          <w:sz w:val="22"/>
        </w:rPr>
        <w:t xml:space="preserve">in the case of a Non-U.S. Lender claiming the benefits of the exemption for portfolio interest under Section 881(c) of the Code, (x) a certificate, substantially in the form of </w:t>
      </w:r>
      <w:r>
        <w:rPr>
          <w:rFonts w:ascii="Times New Roman;sans-serif" w:hAnsi="Times New Roman;sans-serif"/>
          <w:b w:val="false"/>
          <w:color w:val="000000"/>
          <w:sz w:val="22"/>
          <w:u w:val="single"/>
        </w:rPr>
        <w:t>Exhibit J-1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J-2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J-3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J-4</w:t>
      </w:r>
      <w:r>
        <w:rPr>
          <w:rFonts w:ascii="Times New Roman;sans-serif" w:hAnsi="Times New Roman;sans-serif"/>
          <w:b w:val="false"/>
          <w:color w:val="000000"/>
          <w:sz w:val="22"/>
        </w:rPr>
        <w:t>, as applicable, (a “</w:t>
      </w:r>
      <w:r>
        <w:rPr>
          <w:rFonts w:ascii="Times New Roman;sans-serif" w:hAnsi="Times New Roman;sans-serif"/>
          <w:b/>
          <w:color w:val="000000"/>
          <w:sz w:val="22"/>
        </w:rPr>
        <w:t>Non-Bank Tax Certificate</w:t>
      </w:r>
      <w:r>
        <w:rPr>
          <w:color w:val="000000"/>
        </w:rPr>
        <w:t>”</w:t>
      </w:r>
      <w:r>
        <w:rPr>
          <w:rFonts w:ascii="Times New Roman;sans-serif" w:hAnsi="Times New Roman;sans-serif"/>
          <w:b w:val="false"/>
          <w:color w:val="000000"/>
          <w:sz w:val="22"/>
        </w:rPr>
        <w:t>), to the effect that such Non-U.S. Lender is not (A) a “bank” within the meaning of Section 881(c)(3)(A) of the Code, (B) a “10 percent shareholder” of the Borrower within the meaning of Section 881(c)(3)(B) of the Code, or (C) a “controlled foreign corporation” described in Section 881(c)(3)(C) of the Code and that no payments under any Credit Document are effectively connected with such Non-U.S. Lender’s conduct of a United States trade or business and (y) executed copies of Internal Revenue Service Form W-8BEN or Form W-8BEN-E (or any applicable successor form);</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(4)    </w:t>
      </w:r>
      <w:r>
        <w:rPr>
          <w:rFonts w:ascii="Times New Roman;sans-serif" w:hAnsi="Times New Roman;sans-serif"/>
          <w:b w:val="false"/>
          <w:color w:val="000000"/>
          <w:sz w:val="22"/>
        </w:rPr>
        <w:t>where such Non-U.S. Lender is a partnership (for U.S. federal income tax purposes) or otherwise not a beneficial owner (e.g., where such Lender has sold a participation), executed copies of Internal Revenue Service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Times New Roman;sans-serif" w:hAnsi="Times New Roman;sans-serif"/>
          <w:b w:val="false"/>
          <w:color w:val="000000"/>
          <w:sz w:val="22"/>
          <w:u w:val="single"/>
        </w:rPr>
        <w:t>provided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if the Non-U.S. Lender is a partnership and not a participating Lender, the Non-Bank Tax Certificate(s) may be provided by the Non-U.S. Lender on behalf of each direct or indirect partner); or</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(5)    </w:t>
      </w:r>
      <w:r>
        <w:rPr>
          <w:rFonts w:ascii="Times New Roman;sans-serif" w:hAnsi="Times New Roman;sans-serif"/>
          <w:b w:val="false"/>
          <w:color w:val="000000"/>
          <w:sz w:val="22"/>
        </w:rPr>
        <w:t xml:space="preserve">executed copies of any other form prescribed by applicable laws as a basis for claiming exemption from or a reduction in U.S. federal withholding Tax together with such supplementary documentation as may be prescribed by applicable laws to permit the Borrower or the Administrative Agent to determine the withholding or deduction required to be made; </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sans-serif" w:hAnsi="Times New Roman;sans-serif"/>
          <w:b w:val="false"/>
          <w:color w:val="000000"/>
          <w:sz w:val="22"/>
          <w:u w:val="single"/>
        </w:rPr>
        <w:t>clause (C)</w:t>
      </w:r>
      <w:r>
        <w:rPr>
          <w:rFonts w:ascii="Times New Roman;sans-serif" w:hAnsi="Times New Roman;sans-serif"/>
          <w:b w:val="false"/>
          <w:color w:val="000000"/>
          <w:sz w:val="22"/>
        </w:rPr>
        <w:t>, “FATCA” shall include any amendments made to FATCA after the date of this Agreement; and</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If the Administrative Agent is a “United States person” (as defined in Section 7701(a)(30) of the Code), it shall provide the Borrower with two duly completed original copies of Internal Revenue Service Form W-9. If the Administrative Agent is not a “United States person” (as defined in Section 7701(a)(30) of the Code), it shall provide an applicable Form W-8 (together with any required accompanying documentation) with respect to payments to be received by it on behalf of the Lenders.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 xml:space="preserve">Notwithstanding anything to the contrary in this </w:t>
      </w:r>
      <w:r>
        <w:rPr>
          <w:rFonts w:ascii="Times New Roman;sans-serif" w:hAnsi="Times New Roman;sans-serif"/>
          <w:b w:val="false"/>
          <w:color w:val="000000"/>
          <w:sz w:val="22"/>
          <w:u w:val="single"/>
        </w:rPr>
        <w:t>Section 5.4</w:t>
      </w:r>
      <w:r>
        <w:rPr>
          <w:rFonts w:ascii="Times New Roman;sans-serif" w:hAnsi="Times New Roman;sans-serif"/>
          <w:b w:val="false"/>
          <w:color w:val="000000"/>
          <w:sz w:val="22"/>
        </w:rPr>
        <w:t>, no Lender or the Administrative Agent shall be required to deliver any documentation that it is not legally eligible to deliver.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Times New Roman;sans-serif" w:hAnsi="Times New Roman;sans-serif"/>
          <w:b w:val="false"/>
          <w:color w:val="000000"/>
          <w:sz w:val="22"/>
          <w:u w:val="single"/>
        </w:rPr>
        <w:t>Section 5.4</w:t>
      </w:r>
      <w:r>
        <w:rPr>
          <w:rFonts w:ascii="Times New Roman;sans-serif" w:hAnsi="Times New Roman;sans-serif"/>
          <w:b w:val="false"/>
          <w:color w:val="000000"/>
          <w:sz w:val="22"/>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Times New Roman;sans-serif" w:hAnsi="Times New Roman;sans-serif"/>
          <w:b w:val="false"/>
          <w:color w:val="000000"/>
          <w:sz w:val="22"/>
          <w:u w:val="single"/>
        </w:rPr>
        <w:t>Section 5.4</w:t>
      </w:r>
      <w:r>
        <w:rPr>
          <w:color w:val="000000"/>
        </w:rPr>
        <w:t xml:space="preserve"> </w:t>
      </w:r>
      <w:r>
        <w:rPr>
          <w:rFonts w:ascii="Times New Roman;sans-serif" w:hAnsi="Times New Roman;sans-serif"/>
          <w:b w:val="false"/>
          <w:color w:val="000000"/>
          <w:sz w:val="22"/>
        </w:rPr>
        <w:t xml:space="preserve">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Administrative Agent or such Lender may delete any information therein that it reasonably deems confidential). Notwithstanding anything to the contrary in this </w:t>
      </w:r>
      <w:r>
        <w:rPr>
          <w:rFonts w:ascii="Times New Roman;sans-serif" w:hAnsi="Times New Roman;sans-serif"/>
          <w:b w:val="false"/>
          <w:color w:val="000000"/>
          <w:sz w:val="22"/>
          <w:u w:val="single"/>
        </w:rPr>
        <w:t>paragraph (f)</w:t>
      </w:r>
      <w:r>
        <w:rPr>
          <w:rFonts w:ascii="Times New Roman;sans-serif" w:hAnsi="Times New Roman;sans-serif"/>
          <w:b w:val="false"/>
          <w:color w:val="000000"/>
          <w:sz w:val="22"/>
        </w:rPr>
        <w:t xml:space="preserve">, in no event will the Administrative Agent or any Lender be required to pay any amount to the Borrower pursuant to this </w:t>
      </w:r>
      <w:r>
        <w:rPr>
          <w:rFonts w:ascii="Times New Roman;sans-serif" w:hAnsi="Times New Roman;sans-serif"/>
          <w:b w:val="false"/>
          <w:color w:val="000000"/>
          <w:sz w:val="22"/>
          <w:u w:val="single"/>
        </w:rPr>
        <w:t>paragraph (f)</w:t>
      </w:r>
      <w:r>
        <w:rPr>
          <w:color w:val="000000"/>
        </w:rPr>
        <w:t xml:space="preserve"> </w:t>
      </w:r>
      <w:r>
        <w:rPr>
          <w:rFonts w:ascii="Times New Roman;sans-serif" w:hAnsi="Times New Roman;sans-serif"/>
          <w:b w:val="false"/>
          <w:color w:val="000000"/>
          <w:sz w:val="22"/>
        </w:rPr>
        <w:t xml:space="preserve">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never been paid. This </w:t>
      </w:r>
      <w:r>
        <w:rPr>
          <w:rFonts w:ascii="Times New Roman;sans-serif" w:hAnsi="Times New Roman;sans-serif"/>
          <w:b w:val="false"/>
          <w:color w:val="000000"/>
          <w:sz w:val="22"/>
          <w:u w:val="single"/>
        </w:rPr>
        <w:t>paragraph (f)</w:t>
      </w:r>
      <w:r>
        <w:rPr>
          <w:color w:val="000000"/>
        </w:rPr>
        <w:t xml:space="preserve"> </w:t>
      </w:r>
      <w:r>
        <w:rPr>
          <w:rFonts w:ascii="Times New Roman;sans-serif" w:hAnsi="Times New Roman;sans-serif"/>
          <w:b w:val="false"/>
          <w:color w:val="000000"/>
          <w:sz w:val="22"/>
        </w:rPr>
        <w:t>shall not be construed to require the Administrative Agent or any Lender to make available its Tax returns (or any other information relating to its Taxes that it reasonably deems confidential) to any Credit Party or any other Person.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For the avoidance of doubt, for purposes of this </w:t>
      </w:r>
      <w:r>
        <w:rPr>
          <w:rFonts w:ascii="Times New Roman;sans-serif" w:hAnsi="Times New Roman;sans-serif"/>
          <w:b w:val="false"/>
          <w:color w:val="000000"/>
          <w:sz w:val="22"/>
          <w:u w:val="single"/>
        </w:rPr>
        <w:t>Section 5.4</w:t>
      </w:r>
      <w:r>
        <w:rPr>
          <w:rFonts w:ascii="Times New Roman;sans-serif" w:hAnsi="Times New Roman;sans-serif"/>
          <w:b w:val="false"/>
          <w:color w:val="000000"/>
          <w:sz w:val="22"/>
        </w:rPr>
        <w:t>, the term “applicable law” includes FATCA.</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 xml:space="preserve">Each party’s obligations under this </w:t>
      </w:r>
      <w:r>
        <w:rPr>
          <w:rFonts w:ascii="Times New Roman;sans-serif" w:hAnsi="Times New Roman;sans-serif"/>
          <w:b w:val="false"/>
          <w:color w:val="000000"/>
          <w:sz w:val="22"/>
          <w:u w:val="single"/>
        </w:rPr>
        <w:t>Section 5.4</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the termination of the Commitments and the repayment, satisfaction or discharge of all obligations under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5.5    </w:t>
      </w:r>
      <w:r>
        <w:rPr>
          <w:rFonts w:ascii="Times New Roman;sans-serif" w:hAnsi="Times New Roman;sans-serif"/>
          <w:b w:val="false"/>
          <w:color w:val="000000"/>
          <w:sz w:val="22"/>
          <w:u w:val="single"/>
        </w:rPr>
        <w:t>Computations of Interest and Fees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Except as provided in the next succeeding sentence, interest on </w:t>
      </w:r>
      <w:r>
        <w:rPr>
          <w:rFonts w:ascii="Times New Roman;sans-serif" w:hAnsi="Times New Roman;sans-serif"/>
          <w:b/>
          <w:strike/>
          <w:color w:val="FF0000"/>
          <w:sz w:val="22"/>
        </w:rPr>
        <w:t>LIBOR</w:t>
      </w:r>
      <w:r>
        <w:rPr>
          <w:rFonts w:ascii="Times New Roman;sans-serif" w:hAnsi="Times New Roman;sans-serif"/>
          <w:b/>
          <w:color w:val="0000FF"/>
          <w:sz w:val="22"/>
          <w:u w:val="single"/>
        </w:rPr>
        <w:t>SOFR</w:t>
      </w:r>
      <w:r>
        <w:rPr>
          <w:color w:val="000000"/>
        </w:rPr>
        <w:t xml:space="preserve"> </w:t>
      </w:r>
      <w:r>
        <w:rPr>
          <w:rFonts w:ascii="Times New Roman;sans-serif" w:hAnsi="Times New Roman;sans-serif"/>
          <w:b w:val="false"/>
          <w:color w:val="000000"/>
          <w:sz w:val="22"/>
        </w:rPr>
        <w:t>Loans shall be calculated on the basis of a 360-day year for the actual days elapsed. Interest on ABR Loans shall be calculated on the basis of a 365- (or 366-, as the case may be) day year for the actual days elapsed.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Fees shall be calculated on the basis of a 360-day year for the actual days elapsed.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5.6    </w:t>
      </w:r>
      <w:r>
        <w:rPr>
          <w:rFonts w:ascii="Times New Roman;sans-serif" w:hAnsi="Times New Roman;sans-serif"/>
          <w:b w:val="false"/>
          <w:color w:val="000000"/>
          <w:sz w:val="22"/>
          <w:u w:val="single"/>
        </w:rPr>
        <w:t>Limit on Rate of Interest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No Payment Shall Exceed Lawful Rate</w:t>
      </w:r>
      <w:r>
        <w:rPr>
          <w:rFonts w:ascii="Times New Roman;sans-serif" w:hAnsi="Times New Roman;sans-serif"/>
          <w:b w:val="false"/>
          <w:color w:val="000000"/>
          <w:sz w:val="22"/>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Payment at Highest Lawful Rate</w:t>
      </w:r>
      <w:r>
        <w:rPr>
          <w:rFonts w:ascii="Times New Roman;sans-serif" w:hAnsi="Times New Roman;sans-serif"/>
          <w:b w:val="false"/>
          <w:color w:val="000000"/>
          <w:sz w:val="22"/>
        </w:rPr>
        <w:t xml:space="preserve">. If the Borrower is not obliged to make a payment that it would otherwise be required to make, as a result of </w:t>
      </w:r>
      <w:r>
        <w:rPr>
          <w:rFonts w:ascii="Times New Roman;sans-serif" w:hAnsi="Times New Roman;sans-serif"/>
          <w:b w:val="false"/>
          <w:color w:val="000000"/>
          <w:sz w:val="22"/>
          <w:u w:val="single"/>
        </w:rPr>
        <w:t>Section 5.6(a)</w:t>
      </w:r>
      <w:r>
        <w:rPr>
          <w:rFonts w:ascii="Times New Roman;sans-serif" w:hAnsi="Times New Roman;sans-serif"/>
          <w:b w:val="false"/>
          <w:color w:val="000000"/>
          <w:sz w:val="22"/>
        </w:rPr>
        <w:t>, the Borrower shall make such payment to the maximum extent permitted by or consistent with applicable laws, rules, and regulations.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Adjustment if Any Payment Exceeds Lawful Rate</w:t>
      </w:r>
      <w:r>
        <w:rPr>
          <w:rFonts w:ascii="Times New Roman;sans-serif" w:hAnsi="Times New Roman;sans-serif"/>
          <w:b w:val="false"/>
          <w:color w:val="000000"/>
          <w:sz w:val="22"/>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6.    </w:t>
      </w:r>
      <w:r>
        <w:rPr>
          <w:rFonts w:ascii="Times New Roman;sans-serif" w:hAnsi="Times New Roman;sans-serif"/>
          <w:b w:val="false"/>
          <w:color w:val="000000"/>
          <w:sz w:val="22"/>
        </w:rPr>
        <w:t>Conditions Precedent to Initial Borrowing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initial Borrowing under the Existing Restated Credit Agreement was subject to the satisfaction of the following conditions precedent, except as otherwise agreed between the Borrower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and each defined term in this Section 6 shall have its respective meaning provided in the Existing Restated Credit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6.1    </w:t>
      </w:r>
      <w:r>
        <w:rPr>
          <w:rFonts w:ascii="Times New Roman;sans-serif" w:hAnsi="Times New Roman;sans-serif"/>
          <w:b w:val="false"/>
          <w:color w:val="000000"/>
          <w:sz w:val="22"/>
          <w:u w:val="single"/>
        </w:rPr>
        <w:t>Credit Documents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(or its counsel) shall have received: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Amendment No. 3, executed and delivered by a duly Authorized Officer of the Borrower, the Guarantors, and each Lender with an Initial Term Loan Commitment.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this Agreement, executed and delivered by a duly Authorized Officer of the Borrower, Holdings and the Texas Intermediate Holdcos;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Guarantees, executed and delivered by a duly Authorized Officer of each of the respective Guarantors;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the Pledge Agreement, executed and delivered by a duly Authorized Officer of Holdings, the Borrower and each Guarantor;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the Security Agreement, executed and delivered by a duly Authorized Officer of the Borrower and each Subsidiary Guarantor;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the ABL Intercreditor Agreement, executed and delivered by a duly Authorized Officer of each of the ABL Administrative Agent, the Administrative Agent and the Collateral Agent; and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the Resignation and Appointment Agreement, executed and delivered by Borrower, Holdings, the Texas Intermediate Holdcos, the Existing Administrative Agent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6.2    </w:t>
      </w:r>
      <w:r>
        <w:rPr>
          <w:rFonts w:ascii="Times New Roman;sans-serif" w:hAnsi="Times New Roman;sans-serif"/>
          <w:b w:val="false"/>
          <w:color w:val="000000"/>
          <w:sz w:val="22"/>
          <w:u w:val="single"/>
        </w:rPr>
        <w:t>Collateral</w:t>
      </w:r>
      <w:r>
        <w:rPr>
          <w:rFonts w:ascii="Times New Roman;sans-serif" w:hAnsi="Times New Roman;sans-serif"/>
          <w:b w:val="false"/>
          <w:color w:val="000000"/>
          <w:sz w:val="22"/>
        </w:rPr>
        <w:t xml:space="preserve">. Except for any items referred to on </w:t>
      </w:r>
      <w:r>
        <w:rPr>
          <w:rFonts w:ascii="Times New Roman;sans-serif" w:hAnsi="Times New Roman;sans-serif"/>
          <w:b w:val="false"/>
          <w:color w:val="000000"/>
          <w:sz w:val="22"/>
          <w:u w:val="single"/>
        </w:rPr>
        <w:t>Schedule 9.14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All outstanding equity interests in whatever form of each Restricted Subsidiary that is directly owned by or on behalf of any Credit Party and required to be pledged pursuant to the Security Documents shall have been pledged pursuant thereto;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Collateral Agent shall have received the certificates representing securities of each Credit Party’s Wholly Owned Restricted Subsidiaries and all promissory notes evidencing Indebtedness that is owing to the Borrower or any other Credit Party, in each case, to the extent required to be delivered under the Security Documents and pledged under the Security Documents to the extent certificated, accompanied by instruments of transfer and undated stock powers or allonges endorsed in blank;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All Uniform Commercial Code financing statements and intellectual property security agreements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Evidence that all other actions, recordings and filings required by the Security Documents shall have been taken, completed or otherwise provided for thereunder and as provided for therein.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6.3    </w:t>
      </w:r>
      <w:r>
        <w:rPr>
          <w:rFonts w:ascii="Times New Roman;sans-serif" w:hAnsi="Times New Roman;sans-serif"/>
          <w:b w:val="false"/>
          <w:color w:val="000000"/>
          <w:sz w:val="22"/>
          <w:u w:val="single"/>
        </w:rPr>
        <w:t>Legal Opinions</w:t>
      </w:r>
      <w:r>
        <w:rPr>
          <w:rFonts w:ascii="Times New Roman;sans-serif" w:hAnsi="Times New Roman;sans-serif"/>
          <w:b w:val="false"/>
          <w:color w:val="000000"/>
          <w:sz w:val="22"/>
        </w:rPr>
        <w:t>. The Administrative Agent (or its counsel) shall have received the executed legal opinion, in customary form, of Simpson Thacher &amp; Bartlett LLP, special New York counsel to the Credit Parties. The Borrower hereby instructs and agrees to instruct the other Credit Parties to have such counsel deliver such legal opinions.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6.4    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6.5    </w:t>
      </w:r>
      <w:r>
        <w:rPr>
          <w:rFonts w:ascii="Times New Roman;sans-serif" w:hAnsi="Times New Roman;sans-serif"/>
          <w:b w:val="false"/>
          <w:color w:val="000000"/>
          <w:sz w:val="22"/>
          <w:u w:val="single"/>
        </w:rPr>
        <w:t>Closing Certificates</w:t>
      </w:r>
      <w:r>
        <w:rPr>
          <w:rFonts w:ascii="Times New Roman;sans-serif" w:hAnsi="Times New Roman;sans-serif"/>
          <w:b w:val="false"/>
          <w:color w:val="000000"/>
          <w:sz w:val="22"/>
        </w:rPr>
        <w:t xml:space="preserve">. The Administrative Agent (or its counsel) shall have received a certificate of each of Holdings, the Borrower and the other Guarantors, dated the Restatement Effective Date, substantially in the form of </w:t>
      </w:r>
      <w:r>
        <w:rPr>
          <w:rFonts w:ascii="Times New Roman;sans-serif" w:hAnsi="Times New Roman;sans-serif"/>
          <w:b w:val="false"/>
          <w:color w:val="000000"/>
          <w:sz w:val="22"/>
          <w:u w:val="single"/>
        </w:rPr>
        <w:t>Exhibit E</w:t>
      </w:r>
      <w:r>
        <w:rPr>
          <w:rFonts w:ascii="Times New Roman;sans-serif" w:hAnsi="Times New Roman;sans-serif"/>
          <w:b w:val="false"/>
          <w:color w:val="000000"/>
          <w:sz w:val="22"/>
        </w:rPr>
        <w:t xml:space="preserve">, with appropriate insertions, executed by any Authorized Officer and the Secretary or any Assistant Secretary of Holdings, the Borrower and each other Guarantor, as applicable, and attaching the documents referred to in </w:t>
      </w:r>
      <w:r>
        <w:rPr>
          <w:rFonts w:ascii="Times New Roman;sans-serif" w:hAnsi="Times New Roman;sans-serif"/>
          <w:b w:val="false"/>
          <w:color w:val="000000"/>
          <w:sz w:val="22"/>
          <w:u w:val="single"/>
        </w:rPr>
        <w:t>Section 6.6</w:t>
      </w:r>
      <w:r>
        <w:rPr>
          <w:color w:val="000000"/>
        </w:rPr>
        <w:t xml:space="preserve"> </w:t>
      </w:r>
      <w:r>
        <w:rPr>
          <w:rFonts w:ascii="Times New Roman;sans-serif" w:hAnsi="Times New Roman;sans-serif"/>
          <w:b w:val="false"/>
          <w:color w:val="000000"/>
          <w:sz w:val="22"/>
        </w:rPr>
        <w:t>and (y) an Authorized Officer certifying compliance with Section 7.1 and certifying that, since January 31, 2020, there has not been any event, change, development, occurrence, or effect that has had or would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6.6    </w:t>
      </w:r>
      <w:r>
        <w:rPr>
          <w:rFonts w:ascii="Times New Roman;sans-serif" w:hAnsi="Times New Roman;sans-serif"/>
          <w:b w:val="false"/>
          <w:color w:val="000000"/>
          <w:sz w:val="22"/>
          <w:u w:val="single"/>
        </w:rPr>
        <w:t>Authorization of Proceedings of the Borrower and the Guarantors; Corporate Documents</w:t>
      </w:r>
      <w:r>
        <w:rPr>
          <w:rFonts w:ascii="Times New Roman;sans-serif" w:hAnsi="Times New Roman;sans-serif"/>
          <w:b w:val="false"/>
          <w:color w:val="000000"/>
          <w:sz w:val="22"/>
        </w:rPr>
        <w:t>. The Administrative Agent shall have received (i) a copy of the resolutions of the board of directors or other managers of Holdings, the Borrower and the other Guarantors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Holdings, the Borrower and the other Guarantors, and (iii) signature and incumbency certificates (or other comparable documents evidencing the same) of the Authorized Officers of Holdings, the Borrower and the other Guarantors executing the Credit Documents to which it is a party.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6.7    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xml:space="preserve">. The Agents and Lenders shall have received, substantially simultaneously with the funding of the Initial Term Loans,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Initial Term Loans). Simultaneous with funding of the Initial Term Loans, the Term Loan Lenders (as defined in the Existing Term Loan Facility) under the Existing Term Loan Facility shall have been paid all accrued principal, interest indemnities, cost reimbursements and other obligations, if any, then due and owing under the Existing Term Loan Facility.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6.8    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6.9    </w:t>
      </w:r>
      <w:r>
        <w:rPr>
          <w:rFonts w:ascii="Times New Roman;sans-serif" w:hAnsi="Times New Roman;sans-serif"/>
          <w:b w:val="false"/>
          <w:color w:val="000000"/>
          <w:sz w:val="22"/>
          <w:u w:val="single"/>
        </w:rPr>
        <w:t>Solvency Certificate</w:t>
      </w:r>
      <w:r>
        <w:rPr>
          <w:rFonts w:ascii="Times New Roman;sans-serif" w:hAnsi="Times New Roman;sans-serif"/>
          <w:b w:val="false"/>
          <w:color w:val="000000"/>
          <w:sz w:val="22"/>
        </w:rPr>
        <w:t>. On the Restatement Effective Date, the Administrative Agent shall have received a certificate from the Chief Executive Officer, the President, the Chief Financial Officer, the Treasurer, the Vice President-Finance, a Director, a Manager, or any other senior financial officer of the Borrower to the effect that after giving effect to the consummation of the Transactions, the Borrower on a consolidated basis with the Restricted Subsidiaries is Solvent.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6.10    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6.11    </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The Administrative Agent and the Joint Lead Arrangers shall have received at least two Business Days prior to the Restatement Effective Date such documentation and information as is reasonably requested in writing at least ten calendar days prior to the Restatement Effective Date by the Administrative Agent or the Joint Lead Arrangers about the Credit Parties to the extent required by regulatory authorities under applicable “know your customer” and anti-money laundering rules and regulations, including, without limitation, the Patriot Act.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6.12    </w:t>
      </w:r>
      <w:r>
        <w:rPr>
          <w:rFonts w:ascii="Times New Roman;sans-serif" w:hAnsi="Times New Roman;sans-serif"/>
          <w:b w:val="false"/>
          <w:color w:val="000000"/>
          <w:sz w:val="22"/>
          <w:u w:val="single"/>
        </w:rPr>
        <w:t>Financial Statements</w:t>
      </w:r>
      <w:r>
        <w:rPr>
          <w:rFonts w:ascii="Times New Roman;sans-serif" w:hAnsi="Times New Roman;sans-serif"/>
          <w:b w:val="false"/>
          <w:color w:val="000000"/>
          <w:sz w:val="22"/>
        </w:rPr>
        <w:t>. The Joint Lead Arrangers and Bookrunners shall have received the Historical Financial Statements.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6.13    </w:t>
      </w:r>
      <w:r>
        <w:rPr>
          <w:rFonts w:ascii="Times New Roman;sans-serif" w:hAnsi="Times New Roman;sans-serif"/>
          <w:b w:val="false"/>
          <w:color w:val="000000"/>
          <w:sz w:val="22"/>
          <w:u w:val="single"/>
        </w:rPr>
        <w:t>No Material Adverse Effect</w:t>
      </w:r>
      <w:r>
        <w:rPr>
          <w:rFonts w:ascii="Times New Roman;sans-serif" w:hAnsi="Times New Roman;sans-serif"/>
          <w:b w:val="false"/>
          <w:color w:val="000000"/>
          <w:sz w:val="22"/>
        </w:rPr>
        <w:t>. Since January 31, 2020, there has not occurred any event, occurrence or development that has had, or would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6.14    </w:t>
      </w:r>
      <w:r>
        <w:rPr>
          <w:rFonts w:ascii="Times New Roman;sans-serif" w:hAnsi="Times New Roman;sans-serif"/>
          <w:b w:val="false"/>
          <w:color w:val="000000"/>
          <w:sz w:val="22"/>
          <w:u w:val="single"/>
        </w:rPr>
        <w:t>Refinancing</w:t>
      </w:r>
      <w:r>
        <w:rPr>
          <w:rFonts w:ascii="Times New Roman;sans-serif" w:hAnsi="Times New Roman;sans-serif"/>
          <w:b w:val="false"/>
          <w:color w:val="000000"/>
          <w:sz w:val="22"/>
        </w:rPr>
        <w:t>. Substantially simultaneously with the funding of the Initial Term Loans, the Restatement Effective Date Refinancing shall be consummated.</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For purposes of determining compliance with the conditions specified in </w:t>
      </w:r>
      <w:r>
        <w:rPr>
          <w:rFonts w:ascii="Times New Roman;sans-serif" w:hAnsi="Times New Roman;sans-serif"/>
          <w:b w:val="false"/>
          <w:color w:val="000000"/>
          <w:sz w:val="22"/>
          <w:u w:val="single"/>
        </w:rPr>
        <w:t>Section 6</w:t>
      </w:r>
      <w:r>
        <w:rPr>
          <w:color w:val="000000"/>
        </w:rPr>
        <w:t xml:space="preserve"> </w:t>
      </w:r>
      <w:r>
        <w:rPr>
          <w:rFonts w:ascii="Times New Roman;sans-serif" w:hAnsi="Times New Roman;sans-serif"/>
          <w:b w:val="false"/>
          <w:color w:val="000000"/>
          <w:sz w:val="22"/>
        </w:rPr>
        <w:t>on the Restatement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7.    </w:t>
      </w:r>
      <w:r>
        <w:rPr>
          <w:rFonts w:ascii="Times New Roman;sans-serif" w:hAnsi="Times New Roman;sans-serif"/>
          <w:b w:val="false"/>
          <w:color w:val="000000"/>
          <w:sz w:val="22"/>
        </w:rPr>
        <w:t>Conditions Precedent to All Credit Events.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Section 1.12, the agreement of each Lender to make any Loan requested to be made by it on any date, including any New Term Loans and/or any Replacement Term Loans is subject to the satisfaction (or waiver by such applicable Lender) of the following conditions precedent: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7.1    </w:t>
      </w:r>
      <w:r>
        <w:rPr>
          <w:rFonts w:ascii="Times New Roman;sans-serif" w:hAnsi="Times New Roman;sans-serif"/>
          <w:b w:val="false"/>
          <w:color w:val="000000"/>
          <w:sz w:val="22"/>
          <w:u w:val="single"/>
        </w:rPr>
        <w:t>No Default; Representations and Warranties</w:t>
      </w:r>
      <w:r>
        <w:rPr>
          <w:rFonts w:ascii="Times New Roman;sans-serif" w:hAnsi="Times New Roman;sans-serif"/>
          <w:b w:val="false"/>
          <w:color w:val="000000"/>
          <w:sz w:val="22"/>
        </w:rPr>
        <w:t>. At the time of each Credit Event and also after giving effect thereto (other than any Credit Event pursuant to any Loan made pursuant to any section of this Agreement which provides for alternative conditions (which shall be subject to the applicable terms of such section, as applicable</w:t>
      </w:r>
      <w:r>
        <w:rPr>
          <w:rFonts w:ascii="Times New Roman;sans-serif" w:hAnsi="Times New Roman;sans-serif"/>
          <w:b/>
          <w:color w:val="0000FF"/>
          <w:sz w:val="22"/>
          <w:u w:val="single"/>
        </w:rPr>
        <w:t>)</w:t>
      </w:r>
      <w:r>
        <w:rPr>
          <w:rFonts w:ascii="Times New Roman;sans-serif" w:hAnsi="Times New Roman;sans-serif"/>
          <w:b w:val="false"/>
          <w:color w:val="000000"/>
          <w:sz w:val="22"/>
        </w:rPr>
        <w:t>) (i) no Default or Event of Default shall have occurred and be continuing and (ii) all representations and warranties made by any Credit Party contained herein or in the other Credit Documents shall be true and correct in all material respects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any such representations and warranties which are qualified by materiality, material adverse effect or similar language shall be true and correct in all respects) as of such earlier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7.2    </w:t>
      </w:r>
      <w:r>
        <w:rPr>
          <w:rFonts w:ascii="Times New Roman;sans-serif" w:hAnsi="Times New Roman;sans-serif"/>
          <w:b w:val="false"/>
          <w:color w:val="000000"/>
          <w:sz w:val="22"/>
          <w:u w:val="single"/>
        </w:rPr>
        <w:t>Notice of Borrowing</w:t>
      </w:r>
      <w:r>
        <w:rPr>
          <w:rFonts w:ascii="Times New Roman;sans-serif" w:hAnsi="Times New Roman;sans-serif"/>
          <w:b w:val="false"/>
          <w:color w:val="000000"/>
          <w:sz w:val="22"/>
        </w:rPr>
        <w:t xml:space="preserve">. Prior to the making of each Term Loan, the Administrative Agent shall have received a Notice of Borrowing meeting the requirements of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w:t>
      </w:r>
    </w:p>
    <w:p>
      <w:pPr>
        <w:pStyle w:val="TextBody"/>
        <w:bidi w:val="0"/>
        <w:spacing w:lineRule="auto" w:line="240" w:before="0" w:after="240"/>
        <w:jc w:val="both"/>
        <w:rPr/>
      </w:pPr>
      <w:r>
        <w:rPr>
          <w:rFonts w:ascii="Times New Roman;sans-serif" w:hAnsi="Times New Roman;sans-serif"/>
          <w:b w:val="false"/>
          <w:color w:val="000000"/>
          <w:sz w:val="22"/>
        </w:rPr>
        <w:t xml:space="preserve">The acceptance of the benefits of each Credit Event shall constitute a representation and warranty by each Credit Party to each of the Lenders that all the applicable conditions specified in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above have been satisfied as of that time.</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8.    </w:t>
      </w:r>
      <w:r>
        <w:rPr>
          <w:rFonts w:ascii="Times New Roman;sans-serif" w:hAnsi="Times New Roman;sans-serif"/>
          <w:b w:val="false"/>
          <w:color w:val="000000"/>
          <w:sz w:val="22"/>
        </w:rP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In order to induce the Lenders to enter into this Agreement and to make the Loans as provided for herein, the Borrower (and, with respect to </w:t>
      </w:r>
      <w:r>
        <w:rPr>
          <w:rFonts w:ascii="Times New Roman;sans-serif" w:hAnsi="Times New Roman;sans-serif"/>
          <w:b w:val="false"/>
          <w:color w:val="000000"/>
          <w:sz w:val="22"/>
          <w:u w:val="single"/>
        </w:rPr>
        <w:t>Sections 8.1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8.10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8.19</w:t>
      </w:r>
      <w:r>
        <w:rPr>
          <w:color w:val="000000"/>
        </w:rPr>
        <w:t xml:space="preserve"> </w:t>
      </w:r>
      <w:r>
        <w:rPr>
          <w:rFonts w:ascii="Times New Roman;sans-serif" w:hAnsi="Times New Roman;sans-serif"/>
          <w:b w:val="false"/>
          <w:color w:val="000000"/>
          <w:sz w:val="22"/>
        </w:rPr>
        <w:t>only, Holdings and each Texas Intermediate Holdco) makes the following representations and warranties to the Lenders, all of which shall survive the execution and delivery of this Agreement and the making of the Loans (it being understood that the following representations and warranties shall be deemed made with respect to any Foreign Subsidiary only to the extent relevant under applicable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8.1    </w:t>
      </w:r>
      <w:r>
        <w:rPr>
          <w:rFonts w:ascii="Times New Roman;sans-serif" w:hAnsi="Times New Roman;sans-serif"/>
          <w:b w:val="false"/>
          <w:color w:val="000000"/>
          <w:sz w:val="22"/>
          <w:u w:val="single"/>
        </w:rPr>
        <w:t>Corporate Status</w:t>
      </w:r>
      <w:r>
        <w:rPr>
          <w:rFonts w:ascii="Times New Roman;sans-serif" w:hAnsi="Times New Roman;sans-serif"/>
          <w:b w:val="false"/>
          <w:color w:val="000000"/>
          <w:sz w:val="22"/>
        </w:rPr>
        <w:t>.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8.2    </w:t>
      </w:r>
      <w:r>
        <w:rPr>
          <w:rFonts w:ascii="Times New Roman;sans-serif" w:hAnsi="Times New Roman;sans-serif"/>
          <w:b w:val="false"/>
          <w:color w:val="000000"/>
          <w:sz w:val="22"/>
          <w:u w:val="single"/>
        </w:rPr>
        <w:t>Corporate Power and Authority</w:t>
      </w:r>
      <w:r>
        <w:rPr>
          <w:rFonts w:ascii="Times New Roman;sans-serif" w:hAnsi="Times New Roman;sans-serif"/>
          <w:b w:val="false"/>
          <w:color w:val="000000"/>
          <w:sz w:val="22"/>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with respect to the creation and perfection of security interests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8.3    </w:t>
      </w:r>
      <w:r>
        <w:rPr>
          <w:rFonts w:ascii="Times New Roman;sans-serif" w:hAnsi="Times New Roman;sans-serif"/>
          <w:b w:val="false"/>
          <w:color w:val="000000"/>
          <w:sz w:val="22"/>
          <w:u w:val="single"/>
        </w:rPr>
        <w:t>No Violation</w:t>
      </w:r>
      <w:r>
        <w:rPr>
          <w:rFonts w:ascii="Times New Roman;sans-serif" w:hAnsi="Times New Roman;sans-serif"/>
          <w:b w:val="false"/>
          <w:color w:val="000000"/>
          <w:sz w:val="22"/>
        </w:rPr>
        <w:t>. Neither the execution, delivery or performance by any Credit Party of the Credit Documents to which it is a party nor compliance with the terms and provisions thereof nor the consummation of the Transactions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Times New Roman;sans-serif" w:hAnsi="Times New Roman;sans-serif"/>
          <w:b/>
          <w:color w:val="000000"/>
          <w:sz w:val="22"/>
        </w:rPr>
        <w:t>Contractual Requirement</w:t>
      </w:r>
      <w:r>
        <w:rPr>
          <w:color w:val="000000"/>
        </w:rPr>
        <w:t>”</w:t>
      </w:r>
      <w:r>
        <w:rPr>
          <w:rFonts w:ascii="Times New Roman;sans-serif" w:hAnsi="Times New Roman;sans-serif"/>
          <w:b w:val="false"/>
          <w:color w:val="000000"/>
          <w:sz w:val="22"/>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 (after giving effect to the Transactions).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8.4    </w:t>
      </w:r>
      <w:r>
        <w:rPr>
          <w:rFonts w:ascii="Times New Roman;sans-serif" w:hAnsi="Times New Roman;sans-serif"/>
          <w:b w:val="false"/>
          <w:color w:val="000000"/>
          <w:sz w:val="22"/>
          <w:u w:val="single"/>
        </w:rPr>
        <w:t>Litigation</w:t>
      </w:r>
      <w:r>
        <w:rPr>
          <w:rFonts w:ascii="Times New Roman;sans-serif" w:hAnsi="Times New Roman;sans-serif"/>
          <w:b w:val="false"/>
          <w:color w:val="000000"/>
          <w:sz w:val="22"/>
        </w:rPr>
        <w:t>. There are no actions, suits or proceedings pending or, to the knowledge of the Borrower, threatened in writing against the Borrower or any of the Restricted Subsidiaries that would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8.5    </w:t>
      </w:r>
      <w:r>
        <w:rPr>
          <w:rFonts w:ascii="Times New Roman;sans-serif" w:hAnsi="Times New Roman;sans-serif"/>
          <w:b w:val="false"/>
          <w:color w:val="000000"/>
          <w:sz w:val="22"/>
          <w:u w:val="single"/>
        </w:rPr>
        <w:t>Margin Regulations</w:t>
      </w:r>
      <w:r>
        <w:rPr>
          <w:rFonts w:ascii="Times New Roman;sans-serif" w:hAnsi="Times New Roman;sans-serif"/>
          <w:b w:val="false"/>
          <w:color w:val="000000"/>
          <w:sz w:val="22"/>
        </w:rPr>
        <w:t>. Neither the making of any Loan hereunder nor the use of the proceeds thereof will violate the provisions of Regulation T, U or X of the Board.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8.6    </w:t>
      </w:r>
      <w:r>
        <w:rPr>
          <w:rFonts w:ascii="Times New Roman;sans-serif" w:hAnsi="Times New Roman;sans-serif"/>
          <w:b w:val="false"/>
          <w:color w:val="000000"/>
          <w:sz w:val="22"/>
          <w:u w:val="single"/>
        </w:rPr>
        <w:t>Governmental Approvals</w:t>
      </w:r>
      <w:r>
        <w:rPr>
          <w:rFonts w:ascii="Times New Roman;sans-serif" w:hAnsi="Times New Roman;sans-serif"/>
          <w:b w:val="false"/>
          <w:color w:val="000000"/>
          <w:sz w:val="22"/>
        </w:rPr>
        <w:t xml:space="preserve">.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8.7    </w:t>
      </w:r>
      <w:r>
        <w:rPr>
          <w:rFonts w:ascii="Times New Roman;sans-serif" w:hAnsi="Times New Roman;sans-serif"/>
          <w:b w:val="false"/>
          <w:color w:val="000000"/>
          <w:sz w:val="22"/>
          <w:u w:val="single"/>
        </w:rPr>
        <w:t>Investment Company Act</w:t>
      </w:r>
      <w:r>
        <w:rPr>
          <w:rFonts w:ascii="Times New Roman;sans-serif" w:hAnsi="Times New Roman;sans-serif"/>
          <w:b w:val="false"/>
          <w:color w:val="000000"/>
          <w:sz w:val="22"/>
        </w:rPr>
        <w:t>. None of the Borrower or any Restricted Subsidiary is an “investment company” within the meaning of the Investment Company Act of 1940, as amended.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8.8    </w:t>
      </w:r>
      <w:r>
        <w:rPr>
          <w:rFonts w:ascii="Times New Roman;sans-serif" w:hAnsi="Times New Roman;sans-serif"/>
          <w:b w:val="false"/>
          <w:color w:val="000000"/>
          <w:sz w:val="22"/>
          <w:u w:val="single"/>
        </w:rPr>
        <w:t>True and Complete Disclosure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None of the written factual information and written data (taken as a whole) heretofore or contemporaneously furnished by or on behalf of the Borrower, any of the Restricted Subsidiaries or any of their respective authorized representatives to the Administrative Agent, any Joint Lead Arranger,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the purposes of this </w:t>
      </w:r>
      <w:r>
        <w:rPr>
          <w:rFonts w:ascii="Times New Roman;sans-serif" w:hAnsi="Times New Roman;sans-serif"/>
          <w:b w:val="false"/>
          <w:color w:val="000000"/>
          <w:sz w:val="22"/>
          <w:u w:val="single"/>
        </w:rPr>
        <w:t>Section 8.8(a)</w:t>
      </w:r>
      <w:r>
        <w:rPr>
          <w:rFonts w:ascii="Times New Roman;sans-serif" w:hAnsi="Times New Roman;sans-serif"/>
          <w:b w:val="false"/>
          <w:color w:val="000000"/>
          <w:sz w:val="22"/>
        </w:rPr>
        <w:t>, such factual information and data shall not include pro forma financial information, projections, estimates (including financial estimates, forecasts, and other forward-looking statements or information) or other forward looking information and information of a general economic or general industry nature.</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projections (including financial estimates, forecasts, and other forward-looking information) contained in the information and data referred to in </w:t>
      </w:r>
      <w:r>
        <w:rPr>
          <w:rFonts w:ascii="Times New Roman;sans-serif" w:hAnsi="Times New Roman;sans-serif"/>
          <w:b w:val="false"/>
          <w:color w:val="000000"/>
          <w:sz w:val="22"/>
          <w:u w:val="single"/>
        </w:rPr>
        <w:t>paragraph (a)</w:t>
      </w:r>
      <w:r>
        <w:rPr>
          <w:color w:val="000000"/>
        </w:rPr>
        <w:t xml:space="preserve"> </w:t>
      </w:r>
      <w:r>
        <w:rPr>
          <w:rFonts w:ascii="Times New Roman;sans-serif" w:hAnsi="Times New Roman;sans-serif"/>
          <w:b w:val="false"/>
          <w:color w:val="000000"/>
          <w:sz w:val="22"/>
        </w:rPr>
        <w:t>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To the knowledge of the Borrower, the information included in the Beneficial Ownership Certification is accurate in all material respects as of the Restatement Effective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8.9    </w:t>
      </w:r>
      <w:r>
        <w:rPr>
          <w:rFonts w:ascii="Times New Roman;sans-serif" w:hAnsi="Times New Roman;sans-serif"/>
          <w:b w:val="false"/>
          <w:color w:val="000000"/>
          <w:sz w:val="22"/>
          <w:u w:val="single"/>
        </w:rPr>
        <w:t>Financial Condition; Financial Statements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 The unaudited historical consolidated financial information of the Borrower as set forth in the Lender Presentation, and (ii) the Historical Financial Statements, in each case present fairly in all material respects the consolidated financial position of the Borrower at the respective dates of said information, statements and results of operations for the respective periods covered thereby. The Historical Financial Statements have been prepared in accordance with GAAP consistently applied except to the extent provided in the notes to said financial statements.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There has been no Material Adverse Effect since the Restatement Effective Date.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8.10    </w:t>
      </w:r>
      <w:r>
        <w:rPr>
          <w:rFonts w:ascii="Times New Roman;sans-serif" w:hAnsi="Times New Roman;sans-serif"/>
          <w:b w:val="false"/>
          <w:color w:val="000000"/>
          <w:sz w:val="22"/>
          <w:u w:val="single"/>
        </w:rPr>
        <w:t>Compliance with Laws; No Default</w:t>
      </w:r>
      <w:r>
        <w:rPr>
          <w:rFonts w:ascii="Times New Roman;sans-serif" w:hAnsi="Times New Roman;sans-serif"/>
          <w:b w:val="false"/>
          <w:color w:val="000000"/>
          <w:sz w:val="22"/>
        </w:rPr>
        <w:t>. Each Credit Party is in compliance with all Requirements of Law applicable to it or its property, including without limitation, all applicable laws administered by the Office of Foreign Assets Control of the U.S. Department of the Treasury (“</w:t>
      </w:r>
      <w:r>
        <w:rPr>
          <w:rFonts w:ascii="Times New Roman;sans-serif" w:hAnsi="Times New Roman;sans-serif"/>
          <w:b/>
          <w:color w:val="000000"/>
          <w:sz w:val="22"/>
        </w:rPr>
        <w:t>OFAC</w:t>
      </w:r>
      <w:r>
        <w:rPr>
          <w:color w:val="000000"/>
        </w:rPr>
        <w:t>”</w:t>
      </w:r>
      <w:r>
        <w:rPr>
          <w:rFonts w:ascii="Times New Roman;sans-serif" w:hAnsi="Times New Roman;sans-serif"/>
          <w:b w:val="false"/>
          <w:color w:val="000000"/>
          <w:sz w:val="22"/>
        </w:rPr>
        <w:t>) or the U.S. Department of State and the Foreign Corrupt Practices Act of 1977 as amended, and the rules and regulations promulgated thereunder, except where the failure to be so in compliance would not reasonably be expected to result in a Material Adverse Effect. No Default has occurred and is continuing.</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Neither Holdings nor its Restricted Subsidiaries, nor their respective directors, officers, or, to the knowledge of the Borrowers and their Restricted Subsidiaries, their employees or agents, is (i) a Sanctioned Person; (ii) operating, organized or ordinarily resident in a Sanctioned Country; or (iii) engaged, directly or knowingly indirectly, in dealings or transactions involving Sanctioned Persons or Sanctioned Countries. The Borrowers and their Restricted Subsidiaries will not use the proceeds of the Loans, or lend, contribute or otherwise make available such proceeds to any subsidiary, joint venture partner, or other Person to fund activities or business of or with any Sanctioned Person or Sanctioned Country, or in violation of Anti-Terrorism and Anti-Money Laundering Laws.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Holdings, the Borrowers, their Restricted Subsidiaries and, to the knowledge of the Borrowers and their Restricted Subsidiaries, their respective directors, officers employees and agents, are in compliance with in all material respects Sanctions, Anti-Corruption Laws and Anti-Terrorism and Anti-Money Laundering Laws.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 part of the proceeds of the loans will be used by Holdings or any of its Restricted Subsidiaries and to the knowledge of Holding or its Restricted Subsidiaries, their respective directors, officers, employees or agents, in violation of Anti-Corruption Laws.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8.11    </w:t>
      </w:r>
      <w:r>
        <w:rPr>
          <w:rFonts w:ascii="Times New Roman;sans-serif" w:hAnsi="Times New Roman;sans-serif"/>
          <w:b w:val="false"/>
          <w:color w:val="000000"/>
          <w:sz w:val="22"/>
          <w:u w:val="single"/>
        </w:rPr>
        <w:t>Tax Matters</w:t>
      </w:r>
      <w:r>
        <w:rPr>
          <w:rFonts w:ascii="Times New Roman;sans-serif" w:hAnsi="Times New Roman;sans-serif"/>
          <w:b w:val="false"/>
          <w:color w:val="000000"/>
          <w:sz w:val="22"/>
        </w:rPr>
        <w:t xml:space="preserve">. Except as would not reasonably be expected to have a Material Adverse Effect, (a) each of the Borrower and each of the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the Borrower or such Restricted Subsidiary, as applicable) with respect thereto in accordance with GAAP and (b) each of the Borrower and each of the Restricted Subsidiaries has paid, or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has provided adequate reserves (in the good faith judgment of management of the Borrower or such Restricted Subsidiary, as applicable) in accordance with GAAP for the payment of all Taxes not yet due and payable. There is no current or proposed Tax assessment, deficiency or other claim against the Borrower or any Restricted Subsidiary that would reasonably be expected to result in a Material Adverse Effect.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8.12    </w:t>
      </w:r>
      <w:r>
        <w:rPr>
          <w:rFonts w:ascii="Times New Roman;sans-serif" w:hAnsi="Times New Roman;sans-serif"/>
          <w:b w:val="false"/>
          <w:color w:val="000000"/>
          <w:sz w:val="22"/>
          <w:u w:val="single"/>
        </w:rPr>
        <w:t>Compliance with ERISA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Except as would not reasonably be expected to have a Material Adverse Effect, no ERISA Event has occurred or is reasonably expected to occur.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Except as would not reasonably be expected to have a Material Adverse Effect, no Foreign Plan Event has occurred or is reasonably expected to occur.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8.13    </w:t>
      </w:r>
      <w:r>
        <w:rPr>
          <w:rFonts w:ascii="Times New Roman;sans-serif" w:hAnsi="Times New Roman;sans-serif"/>
          <w:b w:val="false"/>
          <w:color w:val="000000"/>
          <w:sz w:val="22"/>
          <w:u w:val="single"/>
        </w:rPr>
        <w:t>Subsidiaries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8.13</w:t>
      </w:r>
      <w:r>
        <w:rPr>
          <w:color w:val="000000"/>
        </w:rPr>
        <w:t xml:space="preserve"> </w:t>
      </w:r>
      <w:r>
        <w:rPr>
          <w:rFonts w:ascii="Times New Roman;sans-serif" w:hAnsi="Times New Roman;sans-serif"/>
          <w:b w:val="false"/>
          <w:color w:val="000000"/>
          <w:sz w:val="22"/>
        </w:rPr>
        <w:t>lists each Subsidiary of the Borrower (and the direct and indirect ownership interest of the Borrower therein), in each case existing on the Restatement Effective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8.14    </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Each of the Borrower and the Restricted Subsidiaries owns or has the right to use all Intellectual Property that is used in or otherwise necessary for the operation of their respective businesses as currently conducted, except where the failure to own or have a right to use such Intellectual Property would not reasonably be expected to have a Material Adverse Effect. The operation of their respective businesses by each of the Borrower and the Restricted Subsidiaries does not infringe upon, misappropriate, violate or otherwise conflict with the Intellectual Property of any third party, except as would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8.15    </w:t>
      </w:r>
      <w:r>
        <w:rPr>
          <w:rFonts w:ascii="Times New Roman;sans-serif" w:hAnsi="Times New Roman;sans-serif"/>
          <w:b w:val="false"/>
          <w:color w:val="000000"/>
          <w:sz w:val="22"/>
          <w:u w:val="single"/>
        </w:rPr>
        <w:t>Environmental Laws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Except as set forth on </w:t>
      </w:r>
      <w:r>
        <w:rPr>
          <w:rFonts w:ascii="Times New Roman;sans-serif" w:hAnsi="Times New Roman;sans-serif"/>
          <w:b w:val="false"/>
          <w:color w:val="000000"/>
          <w:sz w:val="22"/>
          <w:u w:val="single"/>
        </w:rPr>
        <w:t>Schedule 8.15</w:t>
      </w:r>
      <w:r>
        <w:rPr>
          <w:rFonts w:ascii="Times New Roman;sans-serif" w:hAnsi="Times New Roman;sans-serif"/>
          <w:b w:val="false"/>
          <w:color w:val="000000"/>
          <w:sz w:val="22"/>
        </w:rPr>
        <w:t>, or as would not reasonably be expected to have a Material Adverse Effect: (i) each of the Borrower and the Restricted Subsidiaries and their respective operations and properties are in compliance with all applicable Environmental Laws; (ii) none of the Borrower or any Restricted Subsidiary has received written notice of any Environmental Claim; (iii) none of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the Borrower or any of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Except as set forth on </w:t>
      </w:r>
      <w:r>
        <w:rPr>
          <w:rFonts w:ascii="Times New Roman;sans-serif" w:hAnsi="Times New Roman;sans-serif"/>
          <w:b w:val="false"/>
          <w:color w:val="000000"/>
          <w:sz w:val="22"/>
          <w:u w:val="single"/>
        </w:rPr>
        <w:t>Schedule 8.15</w:t>
      </w:r>
      <w:r>
        <w:rPr>
          <w:rFonts w:ascii="Times New Roman;sans-serif" w:hAnsi="Times New Roman;sans-serif"/>
          <w:b w:val="false"/>
          <w:color w:val="000000"/>
          <w:sz w:val="22"/>
        </w:rPr>
        <w:t>, none of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8.16    </w:t>
      </w:r>
      <w:r>
        <w:rPr>
          <w:rFonts w:ascii="Times New Roman;sans-serif" w:hAnsi="Times New Roman;sans-serif"/>
          <w:b w:val="false"/>
          <w:color w:val="000000"/>
          <w:sz w:val="22"/>
          <w:u w:val="single"/>
        </w:rPr>
        <w:t>Properties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(i) Each of the Borrower and the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(ii) no Mortgage encumbers improved Real Estate that is located in an area that has been identified by the Secretary of Housing and Urban Development as an area having special flood hazards within the meaning of the Flood Insurance Laws, unless flood insurance available under such Flood Insurance Laws has been obtained in accordance with </w:t>
      </w:r>
      <w:r>
        <w:rPr>
          <w:rFonts w:ascii="Times New Roman;sans-serif" w:hAnsi="Times New Roman;sans-serif"/>
          <w:b w:val="false"/>
          <w:color w:val="000000"/>
          <w:sz w:val="22"/>
          <w:u w:val="single"/>
        </w:rPr>
        <w:t>Section 9.3(b)</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Schedule 1.1(a)</w:t>
      </w:r>
      <w:r>
        <w:rPr>
          <w:color w:val="000000"/>
        </w:rPr>
        <w:t xml:space="preserve"> </w:t>
      </w:r>
      <w:r>
        <w:rPr>
          <w:rFonts w:ascii="Times New Roman;sans-serif" w:hAnsi="Times New Roman;sans-serif"/>
          <w:b w:val="false"/>
          <w:color w:val="000000"/>
          <w:sz w:val="22"/>
        </w:rPr>
        <w:t>is a list of each real property owned by the Borrower or any Subsidiary Credit Party as of the Restatement Effective Date having a Fair Market Value in excess of the greater of (a) $25,000,000 and (b) 5% of Consolidated EBITDA for the most recently ended Test Period.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8.17    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On the Restatement Effective Date (after giving effect to the Transactions) immediately following the making of the Loans and after giving effect to the application of the proceeds of such Loans, the Borrower on a consolidated basis with the Restricted Subsidiaries will be Solvent.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8.18    </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On the Restatement Effective Date, the use of proceeds of the Loans will not violate the Patriot Act in any material respect.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8.19    </w:t>
      </w:r>
      <w:r>
        <w:rPr>
          <w:rFonts w:ascii="Times New Roman;sans-serif" w:hAnsi="Times New Roman;sans-serif"/>
          <w:b w:val="false"/>
          <w:color w:val="000000"/>
          <w:sz w:val="22"/>
          <w:u w:val="single"/>
        </w:rPr>
        <w:t>Security Interest in Collateral</w:t>
      </w:r>
      <w:r>
        <w:rPr>
          <w:rFonts w:ascii="Times New Roman;sans-serif" w:hAnsi="Times New Roman;sans-serif"/>
          <w:b w:val="false"/>
          <w:color w:val="000000"/>
          <w:sz w:val="22"/>
        </w:rPr>
        <w:t xml:space="preserve">. Subject to the provisions of this Agreement and the other Credit Documents, the Credit Documents create legal, valid, and enforceable Liens on all of the Collateral in favor of the Collateral Agent, for the benefit itself and the other Secured Parties, subject, as to enforceability, to applicable bankruptcy, insolvency or similar laws affecting creditors’ rights generally and to general principles of equity and principles of good faith and dealing, and upon the making of such filings and taking of such other actions required to be taken hereby or by the applicable Credit Documents (including the filing of appropriate UCC financing statements with the office of the Secretary of State of the state of organization of each Credit Party or equivalent filings under applicable foreign law, the filing of appropriate notices with the U.S. Patent and Trademark Office and the U.S. Copyright Office, and the proper recordation of Mortgages and fixture filings with respect to any Mortgaged Property, in each case in favor of the Collateral Agent for the benefit of the Secured Parties and the delivery to the Collateral Agent of any stock certificates or promissory notes required to be delivered pursuant to the applicable Credit Documents), such Liens constitute perfected and continuing Liens on the Collateral of the type required by the Security Documents securing the Obligations to the extent such Liens may be perfected by such filings and the taking of such other actions subject to no other Liens (other than Liens permitted by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8.20    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The properties of the Credit Parties and the Restricted Subsidiaries are insured as required by Section 9.3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Section 9.    </w:t>
      </w:r>
      <w:r>
        <w:rPr>
          <w:rFonts w:ascii="Times New Roman;sans-serif" w:hAnsi="Times New Roman;sans-serif"/>
          <w:b w:val="false"/>
          <w:color w:val="000000"/>
          <w:sz w:val="22"/>
        </w:rPr>
        <w:t>Affirmative 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Borrower (and, with respect to </w:t>
      </w:r>
      <w:r>
        <w:rPr>
          <w:rFonts w:ascii="Times New Roman;sans-serif" w:hAnsi="Times New Roman;sans-serif"/>
          <w:b w:val="false"/>
          <w:color w:val="000000"/>
          <w:sz w:val="22"/>
          <w:u w:val="single"/>
        </w:rPr>
        <w:t>Sections 9.11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9.12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9.14</w:t>
      </w:r>
      <w:r>
        <w:rPr>
          <w:color w:val="000000"/>
        </w:rPr>
        <w:t xml:space="preserve"> </w:t>
      </w:r>
      <w:r>
        <w:rPr>
          <w:rFonts w:ascii="Times New Roman;sans-serif" w:hAnsi="Times New Roman;sans-serif"/>
          <w:b w:val="false"/>
          <w:color w:val="000000"/>
          <w:sz w:val="22"/>
        </w:rPr>
        <w:t>only, Holdings) hereby covenants and agrees that on the Restatement Effective Date and thereafter, until the Commitments have terminated in accordance with the terms of this Agreement and the Loans, together with interest, Fees and all other Obligations incurred hereunder (other than contingent indemnity obligations, Secured Hedge Obligations and Secured Cash Management Obligations), are paid in full:</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9.1    </w:t>
      </w:r>
      <w:r>
        <w:rPr>
          <w:rFonts w:ascii="Times New Roman;sans-serif" w:hAnsi="Times New Roman;sans-serif"/>
          <w:b w:val="false"/>
          <w:color w:val="000000"/>
          <w:sz w:val="22"/>
          <w:u w:val="single"/>
        </w:rPr>
        <w:t>Information Covenants</w:t>
      </w:r>
      <w:r>
        <w:rPr>
          <w:rFonts w:ascii="Times New Roman;sans-serif" w:hAnsi="Times New Roman;sans-serif"/>
          <w:b w:val="false"/>
          <w:color w:val="000000"/>
          <w:sz w:val="22"/>
        </w:rPr>
        <w:t>. The Borrower will furnish to the Administrative Agent (which shall promptly make such information available to the Lenders in accordance with its customary practice):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Annual Financial Statements</w:t>
      </w:r>
      <w:r>
        <w:rPr>
          <w:rFonts w:ascii="Times New Roman;sans-serif" w:hAnsi="Times New Roman;sans-serif"/>
          <w:b w:val="false"/>
          <w:color w:val="000000"/>
          <w:sz w:val="22"/>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the consolidated balance sheets of the Borrower and the Restricted Subsidiaries as at the end of each fiscal year, and the related consolidated statements of operations and cash flows for such fiscal year, setting forth comparative consolidated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the Borrower or any of the Material Subsidiaries (or group of Subsidiaries that together would constitute a Material Subsidiary) as a going concern (other than any qualification, that is expressly solely with respect to, or expressly resulting solely from, (i) an upcoming maturity date under any Indebtedness, (ii) any potential inability to satisfy a financial maintenance covenant on a future date or in a future period or (iii) the activities, operations, financial results, assets or liabilities of any Unrestricted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Quarterly Financial Statements</w:t>
      </w:r>
      <w:r>
        <w:rPr>
          <w:rFonts w:ascii="Times New Roman;sans-serif" w:hAnsi="Times New Roman;sans-serif"/>
          <w:b w:val="false"/>
          <w:color w:val="000000"/>
          <w:sz w:val="22"/>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45 days after the end of each such quarterly accounting period), the consolidated balance sheets of the Borrower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August 1, 2015, setting forth comparative consolidated figures for the related periods in the prior fiscal year or, in the case of such consolidated balance sheet, for the last day of the related period in the prior fiscal year, all of which shall be certified by an Authorized Officer of the Borrower as fairly presenting in all material respects the financial condition, results of operations and cash flows of the Borrower and its Restricted Subsidiaries in accordance with GAAP (except as noted therein), subject to changes resulting from normal year-end adjustments and the absence of footnotes.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u w:val="single"/>
        </w:rPr>
        <w:t>Officer’s Certificates</w:t>
      </w:r>
      <w:r>
        <w:rPr>
          <w:rFonts w:ascii="Times New Roman;sans-serif" w:hAnsi="Times New Roman;sans-serif"/>
          <w:b w:val="false"/>
          <w:color w:val="000000"/>
          <w:sz w:val="22"/>
        </w:rPr>
        <w:t xml:space="preserve">. Not later than five days after the delivery of the financial statements provided for in </w:t>
      </w:r>
      <w:r>
        <w:rPr>
          <w:rFonts w:ascii="Times New Roman;sans-serif" w:hAnsi="Times New Roman;sans-serif"/>
          <w:b w:val="false"/>
          <w:color w:val="000000"/>
          <w:sz w:val="22"/>
          <w:u w:val="single"/>
        </w:rPr>
        <w:t>Sections 9.1(a)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 certificate of an Authorized Officer of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(ii) the then applicable Consolidated First Lien Secured Debt to Consolidated EBITDA Ratio. At the time of the delivery of the financial statements provided for in </w:t>
      </w:r>
      <w:r>
        <w:rPr>
          <w:rFonts w:ascii="Times New Roman;sans-serif" w:hAnsi="Times New Roman;sans-serif"/>
          <w:b w:val="false"/>
          <w:color w:val="000000"/>
          <w:sz w:val="22"/>
          <w:u w:val="single"/>
        </w:rPr>
        <w:t>Section 9.1(a)</w:t>
      </w:r>
      <w:r>
        <w:rPr>
          <w:rFonts w:ascii="Times New Roman;sans-serif" w:hAnsi="Times New Roman;sans-serif"/>
          <w:b w:val="false"/>
          <w:color w:val="000000"/>
          <w:sz w:val="22"/>
        </w:rPr>
        <w:t xml:space="preserve">, a certificate of an Authorized Officer of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w:t>
      </w:r>
      <w:r>
        <w:rPr>
          <w:rFonts w:ascii="Times New Roman;sans-serif" w:hAnsi="Times New Roman;sans-serif"/>
          <w:b w:val="false"/>
          <w:color w:val="000000"/>
          <w:sz w:val="22"/>
          <w:u w:val="single"/>
        </w:rPr>
        <w:t>clause (d)</w:t>
      </w:r>
      <w:r>
        <w:rPr>
          <w:rFonts w:ascii="Times New Roman;sans-serif" w:hAnsi="Times New Roman;sans-serif"/>
          <w:b w:val="false"/>
          <w:color w:val="000000"/>
          <w:sz w:val="22"/>
        </w:rPr>
        <w:t>,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u w:val="single"/>
        </w:rPr>
        <w:t>Notice of Default or Litigation</w:t>
      </w:r>
      <w:r>
        <w:rPr>
          <w:rFonts w:ascii="Times New Roman;sans-serif" w:hAnsi="Times New Roman;sans-serif"/>
          <w:b w:val="false"/>
          <w:color w:val="000000"/>
          <w:sz w:val="22"/>
        </w:rPr>
        <w:t>. Promptly after an Authorized Officer of the Borrower or any of the Restricted Subsidiaries obtains knowledge thereof, notice of (i) the occurrence of any event that constitutes a Default or Event of Default, which notice shall specify the nature thereof, the period of existence thereof and what action the Borrower proposes to take with respect thereto and (ii) any litigation or governmental proceeding pending against the Borrower or any of the Subsidiaries that would reasonably be expected to be determined adversely and, if so determined,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 Promptly after an Authorized Officer of the Borrower or any of the Restricted Subsidiaries obtains knowledge of any one or more of the following environmental matters, unless such environmental matters would not reasonably be expected to result in a Material Adverse Effect, notice 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color w:val="000000"/>
        </w:rPr>
        <w:t>    </w:t>
      </w:r>
      <w:r>
        <w:rPr>
          <w:rFonts w:ascii="Times New Roman;sans-serif" w:hAnsi="Times New Roman;sans-serif"/>
          <w:b w:val="false"/>
          <w:color w:val="000000"/>
          <w:sz w:val="22"/>
        </w:rPr>
        <w:t>any pending or threatened Environmental Claim against any Credit Party or any Real Estate;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color w:val="000000"/>
        </w:rPr>
        <w:t>    </w:t>
      </w:r>
      <w:r>
        <w:rPr>
          <w:rFonts w:ascii="Times New Roman;sans-serif" w:hAnsi="Times New Roman;sans-serif"/>
          <w:b w:val="false"/>
          <w:color w:val="000000"/>
          <w:sz w:val="22"/>
        </w:rPr>
        <w:t>the conduct of any investigation, or any removal, remedial or other corrective action in response to the actual or alleged presence, Release or threatened Release of any Hazardous Material on, at, under or from any Real Estate.</w:t>
      </w:r>
    </w:p>
    <w:p>
      <w:pPr>
        <w:pStyle w:val="TextBody"/>
        <w:bidi w:val="0"/>
        <w:spacing w:lineRule="auto" w:line="240" w:before="0" w:after="240"/>
        <w:jc w:val="both"/>
        <w:rPr/>
      </w:pPr>
      <w:r>
        <w:rPr>
          <w:rFonts w:ascii="Times New Roman;sans-serif" w:hAnsi="Times New Roman;sans-serif"/>
          <w:b w:val="false"/>
          <w:color w:val="000000"/>
          <w:sz w:val="22"/>
        </w:rPr>
        <w:t>All such notices shall describe in reasonable detail the nature of the claim, investigation or removal, remedial or other corrective action in response thereto. The term “</w:t>
      </w:r>
      <w:r>
        <w:rPr>
          <w:rFonts w:ascii="Times New Roman;sans-serif" w:hAnsi="Times New Roman;sans-serif"/>
          <w:b/>
          <w:color w:val="000000"/>
          <w:sz w:val="22"/>
        </w:rPr>
        <w:t>Real Estate</w:t>
      </w:r>
      <w:r>
        <w:rPr>
          <w:color w:val="000000"/>
        </w:rPr>
        <w:t xml:space="preserve">” </w:t>
      </w:r>
      <w:r>
        <w:rPr>
          <w:rFonts w:ascii="Times New Roman;sans-serif" w:hAnsi="Times New Roman;sans-serif"/>
          <w:b w:val="false"/>
          <w:color w:val="000000"/>
          <w:sz w:val="22"/>
        </w:rPr>
        <w:t>shall mean land, buildings, facilities and improvements owned or leased by any Credit Party.</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u w:val="single"/>
        </w:rPr>
        <w:t>Other Information</w:t>
      </w:r>
      <w:r>
        <w:rPr>
          <w:rFonts w:ascii="Times New Roman;sans-serif" w:hAnsi="Times New Roman;sans-serif"/>
          <w:b w:val="false"/>
          <w:color w:val="000000"/>
          <w:sz w:val="22"/>
        </w:rPr>
        <w:t xml:space="preserve">.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the Borrower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the Borrower or any of the Restricted Subsidiaries shall send to the holders of any publicly issued debt of the Borrower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none of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(iii) that is subject to attorney client or similar privilege or constitutes attorney work product or (iv) that is otherwise subject to </w:t>
      </w:r>
      <w:r>
        <w:rPr>
          <w:rFonts w:ascii="Times New Roman;sans-serif" w:hAnsi="Times New Roman;sans-serif"/>
          <w:b w:val="false"/>
          <w:color w:val="000000"/>
          <w:sz w:val="22"/>
          <w:u w:val="single"/>
        </w:rPr>
        <w:t>Section 13.16</w:t>
      </w:r>
      <w:r>
        <w:rPr>
          <w:color w:val="000000"/>
        </w:rPr>
        <w:t xml:space="preserve"> </w:t>
      </w:r>
      <w:r>
        <w:rPr>
          <w:rFonts w:ascii="Times New Roman;sans-serif" w:hAnsi="Times New Roman;sans-serif"/>
          <w:b w:val="false"/>
          <w:color w:val="000000"/>
          <w:sz w:val="22"/>
        </w:rPr>
        <w:t xml:space="preserve">or the limitations set forth in </w:t>
      </w:r>
      <w:r>
        <w:rPr>
          <w:rFonts w:ascii="Times New Roman;sans-serif" w:hAnsi="Times New Roman;sans-serif"/>
          <w:b w:val="false"/>
          <w:color w:val="000000"/>
          <w:sz w:val="22"/>
          <w:u w:val="single"/>
        </w:rPr>
        <w:t>Section 9.2</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Documents required to be delivered pursuant to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 xml:space="preserve">(to the extent any such documents are included in materials otherwise filed with the SEC) may be delivered electronically and if so delivered, shall be deemed to have been delivered on the earliest date on which (i) the Borrower posts such documents, or provides a link thereto on the Borrower’s website on the Internet; (ii) such documents are posted on the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 the Borrower shall, at the request of the Administrative Agent, continue to deliver copies (which delivery may be by electronic transmission)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the foregoing, the obligations in paragraphs (a) and (b) of this Section may be satisfied with respect to financial information of the Borrower and its Restricted Subsidiaries by furnishing (A) the Form 10-K or 10-Q (or the equivalent), as applicable, of the Borrower (or a parent company thereof) filed with the SEC or with a similar regulatory authority in a foreign jurisdiction or (B) the applicable financial statements of Holdings (or any direct or indirect parent of Holdings);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Restricted Subsidiaries on a stand-alone basis, on the other hand.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Each Credit Party hereby acknowledges and agrees that, unless the Borrower notifies the Administrative Agent in advance, all financial statements and certificates furnished pursuant to </w:t>
      </w:r>
      <w:r>
        <w:rPr>
          <w:rFonts w:ascii="Times New Roman;sans-serif" w:hAnsi="Times New Roman;sans-serif"/>
          <w:b w:val="false"/>
          <w:color w:val="000000"/>
          <w:sz w:val="22"/>
          <w:u w:val="single"/>
        </w:rPr>
        <w:t>Sections 9.1(a)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above are hereby deemed to be suitable for distribution, and to be made available, to all Lenders and may be treated by the Administrative Agent and the Lenders as not containing any material nonpublic information.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9.2    </w:t>
      </w:r>
      <w:r>
        <w:rPr>
          <w:rFonts w:ascii="Times New Roman;sans-serif" w:hAnsi="Times New Roman;sans-serif"/>
          <w:b w:val="false"/>
          <w:color w:val="000000"/>
          <w:sz w:val="22"/>
          <w:u w:val="single"/>
        </w:rPr>
        <w:t>Books, Records, and Inspections</w:t>
      </w:r>
      <w:r>
        <w:rPr>
          <w:rFonts w:ascii="Times New Roman;sans-serif" w:hAnsi="Times New Roman;sans-serif"/>
          <w:b w:val="false"/>
          <w:color w:val="000000"/>
          <w:sz w:val="22"/>
        </w:rPr>
        <w:t xml:space="preserve">. The Borrower will, and will cause each Restricted Subsidiary to, permit officers and designated representatives of the Administrative Agent or the Required Lenders to visit and inspect any of the properties or assets of the Borrower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Borrower and any such Subsidiary and discuss the affairs, finances and accounts of the Borrower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excluding any such visits and inspections during the continuation of an Event of Default, (a) only the Administrative Agent on behalf of the Required Lenders may exercise rights of the Administrative Agent and the Lenders under this </w:t>
      </w:r>
      <w:r>
        <w:rPr>
          <w:rFonts w:ascii="Times New Roman;sans-serif" w:hAnsi="Times New Roman;sans-serif"/>
          <w:b w:val="false"/>
          <w:color w:val="000000"/>
          <w:sz w:val="22"/>
          <w:u w:val="single"/>
        </w:rPr>
        <w:t>Section 9.2</w:t>
      </w:r>
      <w:r>
        <w:rPr>
          <w:rFonts w:ascii="Times New Roman;sans-serif" w:hAnsi="Times New Roman;sans-serif"/>
          <w:b w:val="false"/>
          <w:color w:val="000000"/>
          <w:sz w:val="22"/>
        </w:rPr>
        <w:t xml:space="preserve">, (b) the Administrative Agent shall not exercise such rights more than one time in any calendar year, which such visit will be at the Borrower’s expense, and (c) notwithstanding anything to the contrary in this </w:t>
      </w:r>
      <w:r>
        <w:rPr>
          <w:rFonts w:ascii="Times New Roman;sans-serif" w:hAnsi="Times New Roman;sans-serif"/>
          <w:b w:val="false"/>
          <w:color w:val="000000"/>
          <w:sz w:val="22"/>
          <w:u w:val="single"/>
        </w:rPr>
        <w:t>Section 9.2</w:t>
      </w:r>
      <w:r>
        <w:rPr>
          <w:rFonts w:ascii="Times New Roman;sans-serif" w:hAnsi="Times New Roman;sans-serif"/>
          <w:b w:val="false"/>
          <w:color w:val="000000"/>
          <w:sz w:val="22"/>
        </w:rPr>
        <w:t xml:space="preserve">, none of the Borrower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when an Event of Default exists, the Administrative Agent (or any of its respective representatives or independent contractors) or any representative of the Required Lenders may do any of the foregoing at the expense of the Borrower at any time during normal business hours and upon reasonable advance notice. The Administrative Agent and the Required Lenders shall give the Borrower the opportunity to participate in any discussions with the Borrower independent public accountants.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9.3    </w:t>
      </w:r>
      <w:r>
        <w:rPr>
          <w:rFonts w:ascii="Times New Roman;sans-serif" w:hAnsi="Times New Roman;sans-serif"/>
          <w:b w:val="false"/>
          <w:color w:val="000000"/>
          <w:sz w:val="22"/>
          <w:u w:val="single"/>
        </w:rPr>
        <w:t>Maintenance of Insurance</w:t>
      </w:r>
      <w:r>
        <w:rPr>
          <w:rFonts w:ascii="Times New Roman;sans-serif" w:hAnsi="Times New Roman;sans-serif"/>
          <w:b w:val="false"/>
          <w:color w:val="000000"/>
          <w:sz w:val="22"/>
        </w:rPr>
        <w:t>. (a) The Borrower will, and will cause each Material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the availability of insurance on a cost-effective basis) and against at least such risks (and with such risk retentions) as the Borrower believes (in the good faith judgment of management of the Borrower)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the Borrower will obtain flood insurance in such form and in such total amount as may reasonably be required by the Collateral Agent, if at any time the area in which any improvements located on any Mortgaged Property is designated a “special flood hazard area” in any Flood Insurance Rate Map published by the Federal Emergency Management Agency (or any successor agency), and otherwise comply with the Flood Insurance Laws. Each such policy of insurance shall (i) name the Collateral Agent, on behalf of the Secured Parties as an additional insured thereunder as its interests may appear and (ii) in the case of each casualty insurance policy, contain a mortgagee/loss payable clause or endorsement that names the Collateral Agent, on behalf of the Secured Parties as the mortgagee/loss payee thereunder.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9.4    </w:t>
      </w:r>
      <w:r>
        <w:rPr>
          <w:rFonts w:ascii="Times New Roman;sans-serif" w:hAnsi="Times New Roman;sans-serif"/>
          <w:b w:val="false"/>
          <w:color w:val="000000"/>
          <w:sz w:val="22"/>
          <w:u w:val="single"/>
        </w:rPr>
        <w:t>Payment of Taxes</w:t>
      </w:r>
      <w:r>
        <w:rPr>
          <w:rFonts w:ascii="Times New Roman;sans-serif" w:hAnsi="Times New Roman;sans-serif"/>
          <w:b w:val="false"/>
          <w:color w:val="000000"/>
          <w:sz w:val="22"/>
        </w:rPr>
        <w:t xml:space="preserve">. The Borrower will pay and discharge, and will cause each of the Restricted Subsidiaries to pay and discharge, all Taxes imposed upon it (including in its capacity as a withholding agent) or upon its income or profits, or upon any properties belonging to it, prior to the date on which penalties attach thereto, and all lawful material claims in respect of any Taxes imposed, assessed or levied that, if unpaid, would reasonably be expected to become a material Lien upon any properties of the Borrower or any of the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neither the Borrower nor any of the Restricted Subsidiaries shall be required to pay any such Tax that is being contested in good faith and by proper proceedings if it has maintained adequate reserves (in the good faith judgment of management of the Borrower) with respect thereto in accordance with GAAP or the failure to pay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9.5    </w:t>
      </w:r>
      <w:r>
        <w:rPr>
          <w:rFonts w:ascii="Times New Roman;sans-serif" w:hAnsi="Times New Roman;sans-serif"/>
          <w:b w:val="false"/>
          <w:color w:val="000000"/>
          <w:sz w:val="22"/>
          <w:u w:val="single"/>
        </w:rPr>
        <w:t>Preservation of Existence; Consolidated Corporate Franchises</w:t>
      </w:r>
      <w:r>
        <w:rPr>
          <w:rFonts w:ascii="Times New Roman;sans-serif" w:hAnsi="Times New Roman;sans-serif"/>
          <w:b w:val="false"/>
          <w:color w:val="000000"/>
          <w:sz w:val="22"/>
        </w:rPr>
        <w:t xml:space="preserve">.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business, in each case, except to the extent that the failure to do so would not reasonably be expected to have a Material Adverse Effect;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Borrower and its Subsidiaries may consummate any transaction permitted under Permitted Investments and </w:t>
      </w:r>
      <w:r>
        <w:rPr>
          <w:rFonts w:ascii="Times New Roman;sans-serif" w:hAnsi="Times New Roman;sans-serif"/>
          <w:b w:val="false"/>
          <w:color w:val="000000"/>
          <w:sz w:val="22"/>
          <w:u w:val="single"/>
        </w:rPr>
        <w:t>Sections 10.2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10.4</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10.5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9.6    </w:t>
      </w:r>
      <w:r>
        <w:rPr>
          <w:rFonts w:ascii="Times New Roman;sans-serif" w:hAnsi="Times New Roman;sans-serif"/>
          <w:b w:val="false"/>
          <w:color w:val="000000"/>
          <w:sz w:val="22"/>
          <w:u w:val="single"/>
        </w:rPr>
        <w:t>Compliance with Statutes, Regulations, Etc</w:t>
      </w:r>
      <w:r>
        <w:rPr>
          <w:rFonts w:ascii="Times New Roman;sans-serif" w:hAnsi="Times New Roman;sans-serif"/>
          <w:b w:val="false"/>
          <w:color w:val="000000"/>
          <w:sz w:val="22"/>
        </w:rPr>
        <w:t xml:space="preserve">. The Borrower will, and will cause each Restricted Subsidiary to, (a) comply with all applicable laws, rules, regulations, and orders applicable to it or its property, including, without limitation, applicable laws administered by the Office of Foreign Assets Control of the U.S. Department of the Treasury and the Foreign Corrupt Practices Act of 1977,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(a), (b), and (c) of this </w:t>
      </w:r>
      <w:r>
        <w:rPr>
          <w:rFonts w:ascii="Times New Roman;sans-serif" w:hAnsi="Times New Roman;sans-serif"/>
          <w:b w:val="false"/>
          <w:color w:val="000000"/>
          <w:sz w:val="22"/>
          <w:u w:val="single"/>
        </w:rPr>
        <w:t>Section 9.6</w:t>
      </w:r>
      <w:r>
        <w:rPr>
          <w:rFonts w:ascii="Times New Roman;sans-serif" w:hAnsi="Times New Roman;sans-serif"/>
          <w:b w:val="false"/>
          <w:color w:val="000000"/>
          <w:sz w:val="22"/>
        </w:rPr>
        <w:t>, where the failure to do so would not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9.7    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xml:space="preserve">. (a) The Borrower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rights granted to the Administrative Agent in this Section shall be exercised not more than once during a 12-month period, and (b) the Borrower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9.8    </w:t>
      </w:r>
      <w:r>
        <w:rPr>
          <w:rFonts w:ascii="Times New Roman;sans-serif" w:hAnsi="Times New Roman;sans-serif"/>
          <w:b w:val="false"/>
          <w:color w:val="000000"/>
          <w:sz w:val="22"/>
          <w:u w:val="single"/>
        </w:rPr>
        <w:t>Maintenance of Properties</w:t>
      </w:r>
      <w:r>
        <w:rPr>
          <w:rFonts w:ascii="Times New Roman;sans-serif" w:hAnsi="Times New Roman;sans-serif"/>
          <w:b w:val="false"/>
          <w:color w:val="000000"/>
          <w:sz w:val="22"/>
        </w:rPr>
        <w:t>. The Borrower will, and will cause each of the Restricted Subsidiaries to, (i) keep and maintain all tangible property material to the conduct of its business in good working order and condition, ordinary wear and tear, casualty, and condemnation excepted and (ii) prosecute, maintain, enforce and protect its Intellectual Property material to the conduct of its business, except, in each case, to the extent that the failure to do so would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9.9    </w:t>
      </w:r>
      <w:r>
        <w:rPr>
          <w:rFonts w:ascii="Times New Roman;sans-serif" w:hAnsi="Times New Roman;sans-serif"/>
          <w:b w:val="false"/>
          <w:color w:val="000000"/>
          <w:sz w:val="22"/>
          <w:u w:val="single"/>
        </w:rPr>
        <w:t>Transactions with Affiliates</w:t>
      </w:r>
      <w:r>
        <w:rPr>
          <w:rFonts w:ascii="Times New Roman;sans-serif" w:hAnsi="Times New Roman;sans-serif"/>
          <w:b w:val="false"/>
          <w:color w:val="000000"/>
          <w:sz w:val="22"/>
        </w:rPr>
        <w:t xml:space="preserve">. The Borrower will conduct, and cause each of the Restricted Subsidiaries to conduct, all transactions with any of its Affiliates (other than the Borrower and the Restricted Subsidiaries) involving aggregate payments or consideration in excess of $25,000,000 at the time of such Affiliate transaction, for any individual transaction or series of related transactions on terms that are at least substantially as favorable to the Borrower or such Restricted Subsidiary as it would obtain in a comparable arm’s-length transaction with a Person that is not an Affiliate, as determined by the board of directors of the Borrower or such Restricted Subsidiary in good faith;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foregoing restrictions shall not apply to (a) the payment of fees to the Sponsor for management, consulting and financial services rendered to the Borrower and the Restricted Subsidiaries pursuant to the Sponsor Management Agreement and customary investment banking fees paid to the Sponsor for services rendered to the Borrower and the Subsidiaries in connection with divestitures, acquisitions, financings and other transactions which payments are approved by a majority of the board of directors of the Borrower in good faith, (b) transactions permitted by </w:t>
      </w:r>
      <w:r>
        <w:rPr>
          <w:rFonts w:ascii="Times New Roman;sans-serif" w:hAnsi="Times New Roman;sans-serif"/>
          <w:b w:val="false"/>
          <w:color w:val="000000"/>
          <w:sz w:val="22"/>
          <w:u w:val="single"/>
        </w:rPr>
        <w:t>Section 10.5</w:t>
      </w:r>
      <w:r>
        <w:rPr>
          <w:rFonts w:ascii="Times New Roman;sans-serif" w:hAnsi="Times New Roman;sans-serif"/>
          <w:b w:val="false"/>
          <w:color w:val="000000"/>
          <w:sz w:val="22"/>
        </w:rPr>
        <w:t xml:space="preserve">, (c) consummation of the Transactions and the payment of the Transaction Expenses, (d) the issuance of Capital Stock or Stock Equivalents of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the Borrower (or any direct or indirect parent thereof) or any of its Subsidiaries not otherwise prohibited by the Credit Documents, (e) loans, advances and other transactions between or among the Borrower, any Restricted Subsidiary or any joint venture (regardless of the form of legal entity) in which the Borrower or any Subsidiary has invested (and which Subsidiary or joint venture would not be an Affiliate of the Borrower but for the Borrower’s or a Subsidiary’s ownership of Capital Stock or Stock Equivalents in such joint venture or Subsidiary) to the extent permitted under </w:t>
      </w:r>
      <w:r>
        <w:rPr>
          <w:rFonts w:ascii="Times New Roman;sans-serif" w:hAnsi="Times New Roman;sans-serif"/>
          <w:b w:val="false"/>
          <w:color w:val="000000"/>
          <w:sz w:val="22"/>
          <w:u w:val="single"/>
        </w:rPr>
        <w:t>Section 10</w:t>
      </w:r>
      <w:r>
        <w:rPr>
          <w:rFonts w:ascii="Times New Roman;sans-serif" w:hAnsi="Times New Roman;sans-serif"/>
          <w:b w:val="false"/>
          <w:color w:val="000000"/>
          <w:sz w:val="22"/>
        </w:rPr>
        <w:t xml:space="preserve">, (f) employment and severance arrangements between the Borrower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the Borrower (and any direct or indirect parent thereof) and the Subsidiaries pursuant to the tax sharing agreements among the Borrower (and any such parent) and the Subsidiaries that are permitted under </w:t>
      </w:r>
      <w:r>
        <w:rPr>
          <w:rFonts w:ascii="Times New Roman;sans-serif" w:hAnsi="Times New Roman;sans-serif"/>
          <w:b w:val="false"/>
          <w:color w:val="000000"/>
          <w:sz w:val="22"/>
          <w:u w:val="single"/>
        </w:rPr>
        <w:t>Section 10.5(b)(15)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in each case the amount of such payments in any fiscal year does not exceed the amount that the Borrower, the Restricted Subsidiaries and the Unrestricted Subsidiaries (to the extent of the amount received from Unrestricted Subsidiaries) would have been required to pay in respect of such foreign, federal, state and/or local taxes for such fiscal year had the Borrower, the Restricted Subsidiaries and the Unrestricted Subsidiaries (to the extent described above) paid such taxes separately from any such direct or indirect parent company of the Borrower, (h) the payment of customary fees and reasonable out of pocket costs to, and indemnities provided on behalf of, directors, managers, consultants, officers or employees of the Borrower (or any direct or indirect parent thereof) and the Subsidiaries in the ordinary course of business to the extent attributable to the ownership or operation of the Borrower and the Subsidiaries, (i) transactions undertaken pursuant to membership in a purchasing consortium, (j) 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 Effective Date as determined by the Borrower in good faith), (k) customary payments by the Borrower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9.10    </w:t>
      </w:r>
      <w:r>
        <w:rPr>
          <w:rFonts w:ascii="Times New Roman;sans-serif" w:hAnsi="Times New Roman;sans-serif"/>
          <w:b w:val="false"/>
          <w:color w:val="000000"/>
          <w:sz w:val="22"/>
          <w:u w:val="single"/>
        </w:rPr>
        <w:t>End of Fiscal Years</w:t>
      </w:r>
      <w:r>
        <w:rPr>
          <w:rFonts w:ascii="Times New Roman;sans-serif" w:hAnsi="Times New Roman;sans-serif"/>
          <w:b w:val="false"/>
          <w:color w:val="000000"/>
          <w:sz w:val="22"/>
        </w:rPr>
        <w:t xml:space="preserve">. The Borrower will, for financial reporting purposes, cause each of its, and each of the Restricted Subsidiaries’, fiscal years to end on dates consistent with past practice;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Borrower may, upon written notice to the Administrative Agent change the financial reporting convention specified above to (x) align the dates of such fiscal year and for any Restricted Subsidiary whose fiscal years end on dates different from those of the Borrower or (y) any other financial reporting convention (including a change of fiscal year) reasonably acceptable (such consent not to be unreasonably withheld or delayed) to the Administrative Agent, in which case the Borrower and the Administrative Agent will, and are hereby authorized by the Lenders to, make any adjustments to this Agreement that are necessary in order to reflect such change in financial reporting.</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9.11    </w:t>
      </w:r>
      <w:r>
        <w:rPr>
          <w:rFonts w:ascii="Times New Roman;sans-serif" w:hAnsi="Times New Roman;sans-serif"/>
          <w:b w:val="false"/>
          <w:color w:val="000000"/>
          <w:sz w:val="22"/>
          <w:u w:val="single"/>
        </w:rPr>
        <w:t>Additional Guarantors and Grantors</w:t>
      </w:r>
      <w:r>
        <w:rPr>
          <w:rFonts w:ascii="Times New Roman;sans-serif" w:hAnsi="Times New Roman;sans-serif"/>
          <w:b w:val="false"/>
          <w:color w:val="000000"/>
          <w:sz w:val="22"/>
        </w:rPr>
        <w:t xml:space="preserve">. Subject to any applicable limitations set forth in the Security Documents, (x) the Borrower will cause each direct or indirect Subsidiary (other than any Excluded Subsidiary) formed or otherwise purchased or acquired after the Closing Date (including pursuant to a Permitted Acquisition) and the Borrower will cause each other Subsidiary that ceases to constitute an Excluded Subsidiary and (y) subject to </w:t>
      </w:r>
      <w:r>
        <w:rPr>
          <w:rFonts w:ascii="Times New Roman;sans-serif" w:hAnsi="Times New Roman;sans-serif"/>
          <w:b w:val="false"/>
          <w:color w:val="000000"/>
          <w:sz w:val="22"/>
          <w:u w:val="single"/>
        </w:rPr>
        <w:t>Section 9.14</w:t>
      </w:r>
      <w:r>
        <w:rPr>
          <w:rFonts w:ascii="Times New Roman;sans-serif" w:hAnsi="Times New Roman;sans-serif"/>
          <w:b w:val="false"/>
          <w:color w:val="000000"/>
          <w:sz w:val="22"/>
        </w:rPr>
        <w:t xml:space="preserve">, Holdings will cause each direct or indirect Subsidiary (other than the Borrower and its Subsidiaries) formed or otherwise purchased or acquired after the Closing Date that directly or indirectly through a Subsidiary own or holds any Capital Stock or Stock Equivalents of the Borrower that is required to Guarantee the Obligations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t>Section 9.14</w:t>
      </w:r>
      <w:r>
        <w:rPr>
          <w:rFonts w:ascii="Times New Roman;sans-serif" w:hAnsi="Times New Roman;sans-serif"/>
          <w:b w:val="false"/>
          <w:color w:val="000000"/>
          <w:sz w:val="22"/>
        </w:rPr>
        <w:t xml:space="preserve">, in each case, within 60 days from the date of such formation, acquisition or cessation, and the Borrower may at its option cause any other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Borrower and the Subsidiary Credit Parties (or in the case of </w:t>
      </w:r>
      <w:r>
        <w:rPr>
          <w:rFonts w:ascii="Times New Roman;sans-serif" w:hAnsi="Times New Roman;sans-serif"/>
          <w:b w:val="false"/>
          <w:color w:val="000000"/>
          <w:sz w:val="22"/>
          <w:u w:val="single"/>
        </w:rPr>
        <w:t>clause (y)</w:t>
      </w:r>
      <w:r>
        <w:rPr>
          <w:color w:val="000000"/>
        </w:rPr>
        <w:t xml:space="preserve"> </w:t>
      </w:r>
      <w:r>
        <w:rPr>
          <w:rFonts w:ascii="Times New Roman;sans-serif" w:hAnsi="Times New Roman;sans-serif"/>
          <w:b w:val="false"/>
          <w:color w:val="000000"/>
          <w:sz w:val="22"/>
        </w:rPr>
        <w:t xml:space="preserve">above, to substantially the same extent as created and perfected by Holdings and the Texas Intermediate Holdcos) on the Closing Date and pursuant to </w:t>
      </w:r>
      <w:r>
        <w:rPr>
          <w:rFonts w:ascii="Times New Roman;sans-serif" w:hAnsi="Times New Roman;sans-serif"/>
          <w:b w:val="false"/>
          <w:color w:val="000000"/>
          <w:sz w:val="22"/>
          <w:u w:val="single"/>
        </w:rPr>
        <w:t>Section 9.14(d)</w:t>
      </w:r>
      <w:r>
        <w:rPr>
          <w:color w:val="000000"/>
        </w:rPr>
        <w:t xml:space="preserve"> </w:t>
      </w:r>
      <w:r>
        <w:rPr>
          <w:rFonts w:ascii="Times New Roman;sans-serif" w:hAnsi="Times New Roman;sans-serif"/>
          <w:b w:val="false"/>
          <w:color w:val="000000"/>
          <w:sz w:val="22"/>
        </w:rPr>
        <w:t xml:space="preserve">in the case of such Credit Parties.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9.12    </w:t>
      </w:r>
      <w:r>
        <w:rPr>
          <w:rFonts w:ascii="Times New Roman;sans-serif" w:hAnsi="Times New Roman;sans-serif"/>
          <w:b w:val="false"/>
          <w:color w:val="000000"/>
          <w:sz w:val="22"/>
          <w:u w:val="single"/>
        </w:rPr>
        <w:t>Pledge of Additional Stock and Evidence of Indebtedness</w:t>
      </w:r>
      <w:r>
        <w:rPr>
          <w:rFonts w:ascii="Times New Roman;sans-serif" w:hAnsi="Times New Roman;sans-serif"/>
          <w:b w:val="false"/>
          <w:color w:val="000000"/>
          <w:sz w:val="22"/>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any direct or indirect parent entity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the greater of (a) $48,000,000 and (b) 10% of Consolidated EBITDA for the most recently ended Test Period (calculated on a Pro Forma Basis) at the time of any disposition of assets pursuant to </w:t>
      </w:r>
      <w:r>
        <w:rPr>
          <w:rFonts w:ascii="Times New Roman;sans-serif" w:hAnsi="Times New Roman;sans-serif"/>
          <w:b w:val="false"/>
          <w:color w:val="000000"/>
          <w:sz w:val="22"/>
          <w:u w:val="single"/>
        </w:rPr>
        <w:t>Section 10.4(b)</w:t>
      </w:r>
      <w:r>
        <w:rPr>
          <w:color w:val="000000"/>
        </w:rPr>
        <w:t xml:space="preserve"> </w:t>
      </w:r>
      <w:r>
        <w:rPr>
          <w:rFonts w:ascii="Times New Roman;sans-serif" w:hAnsi="Times New Roman;sans-serif"/>
          <w:b w:val="false"/>
          <w:color w:val="000000"/>
          <w:sz w:val="22"/>
        </w:rPr>
        <w:t xml:space="preserve">received by Holdings, the Borrower or any of the Guarantors in connection with any disposition of assets pursuant to </w:t>
      </w:r>
      <w:r>
        <w:rPr>
          <w:rFonts w:ascii="Times New Roman;sans-serif" w:hAnsi="Times New Roman;sans-serif"/>
          <w:b w:val="false"/>
          <w:color w:val="000000"/>
          <w:sz w:val="22"/>
          <w:u w:val="single"/>
        </w:rPr>
        <w:t>Section 10.4(b)</w:t>
      </w:r>
      <w:r>
        <w:rPr>
          <w:rFonts w:ascii="Times New Roman;sans-serif" w:hAnsi="Times New Roman;sans-serif"/>
          <w:b w:val="false"/>
          <w:color w:val="000000"/>
          <w:sz w:val="22"/>
        </w:rPr>
        <w:t>, and (iii) any promissory notes executed after the Closing Date evidencing Indebtedness in excess of the greater of (a) $48,000,000 and (b) 10% of Consolidated EBITDA for the most recently ended Test Period (calculated on a Pro Forma Basis) at the time such promissory note is executed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the Borrower and/or its Subsidiaries need not be delivered to the Collateral Agent so long as (i) a global intercompany note superseding such promissory note has been delivered to the Collateral Agent, (ii) such promissory note is not delivered to any other party other than the Borrower or any Subsidiary Credit Party, in each case, owed money thereunder, and (iii) such promissory note indicates on its face that it is subject to the security interest of the Collateral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9.13    </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xml:space="preserve">. The Borrower will use the proceeds of the Initial Term Loans and borrowings under the ABL Facility to effect the Transactions, with any remaining amounts available for general corporate purposes.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9.14    </w:t>
      </w:r>
      <w:r>
        <w:rPr>
          <w:rFonts w:ascii="Times New Roman;sans-serif" w:hAnsi="Times New Roman;sans-serif"/>
          <w:b w:val="false"/>
          <w:color w:val="000000"/>
          <w:sz w:val="22"/>
          <w:u w:val="single"/>
        </w:rPr>
        <w:t>Further Assurances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Subject to the terms of </w:t>
      </w:r>
      <w:r>
        <w:rPr>
          <w:rFonts w:ascii="Times New Roman;sans-serif" w:hAnsi="Times New Roman;sans-serif"/>
          <w:b w:val="false"/>
          <w:color w:val="000000"/>
          <w:sz w:val="22"/>
          <w:u w:val="single"/>
        </w:rPr>
        <w:t>Sections 9.11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9.12</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9.14</w:t>
      </w:r>
      <w:r>
        <w:rPr>
          <w:color w:val="000000"/>
        </w:rPr>
        <w:t xml:space="preserve"> </w:t>
      </w:r>
      <w:r>
        <w:rPr>
          <w:rFonts w:ascii="Times New Roman;sans-serif" w:hAnsi="Times New Roman;sans-serif"/>
          <w:b w:val="false"/>
          <w:color w:val="000000"/>
          <w:sz w:val="22"/>
        </w:rPr>
        <w:t>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Subject to any applicable limitations set forth in the Security Documents and other than (x) when in the reasonable determination of the Administrative Agent and the Borrower (as agreed to in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writing), the cost or other consequences of doing so would be excessive in view of the benefits to be obtained by the Lenders therefrom or (y) to the extent doing so would result in material adverse tax consequences to the Borrower or any Subsidiary or direct or indirect parent entity as reasonably determined by the Borrower in consultation with the Administrative Agent, if any assets (other than Excluded Property) (including any real estate or improvements thereto or any interest therein but excluding any real estate which the applicable Credit Party intends to dispose of pursuant to a Permitted Sale Leaseback so long as actually disposed of within 540 days of acquisition (or such longer period as the Administrative Agent may reasonably agree)) with a book value in excess of the greater of (a) $25,000,000 and (b) 5% of Consolidated EBITDA for the most recently ended Test Period (calculated on a Pro Forma Basis) (at the time of acquisition) are acquired by the Borrower or any other Subsidiary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the Borrower will notify the Collateral Agent, and, if requested by the Collateral Agent, the Borrower will cause such assets to be subjected to a Lien securing the Obligations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the event any Mortgage delivered pursuant to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shall incur any mortgage recording tax or similar charges in connection with the recording thereof, such Mortgage shall not secure an amount in excess of the Fair Market Value of the applicable Mortgaged Property)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9.14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Any Mortgage delivered to the Administrative Agent in accordance with the preceding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shall, if requested by the Collateral Agent, be received as soon as commercially reasonable but in no event later than 90 days (except as set forth in the preceding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or as otherwise permitted by the Administrative Agent and otherwise in form and substance reasonably acceptable to the Administrative Agent, together with such endorsements, coinsurance and reinsurance as the Administrative Agent may reasonably request but only to the extent such endorsements are (i) available in the relevant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evidence of insurance required by </w:t>
      </w:r>
      <w:r>
        <w:rPr>
          <w:rFonts w:ascii="Times New Roman;sans-serif" w:hAnsi="Times New Roman;sans-serif"/>
          <w:b w:val="false"/>
          <w:color w:val="000000"/>
          <w:sz w:val="22"/>
          <w:u w:val="single"/>
        </w:rPr>
        <w:t>Section 9.3</w:t>
      </w:r>
      <w:r>
        <w:rPr>
          <w:color w:val="000000"/>
        </w:rPr>
        <w:t xml:space="preserve"> </w:t>
      </w:r>
      <w:r>
        <w:rPr>
          <w:rFonts w:ascii="Times New Roman;sans-serif" w:hAnsi="Times New Roman;sans-serif"/>
          <w:b w:val="false"/>
          <w:color w:val="000000"/>
          <w:sz w:val="22"/>
        </w:rPr>
        <w:t xml:space="preserve">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w:t>
      </w: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u w:val="single"/>
        </w:rPr>
        <w:t>Post-Closing Covenant</w:t>
      </w:r>
      <w:r>
        <w:rPr>
          <w:rFonts w:ascii="Times New Roman;sans-serif" w:hAnsi="Times New Roman;sans-serif"/>
          <w:b w:val="false"/>
          <w:color w:val="000000"/>
          <w:sz w:val="22"/>
        </w:rPr>
        <w:t xml:space="preserve">. The Borrower agrees that it will, or will cause its relevant Subsidiaries to, complete each of the actions described on </w:t>
      </w:r>
      <w:r>
        <w:rPr>
          <w:rFonts w:ascii="Times New Roman;sans-serif" w:hAnsi="Times New Roman;sans-serif"/>
          <w:b w:val="false"/>
          <w:color w:val="000000"/>
          <w:sz w:val="22"/>
          <w:u w:val="single"/>
        </w:rPr>
        <w:t>Schedule 9.14</w:t>
      </w:r>
      <w:r>
        <w:rPr>
          <w:color w:val="000000"/>
        </w:rPr>
        <w:t xml:space="preserve"> </w:t>
      </w:r>
      <w:r>
        <w:rPr>
          <w:rFonts w:ascii="Times New Roman;sans-serif" w:hAnsi="Times New Roman;sans-serif"/>
          <w:b w:val="false"/>
          <w:color w:val="000000"/>
          <w:sz w:val="22"/>
        </w:rPr>
        <w:t xml:space="preserve">as soon as commercially reasonable and by no later than the date set forth in </w:t>
      </w:r>
      <w:r>
        <w:rPr>
          <w:rFonts w:ascii="Times New Roman;sans-serif" w:hAnsi="Times New Roman;sans-serif"/>
          <w:b w:val="false"/>
          <w:color w:val="000000"/>
          <w:sz w:val="22"/>
          <w:u w:val="single"/>
        </w:rPr>
        <w:t>Schedule 9.14</w:t>
      </w:r>
      <w:r>
        <w:rPr>
          <w:color w:val="000000"/>
        </w:rPr>
        <w:t xml:space="preserve"> </w:t>
      </w:r>
      <w:r>
        <w:rPr>
          <w:rFonts w:ascii="Times New Roman;sans-serif" w:hAnsi="Times New Roman;sans-serif"/>
          <w:b w:val="false"/>
          <w:color w:val="000000"/>
          <w:sz w:val="22"/>
        </w:rPr>
        <w:t>with respect to such action or such later date as the Administrative Agent may reasonably agree.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9.15    </w:t>
      </w:r>
      <w:r>
        <w:rPr>
          <w:rFonts w:ascii="Times New Roman;sans-serif" w:hAnsi="Times New Roman;sans-serif"/>
          <w:b w:val="false"/>
          <w:color w:val="000000"/>
          <w:sz w:val="22"/>
          <w:u w:val="single"/>
        </w:rPr>
        <w:t>Maintenance of Ratings</w:t>
      </w:r>
      <w:r>
        <w:rPr>
          <w:rFonts w:ascii="Times New Roman;sans-serif" w:hAnsi="Times New Roman;sans-serif"/>
          <w:b w:val="false"/>
          <w:color w:val="000000"/>
          <w:sz w:val="22"/>
        </w:rPr>
        <w:t>. The Borrower will use commercially reasonable efforts to obtain and maintain (but not maintain any specific rating) a corporate family and/or corporate credit rating in respect of the Borrower, as applicable, and ratings in respect of the credit facilities provided pursuant to this Agreement, in each case, from each of S&amp;P and Moody’s.</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9.16    </w:t>
      </w:r>
      <w:r>
        <w:rPr>
          <w:rFonts w:ascii="Times New Roman;sans-serif" w:hAnsi="Times New Roman;sans-serif"/>
          <w:b w:val="false"/>
          <w:color w:val="000000"/>
          <w:sz w:val="22"/>
          <w:u w:val="single"/>
        </w:rPr>
        <w:t>Lines of Business</w:t>
      </w:r>
      <w:r>
        <w:rPr>
          <w:rFonts w:ascii="Times New Roman;sans-serif" w:hAnsi="Times New Roman;sans-serif"/>
          <w:b w:val="false"/>
          <w:color w:val="000000"/>
          <w:sz w:val="22"/>
        </w:rPr>
        <w:t>. The Borrower and the Restricted Subsidiaries, taken as a whole, will not fundamentally and substantively alter the character of their business, taken as a whole, from the business conducted by the Borrower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9.17    </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The Borrower and the Restricted Subsidiaries shall promptly provide such additional information regarding the business, financial or corporate affairs of Holdings or any Restricted Subsidiary, or compliance with the terms of the Credit Documents, as the Administrative Agent or any Lender may from time to time reasonably request with respect to applicable “know-your-customer” and anti-money laundering rules and regulations (including the Patriot Act).</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10.    </w:t>
      </w:r>
      <w:r>
        <w:rPr>
          <w:rFonts w:ascii="Times New Roman;sans-serif" w:hAnsi="Times New Roman;sans-serif"/>
          <w:b w:val="false"/>
          <w:color w:val="000000"/>
          <w:sz w:val="22"/>
        </w:rPr>
        <w:t>Negative 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Borrower (and, with respect to </w:t>
      </w:r>
      <w:r>
        <w:rPr>
          <w:rFonts w:ascii="Times New Roman;sans-serif" w:hAnsi="Times New Roman;sans-serif"/>
          <w:b w:val="false"/>
          <w:color w:val="000000"/>
          <w:sz w:val="22"/>
          <w:u w:val="single"/>
        </w:rPr>
        <w:t>Section 10.7</w:t>
      </w:r>
      <w:r>
        <w:rPr>
          <w:color w:val="000000"/>
        </w:rPr>
        <w:t xml:space="preserve"> </w:t>
      </w:r>
      <w:r>
        <w:rPr>
          <w:rFonts w:ascii="Times New Roman;sans-serif" w:hAnsi="Times New Roman;sans-serif"/>
          <w:b w:val="false"/>
          <w:color w:val="000000"/>
          <w:sz w:val="22"/>
        </w:rPr>
        <w:t xml:space="preserve">only, Holdings and each Intermediate Holdco) hereby covenants and agrees that on the Restatement Effective Date and thereafter, until the Termination Date: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10.1    </w:t>
      </w:r>
      <w:r>
        <w:rPr>
          <w:rFonts w:ascii="Times New Roman;sans-serif" w:hAnsi="Times New Roman;sans-serif"/>
          <w:b w:val="false"/>
          <w:color w:val="000000"/>
          <w:sz w:val="22"/>
          <w:u w:val="single"/>
        </w:rPr>
        <w:t>Limitation on Indebtedness</w:t>
      </w:r>
      <w:r>
        <w:rPr>
          <w:rFonts w:ascii="Times New Roman;sans-serif" w:hAnsi="Times New Roman;sans-serif"/>
          <w:b w:val="false"/>
          <w:color w:val="000000"/>
          <w:sz w:val="22"/>
        </w:rPr>
        <w:t>. The Borrower will not, and will not permit any of its Restricted Subsidiaries to create, incur, issue, assume, guarantee or otherwise become liable, contingently or otherwise (collectively, “</w:t>
      </w:r>
      <w:r>
        <w:rPr>
          <w:rFonts w:ascii="Times New Roman;sans-serif" w:hAnsi="Times New Roman;sans-serif"/>
          <w:b/>
          <w:color w:val="000000"/>
          <w:sz w:val="22"/>
        </w:rPr>
        <w:t>incur</w:t>
      </w:r>
      <w:r>
        <w:rPr>
          <w:color w:val="000000"/>
        </w:rPr>
        <w:t xml:space="preserve">” </w:t>
      </w:r>
      <w:r>
        <w:rPr>
          <w:rFonts w:ascii="Times New Roman;sans-serif" w:hAnsi="Times New Roman;sans-serif"/>
          <w:b w:val="false"/>
          <w:color w:val="000000"/>
          <w:sz w:val="22"/>
        </w:rPr>
        <w:t>and collectively, an “</w:t>
      </w:r>
      <w:r>
        <w:rPr>
          <w:rFonts w:ascii="Times New Roman;sans-serif" w:hAnsi="Times New Roman;sans-serif"/>
          <w:b/>
          <w:color w:val="000000"/>
          <w:sz w:val="22"/>
        </w:rPr>
        <w:t>incurrence</w:t>
      </w:r>
      <w:r>
        <w:rPr>
          <w:color w:val="000000"/>
        </w:rPr>
        <w:t>”</w:t>
      </w:r>
      <w:r>
        <w:rPr>
          <w:rFonts w:ascii="Times New Roman;sans-serif" w:hAnsi="Times New Roman;sans-serif"/>
          <w:b w:val="false"/>
          <w:color w:val="000000"/>
          <w:sz w:val="22"/>
        </w:rPr>
        <w:t xml:space="preserve">) with respect to any Indebtedness (including Acquired Indebtedness) and the Borrower will not issue any shares of Disqualified Stock and will not permit any Restricted Subsidiary to issue any shares of Disqualified Stock or, in the case of Restricted Subsidiaries that are not Guarantors, preferred stock;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Borrower and its Restricted Subsidiaries may incur Indebtedness (including Acquired Indebtedness) or issue shares of Disqualified Stock, and any Restricted Subsidiary may incur Indebtedness (including Acquired Indebtedness), issue shares of Disqualified Stock and issue shares of preferred stock, if, after giving effect thereto, (A) the Fixed Charge Coverage Ratio of the Borrower and the Restricted Subsidiaries is at least 2.00:1.00 or (B) the Borrower and its Restricted Subsidiaries may Incur Indebtedness (including Acquired Indebtedness), if, after giving effect thereto, the Consolidated Total Debt to Consolidated EBITDA Ratio (calculated on a Pro Forma Basis) shall be less than or equal to 2.25:1.00 (Indebtedness Incurred pursuant to this paragraph, “</w:t>
      </w:r>
      <w:r>
        <w:rPr>
          <w:rFonts w:ascii="Times New Roman;sans-serif" w:hAnsi="Times New Roman;sans-serif"/>
          <w:b/>
          <w:color w:val="000000"/>
          <w:sz w:val="22"/>
        </w:rPr>
        <w:t>Ratio Debt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foregoing limitations will not apply 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Indebtedness arising under the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color w:val="000000"/>
        </w:rPr>
        <w:t xml:space="preserve"> </w:t>
      </w:r>
      <w:r>
        <w:rPr>
          <w:rFonts w:ascii="Times New Roman;sans-serif" w:hAnsi="Times New Roman;sans-serif"/>
          <w:b w:val="false"/>
          <w:color w:val="000000"/>
          <w:sz w:val="22"/>
        </w:rPr>
        <w:t>(i) Indebtedness represented by the ABL Facility and any guarantee thereof in an aggregate principal amount (together with any Refinancing Indebtedness in respect thereof and all accrued interest, fees and expenses) not to exceed the greater of (A) $1,000,000,000 and (B) the Borrowing Base Basket as of the date of such incurrence and (ii) Indebtedness represented by the New Senior Notes and any guarantee thereof; provided that such New Senior Notes have been defeased;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(i) Indebtedness (including any unused commitment) outstanding on the Restatement Effective Date listed on </w:t>
      </w:r>
      <w:r>
        <w:rPr>
          <w:rFonts w:ascii="Times New Roman;sans-serif" w:hAnsi="Times New Roman;sans-serif"/>
          <w:b w:val="false"/>
          <w:color w:val="000000"/>
          <w:sz w:val="22"/>
          <w:u w:val="single"/>
        </w:rPr>
        <w:t>Schedule 10.1</w:t>
      </w:r>
      <w:r>
        <w:rPr>
          <w:color w:val="000000"/>
        </w:rPr>
        <w:t xml:space="preserve"> </w:t>
      </w:r>
      <w:r>
        <w:rPr>
          <w:rFonts w:ascii="Times New Roman;sans-serif" w:hAnsi="Times New Roman;sans-serif"/>
          <w:b w:val="false"/>
          <w:color w:val="000000"/>
          <w:sz w:val="22"/>
        </w:rPr>
        <w:t xml:space="preserve">and (ii) intercompany Indebtedness (including any unused commitment) outstanding on the Restatement Effective Date listed on </w:t>
      </w:r>
      <w:r>
        <w:rPr>
          <w:rFonts w:ascii="Times New Roman;sans-serif" w:hAnsi="Times New Roman;sans-serif"/>
          <w:b w:val="false"/>
          <w:color w:val="000000"/>
          <w:sz w:val="22"/>
          <w:u w:val="single"/>
        </w:rPr>
        <w:t>Schedule 10.1</w:t>
      </w:r>
      <w:r>
        <w:rPr>
          <w:color w:val="000000"/>
        </w:rPr>
        <w:t xml:space="preserve"> </w:t>
      </w:r>
      <w:r>
        <w:rPr>
          <w:rFonts w:ascii="Times New Roman;sans-serif" w:hAnsi="Times New Roman;sans-serif"/>
          <w:b w:val="false"/>
          <w:color w:val="000000"/>
          <w:sz w:val="22"/>
        </w:rPr>
        <w:t>(other than intercompany Indebtedness owed by a Credit Party to another Credit Party);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Indebtedness (including Capitalized Lease Obligations), Disqualified Stock and preferred stock incurred by the Borrower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the Borrower or any Restricted Subsidiary under or pursuant to any “synthetic lease” transactions to on-balance sheet Indebtedness of the Borrower or such Restricted Subsidiary, in an aggregate principal amount which, when aggregated with the principal amount of all other Indebtedness, Disqualified Stock and preferred stock then outstanding and incurred pursuant to this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and all Refinancing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Indebtedness incurred to refinance any other Indebtedness, Disqualified Stock and preferred stock incurred pursuant to this </w:t>
      </w:r>
      <w:r>
        <w:rPr>
          <w:rFonts w:ascii="Times New Roman;sans-serif" w:hAnsi="Times New Roman;sans-serif"/>
          <w:b w:val="false"/>
          <w:color w:val="000000"/>
          <w:sz w:val="22"/>
          <w:u w:val="single"/>
        </w:rPr>
        <w:t>clause (d)</w:t>
      </w:r>
      <w:r>
        <w:rPr>
          <w:rFonts w:ascii="Times New Roman;sans-serif" w:hAnsi="Times New Roman;sans-serif"/>
          <w:b w:val="false"/>
          <w:color w:val="000000"/>
          <w:sz w:val="22"/>
        </w:rPr>
        <w:t xml:space="preserve">, does not exceed the greater of (x) $168,000,000 and (y) 35% of Consolidated EBITDA for the most recently ended Test Period (calculated on a Pro Forma Basis) at the time of incurrence;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Capitalized Lease Obligations incurred by the Borrower or any Restricted Subsidiary pursuant to this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in connection with a Permitted Sale Leaseback shall not be subject to the foregoing limitation so long as the proceeds of such Permitted Sale Leaseback are used by the Borrower or such Restricted Subsidiary to permanently repay outstanding Term Loans or other Indebtedness secured by a Lien on the assets subject to such Permitted Sale Leaseback (excluding any Lien ranking junior to the Lien securing the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Indebtedness incurred by the Borrower or any Restricted Subsidiary (including letter of credit obligations consistent with past practice constituting reimbursement obligations with respect to letters of credit issued in the ordinary course of business), in respect of workers’ compensation claims, deferred compensation,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Indebtedness arising from agreements of the Borrower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Indebtedness of the Borrower to a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any such Indebtedness owing to a Restricted Subsidiary that is not a Subsidiary Guarantor is subordinated in right of payment to the Obligations;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clause;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 xml:space="preserve">Indebtedness of a Restricted Subsidiary owing to another Restricted Subsidiary or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if a Subsidiary Guarantor incurs such Indebtedness owing to a Restricted Subsidiary that is not a Subsidiary Guarantor, such Indebtedness is subordinated in right of payment to the Guarantee of such Subsidiary Guarantor as the case may be;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any subsequent transfer of any such Indebtedness (except to the Borrower or another Subsidiary Guarantor) shall be deemed, in each case to be an incurrence of such Indebtedness not permitted by this clause;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shares of preferred stock of a Restricted Subsidiary issued to the Borrower or another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clause;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Hedging Obligations (excluding Hedging Obligations entered into for speculative purposes);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(k)    </w:t>
      </w:r>
      <w:r>
        <w:rPr>
          <w:color w:val="000000"/>
        </w:rPr>
        <w:t xml:space="preserve"> </w:t>
      </w:r>
      <w:r>
        <w:rPr>
          <w:rFonts w:ascii="Times New Roman;sans-serif" w:hAnsi="Times New Roman;sans-serif"/>
          <w:b w:val="false"/>
          <w:color w:val="000000"/>
          <w:sz w:val="22"/>
        </w:rPr>
        <w:t>(i) obligations in respect of self-insurance, performance, bid, appeal, and surety bonds and completion guarantees and similar obligations provided by the Borrower or any Restricted Subsidiary or (ii) obligations in respect of letters of credit, bank guarantees or similar instruments related thereto, in each case, in the ordinary course of business or consistent with past practice;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(l)    </w:t>
      </w:r>
      <w:r>
        <w:rPr>
          <w:color w:val="000000"/>
        </w:rPr>
        <w:t xml:space="preserve"> </w:t>
      </w:r>
      <w:r>
        <w:rPr>
          <w:rFonts w:ascii="Times New Roman;sans-serif" w:hAnsi="Times New Roman;sans-serif"/>
          <w:b w:val="false"/>
          <w:color w:val="000000"/>
          <w:sz w:val="22"/>
        </w:rPr>
        <w:t xml:space="preserve">(i) Indebtedness, Disqualified Stock and preferred stock of the Borrower or any Restricted Subsidiary in an aggregate principal amount or liquidation preference (together with any Refinancing Indebtedness in respect thereof) up to 100% of the net cash proceeds received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Borrower since immediately after the Restatement Effective Date from the issue or sale of Equity Interests of the Borrower or cash contributed to the capital of the Borrower (in each case, other than Excluded Contributions or proceeds of Disqualified Stock or sales of Equity Interests to any of the Borrower’s Subsidiaries) as determined in accordance with </w:t>
      </w:r>
      <w:r>
        <w:rPr>
          <w:rFonts w:ascii="Times New Roman;sans-serif" w:hAnsi="Times New Roman;sans-serif"/>
          <w:b w:val="false"/>
          <w:color w:val="000000"/>
          <w:sz w:val="22"/>
          <w:u w:val="single"/>
        </w:rPr>
        <w:t>Sections 10.5(a)(iii)(B)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10.5(a)(iii)(C)</w:t>
      </w:r>
      <w:r>
        <w:rPr>
          <w:color w:val="000000"/>
        </w:rPr>
        <w:t xml:space="preserve"> </w:t>
      </w:r>
      <w:r>
        <w:rPr>
          <w:rFonts w:ascii="Times New Roman;sans-serif" w:hAnsi="Times New Roman;sans-serif"/>
          <w:b w:val="false"/>
          <w:color w:val="000000"/>
          <w:sz w:val="22"/>
        </w:rPr>
        <w:t xml:space="preserve">to the extent such net cash proceeds or cash have not been applied pursuant to such clauses to make Restricted Payments or to make other Investments, payments or exchanges pursuant to </w:t>
      </w:r>
      <w:r>
        <w:rPr>
          <w:rFonts w:ascii="Times New Roman;sans-serif" w:hAnsi="Times New Roman;sans-serif"/>
          <w:b w:val="false"/>
          <w:color w:val="000000"/>
          <w:sz w:val="22"/>
          <w:u w:val="single"/>
        </w:rPr>
        <w:t>Section 10.5(b)</w:t>
      </w:r>
      <w:r>
        <w:rPr>
          <w:color w:val="000000"/>
        </w:rPr>
        <w:t xml:space="preserve"> </w:t>
      </w:r>
      <w:r>
        <w:rPr>
          <w:rFonts w:ascii="Times New Roman;sans-serif" w:hAnsi="Times New Roman;sans-serif"/>
          <w:b w:val="false"/>
          <w:color w:val="000000"/>
          <w:sz w:val="22"/>
        </w:rPr>
        <w:t xml:space="preserve">or to make Permitted Investments (other than Permitted Investments specified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of the definition thereof) and (ii)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Times New Roman;sans-serif" w:hAnsi="Times New Roman;sans-serif"/>
          <w:b w:val="false"/>
          <w:color w:val="000000"/>
          <w:sz w:val="22"/>
          <w:u w:val="single"/>
        </w:rPr>
        <w:t>clause (l)(ii)</w:t>
      </w:r>
      <w:r>
        <w:rPr>
          <w:rFonts w:ascii="Times New Roman;sans-serif" w:hAnsi="Times New Roman;sans-serif"/>
          <w:b w:val="false"/>
          <w:color w:val="000000"/>
          <w:sz w:val="22"/>
        </w:rPr>
        <w:t xml:space="preserve">, does not at any one time outstanding exceed the sum of (A) the greater of (x) $240,000,000 and (y) 50% of Consolidated EBITDA for the most recently ended Test Period (calculated on a Pro Forma Basis) at the time of incurrence and (B) additional Indebtedness of the Borrower or any of its Restricted Subsidiaries in an aggregate principal amount not to exceed the Available Amount that is not otherwise applied pursuant to Section 10.5(a)(iii) as in effect immediately prior to the Incurrence of such Indebtedness (and after giving Pro Forma Effect thereto) (it being further understood that any Indebtedness, Disqualified Stock or preferred stock incurred pursuant to this </w:t>
      </w:r>
      <w:r>
        <w:rPr>
          <w:rFonts w:ascii="Times New Roman;sans-serif" w:hAnsi="Times New Roman;sans-serif"/>
          <w:b w:val="false"/>
          <w:color w:val="000000"/>
          <w:sz w:val="22"/>
          <w:u w:val="single"/>
        </w:rPr>
        <w:t>clause (l)(ii)</w:t>
      </w:r>
      <w:r>
        <w:rPr>
          <w:color w:val="000000"/>
        </w:rPr>
        <w:t xml:space="preserve"> </w:t>
      </w:r>
      <w:r>
        <w:rPr>
          <w:rFonts w:ascii="Times New Roman;sans-serif" w:hAnsi="Times New Roman;sans-serif"/>
          <w:b w:val="false"/>
          <w:color w:val="000000"/>
          <w:sz w:val="22"/>
        </w:rPr>
        <w:t xml:space="preserve">shall cease to be deemed incurred or outstanding for purposes of this </w:t>
      </w:r>
      <w:r>
        <w:rPr>
          <w:rFonts w:ascii="Times New Roman;sans-serif" w:hAnsi="Times New Roman;sans-serif"/>
          <w:b w:val="false"/>
          <w:color w:val="000000"/>
          <w:sz w:val="22"/>
          <w:u w:val="single"/>
        </w:rPr>
        <w:t>clause (l)(ii)</w:t>
      </w:r>
      <w:r>
        <w:rPr>
          <w:color w:val="000000"/>
        </w:rPr>
        <w:t xml:space="preserve"> </w:t>
      </w:r>
      <w:r>
        <w:rPr>
          <w:rFonts w:ascii="Times New Roman;sans-serif" w:hAnsi="Times New Roman;sans-serif"/>
          <w:b w:val="false"/>
          <w:color w:val="000000"/>
          <w:sz w:val="22"/>
        </w:rPr>
        <w:t xml:space="preserve">but shall be deemed incurred for the purposes of the first paragraph of this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from and after the first date on which the Borrower or such Restricted Subsidiary could have incurred such Indebtedness, Disqualified Stock or preferred stock under the first paragraph of this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without reliance on this </w:t>
      </w:r>
      <w:r>
        <w:rPr>
          <w:rFonts w:ascii="Times New Roman;sans-serif" w:hAnsi="Times New Roman;sans-serif"/>
          <w:b w:val="false"/>
          <w:color w:val="000000"/>
          <w:sz w:val="22"/>
          <w:u w:val="single"/>
        </w:rPr>
        <w:t>clause (l)(ii)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(m)    </w:t>
      </w:r>
      <w:r>
        <w:rPr>
          <w:rFonts w:ascii="Times New Roman;sans-serif" w:hAnsi="Times New Roman;sans-serif"/>
          <w:b w:val="false"/>
          <w:color w:val="000000"/>
          <w:sz w:val="22"/>
        </w:rPr>
        <w:t xml:space="preserve">the incurrence or issuance by the Borrower or any Restricted Subsidiary of Indebtedness, Disqualified Stock or preferred stock which serves to refinance any Indebtedness, Disqualified Stock or preferred stock incurred as permitted under the first paragraph of this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clauses (b)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above, </w:t>
      </w:r>
      <w:r>
        <w:rPr>
          <w:rFonts w:ascii="Times New Roman;sans-serif" w:hAnsi="Times New Roman;sans-serif"/>
          <w:b w:val="false"/>
          <w:color w:val="000000"/>
          <w:sz w:val="22"/>
          <w:u w:val="single"/>
        </w:rPr>
        <w:t>clause (l)(i)</w:t>
      </w:r>
      <w:r>
        <w:rPr>
          <w:color w:val="000000"/>
        </w:rPr>
        <w:t xml:space="preserve"> </w:t>
      </w:r>
      <w:r>
        <w:rPr>
          <w:rFonts w:ascii="Times New Roman;sans-serif" w:hAnsi="Times New Roman;sans-serif"/>
          <w:b w:val="false"/>
          <w:color w:val="000000"/>
          <w:sz w:val="22"/>
        </w:rPr>
        <w:t xml:space="preserve">and this </w:t>
      </w:r>
      <w:r>
        <w:rPr>
          <w:rFonts w:ascii="Times New Roman;sans-serif" w:hAnsi="Times New Roman;sans-serif"/>
          <w:b w:val="false"/>
          <w:color w:val="000000"/>
          <w:sz w:val="22"/>
          <w:u w:val="single"/>
        </w:rPr>
        <w:t>clause (m)</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clause (n)</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clause (r)</w:t>
      </w:r>
      <w:r>
        <w:rPr>
          <w:color w:val="000000"/>
        </w:rPr>
        <w:t xml:space="preserve"> </w:t>
      </w:r>
      <w:r>
        <w:rPr>
          <w:rFonts w:ascii="Times New Roman;sans-serif" w:hAnsi="Times New Roman;sans-serif"/>
          <w:b w:val="false"/>
          <w:color w:val="000000"/>
          <w:sz w:val="22"/>
        </w:rPr>
        <w:t>below or any Indebtedness, Disqualified Stock or preferred stock issued to so refinance, replace, refund, extend, renew, defease, restructure, amend, restate or otherwise modify (collectively, “</w:t>
      </w:r>
      <w:r>
        <w:rPr>
          <w:rFonts w:ascii="Times New Roman;sans-serif" w:hAnsi="Times New Roman;sans-serif"/>
          <w:b/>
          <w:color w:val="000000"/>
          <w:sz w:val="22"/>
        </w:rPr>
        <w:t>refinance</w:t>
      </w:r>
      <w:r>
        <w:rPr>
          <w:color w:val="000000"/>
        </w:rPr>
        <w:t>”</w:t>
      </w:r>
      <w:r>
        <w:rPr>
          <w:rFonts w:ascii="Times New Roman;sans-serif" w:hAnsi="Times New Roman;sans-serif"/>
          <w:b w:val="false"/>
          <w:color w:val="000000"/>
          <w:sz w:val="22"/>
        </w:rPr>
        <w:t>) such Indebtedness, Disqualified Stock or preferred stock (the “</w:t>
      </w:r>
      <w:r>
        <w:rPr>
          <w:rFonts w:ascii="Times New Roman;sans-serif" w:hAnsi="Times New Roman;sans-serif"/>
          <w:b/>
          <w:color w:val="000000"/>
          <w:sz w:val="22"/>
        </w:rPr>
        <w:t>Refinancing Indebtedness</w:t>
      </w:r>
      <w:r>
        <w:rPr>
          <w:color w:val="000000"/>
        </w:rPr>
        <w:t>”</w:t>
      </w:r>
      <w:r>
        <w:rPr>
          <w:rFonts w:ascii="Times New Roman;sans-serif" w:hAnsi="Times New Roman;sans-serif"/>
          <w:b w:val="false"/>
          <w:color w:val="000000"/>
          <w:sz w:val="22"/>
        </w:rPr>
        <w:t xml:space="preserve">) prior to its respective maturity;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the Borrower that is not a Subsidiary Guarantor that refinances Indebtedness, Disqualified Stock or preferred stock of the Borrower or a Subsidiary Guarantor;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(n)    </w:t>
      </w:r>
      <w:r>
        <w:rPr>
          <w:rFonts w:ascii="Times New Roman;sans-serif" w:hAnsi="Times New Roman;sans-serif"/>
          <w:b w:val="false"/>
          <w:color w:val="000000"/>
          <w:sz w:val="22"/>
        </w:rPr>
        <w:t xml:space="preserve">Indebtedness, Disqualified Stock or preferred stock of (x) the Borrower or a Restricted Subsidiary incurred or issued to finance an acquisition, merger, or consolidation or (y) Persons that are acquired by the Borrower or any Restricted Subsidiary or merged into or consolidated with the Borrower or a Restricted Subsidiary in accordance with the terms hereof (including designating an Unrestricted Subsidiary a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after giving effect to any such acquisition, merger, consolidation or designation described in this </w:t>
      </w:r>
      <w:r>
        <w:rPr>
          <w:rFonts w:ascii="Times New Roman;sans-serif" w:hAnsi="Times New Roman;sans-serif"/>
          <w:b w:val="false"/>
          <w:color w:val="000000"/>
          <w:sz w:val="22"/>
          <w:u w:val="single"/>
        </w:rPr>
        <w:t>clause (n)</w:t>
      </w:r>
      <w:r>
        <w:rPr>
          <w:rFonts w:ascii="Times New Roman;sans-serif" w:hAnsi="Times New Roman;sans-serif"/>
          <w:b w:val="false"/>
          <w:color w:val="000000"/>
          <w:sz w:val="22"/>
        </w:rPr>
        <w:t xml:space="preserve">, (i) either (1) the Borrower would be permitted to incur at least $1.00 of additional Indebtedness pursuant to the Fixed Charge Coverage Ratio test set forth in the first paragraph of this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or (2) the Fixed Charge Coverage Ratio of the Borrower and the Restricted Subsidiaries is equal to or greater than that immediately prior to such acquisition, merger, consolidation or designation or (ii) either (1) the Consolidated Total Debt to Consolidated EBITDA Ratio (calculated on a Pro Forma Basis) shall be either (A) less than or equal to the Consolidated Total Debt to Consolidated EBITDA Ratio immediate prior to such acquisition, merger, consolidation or designation or (2) less than or equal to 2.25:1.00;</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(o)    </w:t>
      </w:r>
      <w:r>
        <w:rPr>
          <w:rFonts w:ascii="Times New Roman;sans-serif" w:hAnsi="Times New Roman;sans-serif"/>
          <w:b w:val="false"/>
          <w:color w:val="000000"/>
          <w:sz w:val="22"/>
        </w:rPr>
        <w:t>Indebtedness arising from the honoring by a bank or other financial institution of a check, draft or similar instrument drawn against insufficient funds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(p)    </w:t>
      </w:r>
      <w:r>
        <w:rPr>
          <w:color w:val="000000"/>
        </w:rPr>
        <w:t xml:space="preserve"> </w:t>
      </w:r>
      <w:r>
        <w:rPr>
          <w:rFonts w:ascii="Times New Roman;sans-serif" w:hAnsi="Times New Roman;sans-serif"/>
          <w:b w:val="false"/>
          <w:color w:val="000000"/>
          <w:sz w:val="22"/>
        </w:rPr>
        <w:t xml:space="preserve">(i) Indebtedness of the Borrower or any Restricted Subsidiary supported by a letter of credit, in a principal amount not in excess of the stated amount of such letter of credit so long as such letter of credit is otherwise permitted to be incurred pursuant to this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or (ii) 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(q)    </w:t>
      </w:r>
      <w:r>
        <w:rPr>
          <w:rFonts w:ascii="Times New Roman;sans-serif" w:hAnsi="Times New Roman;sans-serif"/>
          <w:b w:val="false"/>
          <w:color w:val="000000"/>
          <w:sz w:val="22"/>
        </w:rPr>
        <w:t>(1) any guarantee by the Borrower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(r)    </w:t>
      </w:r>
      <w:r>
        <w:rPr>
          <w:rFonts w:ascii="Times New Roman;sans-serif" w:hAnsi="Times New Roman;sans-serif"/>
          <w:b w:val="false"/>
          <w:color w:val="000000"/>
          <w:sz w:val="22"/>
        </w:rPr>
        <w:t xml:space="preserve">Indebtedness of Restricted Subsidiaries that are not Guarantors in an amount not to exceed, in the aggregate at any one time outstanding, the greater of (x) $190,000,00 and (y) 40% of Consolidated EBITDA for the most recently ended Test Period (calculated on a Pro Forma Basis) (it being understood that any Indebtedness incurred pursuant to this </w:t>
      </w:r>
      <w:r>
        <w:rPr>
          <w:rFonts w:ascii="Times New Roman;sans-serif" w:hAnsi="Times New Roman;sans-serif"/>
          <w:b w:val="false"/>
          <w:color w:val="000000"/>
          <w:sz w:val="22"/>
          <w:u w:val="single"/>
        </w:rPr>
        <w:t>clause (r)</w:t>
      </w:r>
      <w:r>
        <w:rPr>
          <w:color w:val="000000"/>
        </w:rPr>
        <w:t xml:space="preserve"> </w:t>
      </w:r>
      <w:r>
        <w:rPr>
          <w:rFonts w:ascii="Times New Roman;sans-serif" w:hAnsi="Times New Roman;sans-serif"/>
          <w:b w:val="false"/>
          <w:color w:val="000000"/>
          <w:sz w:val="22"/>
        </w:rPr>
        <w:t xml:space="preserve">shall cease to be deemed incurred or outstanding for purposes of this </w:t>
      </w:r>
      <w:r>
        <w:rPr>
          <w:rFonts w:ascii="Times New Roman;sans-serif" w:hAnsi="Times New Roman;sans-serif"/>
          <w:b w:val="false"/>
          <w:color w:val="000000"/>
          <w:sz w:val="22"/>
          <w:u w:val="single"/>
        </w:rPr>
        <w:t>clause (r)</w:t>
      </w:r>
      <w:r>
        <w:rPr>
          <w:color w:val="000000"/>
        </w:rPr>
        <w:t xml:space="preserve"> </w:t>
      </w:r>
      <w:r>
        <w:rPr>
          <w:rFonts w:ascii="Times New Roman;sans-serif" w:hAnsi="Times New Roman;sans-serif"/>
          <w:b w:val="false"/>
          <w:color w:val="000000"/>
          <w:sz w:val="22"/>
        </w:rPr>
        <w:t xml:space="preserve">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Times New Roman;sans-serif" w:hAnsi="Times New Roman;sans-serif"/>
          <w:b w:val="false"/>
          <w:color w:val="000000"/>
          <w:sz w:val="22"/>
          <w:u w:val="single"/>
        </w:rPr>
        <w:t>clause (r)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(s)    </w:t>
      </w:r>
      <w:r>
        <w:rPr>
          <w:rFonts w:ascii="Times New Roman;sans-serif" w:hAnsi="Times New Roman;sans-serif"/>
          <w:b w:val="false"/>
          <w:color w:val="000000"/>
          <w:sz w:val="22"/>
        </w:rPr>
        <w:t>Indebtedness of the Borrower or any of the Restricted Subsidiaries consisting of (i) the financing of insurance premiums or (ii) take or pay obligations contained in supply arrangements in each case, incurred in the ordinary course of business or consistent with past practice;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(t)    </w:t>
      </w:r>
      <w:r>
        <w:rPr>
          <w:rFonts w:ascii="Times New Roman;sans-serif" w:hAnsi="Times New Roman;sans-serif"/>
          <w:b w:val="false"/>
          <w:color w:val="000000"/>
          <w:sz w:val="22"/>
        </w:rPr>
        <w:t>(i) Indebtedness of the Borrower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 and (ii) Indebtedness owed on a short-term basis of no longer than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(u)    </w:t>
      </w:r>
      <w:r>
        <w:rPr>
          <w:rFonts w:ascii="Times New Roman;sans-serif" w:hAnsi="Times New Roman;sans-serif"/>
          <w:b w:val="false"/>
          <w:color w:val="000000"/>
          <w:sz w:val="22"/>
        </w:rPr>
        <w:t xml:space="preserve">Indebtedness consisting of Indebtedness issued by the Borrower or any of the Restricted Subsidiaries to future, current or former officers, directors, managers and employees thereof, their respective estates, spouses or former spouses, in each case to finance the purchase or redemption of Equity Interests of the Borrower or any direct or indirect parent company of the Borrower to the extent described in </w:t>
      </w:r>
      <w:r>
        <w:rPr>
          <w:rFonts w:ascii="Times New Roman;sans-serif" w:hAnsi="Times New Roman;sans-serif"/>
          <w:b w:val="false"/>
          <w:color w:val="000000"/>
          <w:sz w:val="22"/>
          <w:u w:val="single"/>
        </w:rPr>
        <w:t>clause (4)</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Indebtedness in respect of a Receivables Facility;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(w)    </w:t>
      </w:r>
      <w:r>
        <w:rPr>
          <w:rFonts w:ascii="Times New Roman;sans-serif" w:hAnsi="Times New Roman;sans-serif"/>
          <w:b w:val="false"/>
          <w:color w:val="000000"/>
          <w:sz w:val="22"/>
        </w:rPr>
        <w:t xml:space="preserve">Indebtedness in respect of (i) Permitted Other Indebtedness to the extent that the Net Cash Proceeds therefrom are applied to the prepayment of Term Loans in the manner set forth in </w:t>
      </w:r>
      <w:r>
        <w:rPr>
          <w:rFonts w:ascii="Times New Roman;sans-serif" w:hAnsi="Times New Roman;sans-serif"/>
          <w:b w:val="false"/>
          <w:color w:val="000000"/>
          <w:sz w:val="22"/>
          <w:u w:val="single"/>
        </w:rPr>
        <w:t>Section 5.2(a)(i)</w:t>
      </w:r>
      <w:r>
        <w:rPr>
          <w:color w:val="000000"/>
        </w:rPr>
        <w:t xml:space="preserve"> </w:t>
      </w:r>
      <w:r>
        <w:rPr>
          <w:rFonts w:ascii="Times New Roman;sans-serif" w:hAnsi="Times New Roman;sans-serif"/>
          <w:b w:val="false"/>
          <w:color w:val="000000"/>
          <w:sz w:val="22"/>
        </w:rPr>
        <w:t xml:space="preserve">and (ii) any refinancing, refunding, renewal or extension of any Indebtedness specified in </w:t>
      </w:r>
      <w:r>
        <w:rPr>
          <w:rFonts w:ascii="Times New Roman;sans-serif" w:hAnsi="Times New Roman;sans-serif"/>
          <w:b w:val="false"/>
          <w:color w:val="000000"/>
          <w:sz w:val="22"/>
          <w:u w:val="single"/>
        </w:rPr>
        <w:t>subclause (i)</w:t>
      </w:r>
      <w:r>
        <w:rPr>
          <w:color w:val="000000"/>
        </w:rPr>
        <w:t xml:space="preserve"> </w:t>
      </w:r>
      <w:r>
        <w:rPr>
          <w:rFonts w:ascii="Times New Roman;sans-serif" w:hAnsi="Times New Roman;sans-serif"/>
          <w:b w:val="false"/>
          <w:color w:val="000000"/>
          <w:sz w:val="22"/>
        </w:rPr>
        <w:t xml:space="preserve">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(x)    </w:t>
      </w:r>
      <w:r>
        <w:rPr>
          <w:rFonts w:ascii="Times New Roman;sans-serif" w:hAnsi="Times New Roman;sans-serif"/>
          <w:b w:val="false"/>
          <w:color w:val="000000"/>
          <w:sz w:val="22"/>
        </w:rPr>
        <w:t xml:space="preserve">Indebtedness in respect of (i) Permitted Other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aggregate principal amount of all such Permitted Other Indebtedness issued or incurred pursuant to this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shall not exceed the Maximum Incremental Facilities Amount and (ii) any refinancing, refunding, renewal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or extension of any Indebtedness specified in </w:t>
      </w:r>
      <w:r>
        <w:rPr>
          <w:rFonts w:ascii="Times New Roman;sans-serif" w:hAnsi="Times New Roman;sans-serif"/>
          <w:b w:val="false"/>
          <w:color w:val="000000"/>
          <w:sz w:val="22"/>
          <w:u w:val="single"/>
        </w:rPr>
        <w:t>subclause (i)</w:t>
      </w:r>
      <w:r>
        <w:rPr>
          <w:color w:val="000000"/>
        </w:rPr>
        <w:t xml:space="preserve"> </w:t>
      </w:r>
      <w:r>
        <w:rPr>
          <w:rFonts w:ascii="Times New Roman;sans-serif" w:hAnsi="Times New Roman;sans-serif"/>
          <w:b w:val="false"/>
          <w:color w:val="000000"/>
          <w:sz w:val="22"/>
        </w:rPr>
        <w:t xml:space="preserve">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(y) such Indebtedness otherwise complies with the definition of Permitted Other Indebtedness, and (z) in the case of a refinancing of Permitted Other Indebtedness incurred pursuant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 with other Permitted Other Indebtedness (“</w:t>
      </w:r>
      <w:r>
        <w:rPr>
          <w:rFonts w:ascii="Times New Roman;sans-serif" w:hAnsi="Times New Roman;sans-serif"/>
          <w:b/>
          <w:color w:val="000000"/>
          <w:sz w:val="22"/>
        </w:rPr>
        <w:t>Refinancing Permitted Other Indebtedness</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(y)    </w:t>
      </w:r>
      <w:r>
        <w:rPr>
          <w:rFonts w:ascii="Times New Roman;sans-serif" w:hAnsi="Times New Roman;sans-serif"/>
          <w:b w:val="false"/>
          <w:color w:val="000000"/>
          <w:sz w:val="22"/>
        </w:rPr>
        <w:t xml:space="preserve">(i) Indebtedness in respect of Permitted Debt Exchange Notes incurred pursuant to a Permitted Debt Exchange in accordance with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(and which does not generate any additional proceeds) and (ii) any refinancing, refunding, renewal or extension of any Indebtedness specified in </w:t>
      </w:r>
      <w:r>
        <w:rPr>
          <w:rFonts w:ascii="Times New Roman;sans-serif" w:hAnsi="Times New Roman;sans-serif"/>
          <w:b w:val="false"/>
          <w:color w:val="000000"/>
          <w:sz w:val="22"/>
          <w:u w:val="single"/>
        </w:rPr>
        <w:t>subclause (i)</w:t>
      </w:r>
      <w:r>
        <w:rPr>
          <w:color w:val="000000"/>
        </w:rPr>
        <w:t xml:space="preserve"> </w:t>
      </w:r>
      <w:r>
        <w:rPr>
          <w:rFonts w:ascii="Times New Roman;sans-serif" w:hAnsi="Times New Roman;sans-serif"/>
          <w:b w:val="false"/>
          <w:color w:val="000000"/>
          <w:sz w:val="22"/>
        </w:rPr>
        <w:t xml:space="preserve">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(z)    all premiums (if any), interest (including post-petition interest), fees, expenses, charges and additional or contingent interest on obligations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(y)</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240"/>
        <w:jc w:val="both"/>
        <w:rPr/>
      </w:pPr>
      <w:r>
        <w:rPr>
          <w:rFonts w:ascii="Times New Roman;sans-serif" w:hAnsi="Times New Roman;sans-serif"/>
          <w:b w:val="false"/>
          <w:color w:val="000000"/>
          <w:sz w:val="22"/>
        </w:rPr>
        <w:t xml:space="preserve">For purposes of determining compliance with this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(z)</w:t>
      </w:r>
      <w:r>
        <w:rPr>
          <w:color w:val="000000"/>
        </w:rPr>
        <w:t xml:space="preserve"> </w:t>
      </w:r>
      <w:r>
        <w:rPr>
          <w:rFonts w:ascii="Times New Roman;sans-serif" w:hAnsi="Times New Roman;sans-serif"/>
          <w:b w:val="false"/>
          <w:color w:val="000000"/>
          <w:sz w:val="22"/>
        </w:rPr>
        <w:t xml:space="preserve">above or is entitled to be incurred pursuant to the first paragraph of this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the Borrower, in its sole discretion, will classify and may reclassify (including within the definition of Maximum Incremental Facilities Amount) such item of Indebtedness, Disqualified Stock or preferred stock (or any portion thereof) and will only be required to include the amount and type of such Indebtedness, Disqualified Stock or preferred stock in one of the above clauses or paragraphs; and (ii) at the time of incurrence, the Borrower will be entitled to divide and classify an item of Indebtedness in more than one of the types of Indebtedness described in this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all Indebtedness outstanding under the ABL Facility on the Restatement Effective Date will be treated as incurred under </w:t>
      </w:r>
      <w:r>
        <w:rPr>
          <w:rFonts w:ascii="Times New Roman;sans-serif" w:hAnsi="Times New Roman;sans-serif"/>
          <w:b w:val="false"/>
          <w:color w:val="000000"/>
          <w:sz w:val="22"/>
          <w:u w:val="single"/>
        </w:rPr>
        <w:t>clause (b)(i)</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240"/>
        <w:jc w:val="both"/>
        <w:rPr/>
      </w:pPr>
      <w:r>
        <w:rPr>
          <w:rFonts w:ascii="Times New Roman;sans-serif" w:hAnsi="Times New Roman;sans-serif"/>
          <w:b w:val="false"/>
          <w:color w:val="000000"/>
          <w:sz w:val="22"/>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(l)(i)</w:t>
      </w:r>
      <w:r>
        <w:rPr>
          <w:color w:val="000000"/>
        </w:rPr>
        <w:t xml:space="preserve"> </w:t>
      </w:r>
      <w:r>
        <w:rPr>
          <w:rFonts w:ascii="Times New Roman;sans-serif" w:hAnsi="Times New Roman;sans-serif"/>
          <w:b w:val="false"/>
          <w:color w:val="000000"/>
          <w:sz w:val="22"/>
        </w:rPr>
        <w:t>above shall be deemed to include additional Indebtedness, Disqualified Stock or preferred stock incurred to pay premiums (including reasonable tender premiums), defeasance costs, fees, and expenses in connection with such refinancing.</w:t>
      </w:r>
    </w:p>
    <w:p>
      <w:pPr>
        <w:pStyle w:val="TextBody"/>
        <w:bidi w:val="0"/>
        <w:spacing w:lineRule="auto" w:line="240" w:before="0" w:after="240"/>
        <w:jc w:val="both"/>
        <w:rPr/>
      </w:pPr>
      <w:r>
        <w:rPr>
          <w:rFonts w:ascii="Times New Roman;sans-serif" w:hAnsi="Times New Roman;sans-serif"/>
          <w:b w:val="false"/>
          <w:color w:val="000000"/>
          <w:sz w:val="22"/>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principal amount of any Indebtedness incurred to refinance other Indebtedness, if incurred in a different currency from the Indebtedness being refinanced, shall be calculated based on the currency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exchange rate applicable to the currencies in which such respective Indebtedness is denominated that is in effect on the date of such refinancing.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10.2    </w:t>
      </w:r>
      <w:r>
        <w:rPr>
          <w:rFonts w:ascii="Times New Roman;sans-serif" w:hAnsi="Times New Roman;sans-serif"/>
          <w:b w:val="false"/>
          <w:color w:val="000000"/>
          <w:sz w:val="22"/>
          <w:u w:val="single"/>
        </w:rPr>
        <w:t>Limitation on Liens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Borrower will not, and will not permit any of its Restricted Subsidiaries to, create, incur, assume or suffer to exist any Lien upon any property or assets of any kind (real or personal, tangible or intangible) of the Borrower or any Restricted Subsidiary, whether now owned or hereafter acquired (each, a “</w:t>
      </w:r>
      <w:r>
        <w:rPr>
          <w:rFonts w:ascii="Times New Roman;sans-serif" w:hAnsi="Times New Roman;sans-serif"/>
          <w:b/>
          <w:color w:val="000000"/>
          <w:sz w:val="22"/>
        </w:rPr>
        <w:t>Subject Lien</w:t>
      </w:r>
      <w:r>
        <w:rPr>
          <w:color w:val="000000"/>
        </w:rPr>
        <w:t>”</w:t>
      </w:r>
      <w:r>
        <w:rPr>
          <w:rFonts w:ascii="Times New Roman;sans-serif" w:hAnsi="Times New Roman;sans-serif"/>
          <w:b w:val="false"/>
          <w:color w:val="000000"/>
          <w:sz w:val="22"/>
        </w:rPr>
        <w:t>) that secures obligations under any Indebtedness on any asset or property of the Borrower or any Restricted Subsidiary, except: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 xml:space="preserve">if such Subject Lien is a Permitted Lien;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any other Subject Lien on assets or property constituting Collateral if the obligations secured by such Subject Lien are junior to the Obligations;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at the Borrower’s election, in the case of Liens securing Permitted Other Indebtedness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the Collateral Agent, the Administrative Agent and the representative of the holders of such Permitted Other Indebtedness Obligations shall have entered into the Second Lien Intercreditor Agreement and (y) in the case of subsequent issuances of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in the case of any Subject Lien on assets or property not constituting Collateral, any Subject Lien if (i) the Obligations are equally and ratably secured with (or on a senior basis to, in the case such Subject Lien secures any Junior Debt) the obligations secured by such Subject Lien or (ii) such Subject Lien is a Permitted Lien.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10.3    </w:t>
      </w:r>
      <w:r>
        <w:rPr>
          <w:rFonts w:ascii="Times New Roman;sans-serif" w:hAnsi="Times New Roman;sans-serif"/>
          <w:b w:val="false"/>
          <w:color w:val="000000"/>
          <w:sz w:val="22"/>
          <w:u w:val="single"/>
        </w:rPr>
        <w:t>Limitation on Fundamental Changes</w:t>
      </w:r>
      <w:r>
        <w:rPr>
          <w:rFonts w:ascii="Times New Roman;sans-serif" w:hAnsi="Times New Roman;sans-serif"/>
          <w:b w:val="false"/>
          <w:color w:val="000000"/>
          <w:sz w:val="22"/>
        </w:rPr>
        <w:t>. The Borrower will not, and will not permit any of its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so long as no Event of Default has occurred and is continuing or would result therefrom, any Subsidiary of the Borrower or any other Person may be merged, amalgamated or consolidated with or into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 the Borrower shall be the continuing or surviving corporation or (B) if the Person formed by or surviving any such merger, amalgamation or consolidation is not the Borrower (such other Person, the “</w:t>
      </w:r>
      <w:r>
        <w:rPr>
          <w:rFonts w:ascii="Times New Roman;sans-serif" w:hAnsi="Times New Roman;sans-serif"/>
          <w:b/>
          <w:color w:val="000000"/>
          <w:sz w:val="22"/>
        </w:rPr>
        <w:t>Successor Borrower</w:t>
      </w:r>
      <w:r>
        <w:rPr>
          <w:color w:val="000000"/>
        </w:rPr>
        <w:t>”</w:t>
      </w:r>
      <w:r>
        <w:rPr>
          <w:rFonts w:ascii="Times New Roman;sans-serif" w:hAnsi="Times New Roman;sans-serif"/>
          <w:b w:val="false"/>
          <w:color w:val="000000"/>
          <w:sz w:val="22"/>
        </w:rPr>
        <w:t xml:space="preserve">), (1) the Successor Borrower shall be an entity organized or existing under the laws of the United States, any state thereof, the District of Columbia or any territory thereof, (2) the Successor Borrower shall expressly assume all the obligations of the Borrower under this Agreement and the other Credit Documents pursuant to a supplement hereto or thereto or in a form otherwise reasonably satisfactory to the Administrative Agent, (3) each Guarantor,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Times New Roman;sans-serif" w:hAnsi="Times New Roman;sans-serif"/>
          <w:b w:val="false"/>
          <w:color w:val="000000"/>
          <w:sz w:val="22"/>
          <w:u w:val="single"/>
        </w:rPr>
        <w:t>clause (3)</w:t>
      </w:r>
      <w:r>
        <w:rPr>
          <w:rFonts w:ascii="Times New Roman;sans-serif" w:hAnsi="Times New Roman;sans-serif"/>
          <w:b w:val="false"/>
          <w:color w:val="000000"/>
          <w:sz w:val="22"/>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Times New Roman;sans-serif" w:hAnsi="Times New Roman;sans-serif"/>
          <w:b w:val="false"/>
          <w:color w:val="000000"/>
          <w:sz w:val="22"/>
          <w:u w:val="single"/>
        </w:rPr>
        <w:t>clause (3)</w:t>
      </w:r>
      <w:r>
        <w:rPr>
          <w:rFonts w:ascii="Times New Roman;sans-serif" w:hAnsi="Times New Roman;sans-serif"/>
          <w:b w:val="false"/>
          <w:color w:val="000000"/>
          <w:sz w:val="22"/>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Times New Roman;sans-serif" w:hAnsi="Times New Roman;sans-serif"/>
          <w:b w:val="false"/>
          <w:color w:val="000000"/>
          <w:sz w:val="22"/>
          <w:u w:val="single"/>
        </w:rPr>
        <w:t>clauses (3)</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(5)</w:t>
      </w:r>
      <w:r>
        <w:rPr>
          <w:color w:val="000000"/>
        </w:rPr>
        <w:t xml:space="preserve"> </w:t>
      </w:r>
      <w:r>
        <w:rPr>
          <w:rFonts w:ascii="Times New Roman;sans-serif" w:hAnsi="Times New Roman;sans-serif"/>
          <w:b w:val="false"/>
          <w:color w:val="000000"/>
          <w:sz w:val="22"/>
        </w:rPr>
        <w:t>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so long as no Event of Default has occurred and is continuing or would result therefrom, any Subsidiary of the Borrower or any other Person (in each case, other than the Borrower) may be merged, amalgamated or consolidated with or into any one or more Subsidiaries of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Subsidiary Guarantors, a Subsidiary Guarantor shall be the continuing or surviving Person or the Person formed by or surviving any such merger, amalgamation or consolidation and if the surviving Person is not already a Subsidiary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the Borrower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color w:val="000000"/>
        </w:rPr>
        <w:t xml:space="preserve"> </w:t>
      </w:r>
      <w:r>
        <w:rPr>
          <w:rFonts w:ascii="Times New Roman;sans-serif" w:hAnsi="Times New Roman;sans-serif"/>
          <w:b w:val="false"/>
          <w:color w:val="000000"/>
          <w:sz w:val="22"/>
        </w:rPr>
        <w:t>[reserved];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color w:val="000000"/>
        </w:rPr>
        <w:t xml:space="preserve"> </w:t>
      </w:r>
      <w:r>
        <w:rPr>
          <w:rFonts w:ascii="Times New Roman;sans-serif" w:hAnsi="Times New Roman;sans-serif"/>
          <w:b w:val="false"/>
          <w:color w:val="000000"/>
          <w:sz w:val="22"/>
        </w:rPr>
        <w:t>(i) any Restricted Subsidiary that is not a Credit Party may convey, sell, lease, assign, transfer or otherwise dispose of any or all of its assets (upon voluntary liquidation or dissolution or otherwise) to the Borrower or any other Restricted Subsidiary or (ii) any Subsidiary Guarantor may convey, sell, lease, assign, transfer or otherwise dispose of any or all of its assets (upon voluntary liquidation or dissolution or otherwise) to any other Subsidiary Guarantor or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any Subsidiary may convey, sell, lease, assign, transfer or otherwise dispose of any or all of its assets (upon voluntary liquidation or dissolution or otherwise) to the Borrower or a Subsidiary Guarantor;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consideration for any such disposition by any Person other than a Subsidiary Guarantor shall not exceed the fair value of such assets;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any Restricted Subsidiary may liquidate or dissolve if the Borrower determines in good faith that such liquidation or dissolution is in the best interests of the Borrower and is not materially disadvantageous to the Lenders;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the Borrower and the Restricted Subsidiaries may consummate a merger, dissolution, liquidation, consolidation, investment or conveyance, sale, lease, assignment or disposition, the purpose of which is to effect an Asset Sale (which for purposes of this </w:t>
      </w:r>
      <w:r>
        <w:rPr>
          <w:rFonts w:ascii="Times New Roman;sans-serif" w:hAnsi="Times New Roman;sans-serif"/>
          <w:b w:val="false"/>
          <w:color w:val="000000"/>
          <w:sz w:val="22"/>
          <w:u w:val="single"/>
        </w:rPr>
        <w:t>Section 10.3(g)</w:t>
      </w:r>
      <w:r>
        <w:rPr>
          <w:rFonts w:ascii="Times New Roman;sans-serif" w:hAnsi="Times New Roman;sans-serif"/>
          <w:b w:val="false"/>
          <w:color w:val="000000"/>
          <w:sz w:val="22"/>
        </w:rPr>
        <w:t xml:space="preserve">, will include any disposition below the dollar threshold set forth in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of the definition of “Asset Sale”)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 xml:space="preserve">or an investment permitted pursuant to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or an investment that constitutes a Permitted Investment.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10.4    </w:t>
      </w:r>
      <w:r>
        <w:rPr>
          <w:rFonts w:ascii="Times New Roman;sans-serif" w:hAnsi="Times New Roman;sans-serif"/>
          <w:b w:val="false"/>
          <w:color w:val="000000"/>
          <w:sz w:val="22"/>
          <w:u w:val="single"/>
        </w:rPr>
        <w:t>Limitation on Sale of Assets</w:t>
      </w:r>
      <w:r>
        <w:rPr>
          <w:rFonts w:ascii="Times New Roman;sans-serif" w:hAnsi="Times New Roman;sans-serif"/>
          <w:b w:val="false"/>
          <w:color w:val="000000"/>
          <w:sz w:val="22"/>
        </w:rPr>
        <w:t>. The Borrower will not, and will not permit any of its Restricted Subsidiaries to, consummate an Asset Sale, unless: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Borrower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except in the case of a Permitted Asset Swap, if the property or assets sold or otherwise disposed of have a Fair Market Value in excess of the greater of (a) $50,000,000 and (b) 1.5% of Consolidated Total Assets for the most recently ended Test Period (calculated on a Pro Forma Basis) at the time of such disposition, either (A) at least 75% of the aggregate consideration therefor received by the Borrower or such Restricted Subsidiary, as the case may be, is in the form of cash or Cash Equivalents or (B) at least 50% of the consideration therefor received by the Borrower or such Restricted Subsidiary, as the case may be, is in the form of cash or Cash Equivalents (provided that the Net Cash Proceeds received pursuant to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must be used to repay the Loans in accordance with Section 5.2(a) within three (3) Business Days of receipt thereof and without giving effect to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of the definition of Net Cash Proceeds);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amount 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color w:val="000000"/>
        </w:rPr>
        <w:t>    </w:t>
      </w:r>
      <w:r>
        <w:rPr>
          <w:rFonts w:ascii="Times New Roman;sans-serif" w:hAnsi="Times New Roman;sans-serif"/>
          <w:b w:val="false"/>
          <w:color w:val="000000"/>
          <w:sz w:val="22"/>
        </w:rPr>
        <w:t>any liabilities (as reflected on the Borrower’s most recent consolidated balance sheet or in the footnotes thereto, or if incurred or accrued subsequent to the date of such balance sheet, such liabilities that would have been reflected on the Borrower’s consolidated balance sheet or in the footnotes thereto if such incurrence or accrual had taken place on or prior to the date of such consolidated balance sheet, as determined in good faith by the Borrower) of the Borrower, other than liabilities that are by their terms subordinated to the Loans, that are assumed by the transferee of any such assets (or are otherwise extinguished in connection with the transactions relating to such Asset Sale) and for which the Borrower and all such Restricted Subsidiaries have been validly released by all applicable creditors in writing;</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color w:val="000000"/>
        </w:rPr>
        <w:t>    </w:t>
      </w:r>
      <w:r>
        <w:rPr>
          <w:rFonts w:ascii="Times New Roman;sans-serif" w:hAnsi="Times New Roman;sans-serif"/>
          <w:b w:val="false"/>
          <w:color w:val="000000"/>
          <w:sz w:val="22"/>
        </w:rPr>
        <w:t xml:space="preserve">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color w:val="000000"/>
        </w:rPr>
        <w:t>    </w:t>
      </w:r>
      <w:r>
        <w:rPr>
          <w:rFonts w:ascii="Times New Roman;sans-serif" w:hAnsi="Times New Roman;sans-serif"/>
          <w:b w:val="false"/>
          <w:color w:val="000000"/>
          <w:sz w:val="22"/>
        </w:rPr>
        <w:t>Indebtedness, other than liabilities that are by their terms subordinated to the Loans, that are of any Restricted Subsidiary that is no longer a Restricted Subsidiary as a result of such Asset Sale, to the extent that the Borrower and all Restricted Subsidiaries have been validly released from any Guarantee of payment of such Indebtedness in connection with such Asset Sale;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(iv)    </w:t>
      </w:r>
      <w:r>
        <w:rPr>
          <w:color w:val="000000"/>
        </w:rPr>
        <w:t>    </w:t>
      </w:r>
      <w:r>
        <w:rPr>
          <w:rFonts w:ascii="Times New Roman;sans-serif" w:hAnsi="Times New Roman;sans-serif"/>
          <w:b w:val="false"/>
          <w:color w:val="000000"/>
          <w:sz w:val="22"/>
        </w:rPr>
        <w:t xml:space="preserve">any Designated Non-Cash Consideration received by the Borrower or such Restricted Subsidiary in such Asset Sale having an aggregate Fair Market Value, taken together with all other Designated Non-Cash Consideration received pursuant to this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that is at that time outstanding, not to exceed the sum of (i) the greater of $210,000,000 and 6% of Consolidated Total Assets at the time of the receipt of such Designated Non-Cash Consideration, (ii) at the election of the Borrower, the General Asset Sale Exception (less any amount used under such exception) and (iii) at the election of the Borrower, the Available Amount (less any amount used thereunder), with the Fair Market Value of each item of Designated Non-Cash Consideration being measured at the time received and without giving effect to subsequent changes in value,</w:t>
      </w:r>
    </w:p>
    <w:p>
      <w:pPr>
        <w:pStyle w:val="TextBody"/>
        <w:bidi w:val="0"/>
        <w:spacing w:lineRule="auto" w:line="240" w:before="0" w:after="240"/>
        <w:jc w:val="both"/>
        <w:rPr/>
      </w:pPr>
      <w:r>
        <w:rPr>
          <w:rFonts w:ascii="Times New Roman;sans-serif" w:hAnsi="Times New Roman;sans-serif"/>
          <w:b w:val="false"/>
          <w:color w:val="000000"/>
          <w:sz w:val="22"/>
        </w:rPr>
        <w:t xml:space="preserve">shall be deemed to be cash for purposes of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of this provision and for no other purpose.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Within the Reinvestment Period after the Borrower’s or any Restricted Subsidiary’s receipt of the Net Cash Proceeds of any Asset Sale, the Borrower or such Restricted Subsidiary shall apply the Net Cash Proceeds from such Asset Sale:</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    to prepay Loans or Permitted Other Indebtedness in accordance with </w:t>
      </w:r>
      <w:r>
        <w:rPr>
          <w:rFonts w:ascii="Times New Roman;sans-serif" w:hAnsi="Times New Roman;sans-serif"/>
          <w:b w:val="false"/>
          <w:color w:val="000000"/>
          <w:sz w:val="22"/>
          <w:u w:val="single"/>
        </w:rPr>
        <w:t>Section 5.2(a)(i)</w:t>
      </w:r>
      <w:r>
        <w:rPr>
          <w:rFonts w:ascii="Times New Roman;sans-serif" w:hAnsi="Times New Roman;sans-serif"/>
          <w:b w:val="false"/>
          <w:color w:val="000000"/>
          <w:sz w:val="22"/>
        </w:rPr>
        <w:t>; and/or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2"/>
        </w:rPr>
        <w:t xml:space="preserve">(ii)    to make investments in the Borrower and its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Borrower and the Restricted Subsidiaries will be deemed to have complied with this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if and to the extent that, within the Reinvestment Period after the Asset Sale that generated the Net Cash Proceeds, the Borrower or such Restricted Subsidiary has entered into and not abandoned or rejected a binding agreement or letter of intent to consummate any such investment described in this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the Borrower or such Restricted Subsidiary prepays the Loans in accordance with </w:t>
      </w:r>
      <w:r>
        <w:rPr>
          <w:rFonts w:ascii="Times New Roman;sans-serif" w:hAnsi="Times New Roman;sans-serif"/>
          <w:b w:val="false"/>
          <w:color w:val="000000"/>
          <w:sz w:val="22"/>
          <w:u w:val="single"/>
        </w:rPr>
        <w:t>Section 5.2(a)(i)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Pending the final application of any Net Cash Proceeds pursuant to this covenant, the Borrower or the applicable Restricted Subsidiary may apply such Net Cash Proceeds temporarily to reduce Indebtedness outstanding under the ABL Facility or any other revolving credit facility or otherwise invest such Net Cash Proceeds in any manner not prohibited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10.5    </w:t>
      </w:r>
      <w:r>
        <w:rPr>
          <w:rFonts w:ascii="Times New Roman;sans-serif" w:hAnsi="Times New Roman;sans-serif"/>
          <w:b w:val="false"/>
          <w:color w:val="000000"/>
          <w:sz w:val="22"/>
          <w:u w:val="single"/>
        </w:rPr>
        <w:t>Limitation on Restricted Payments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Borrower will not, and will not permit any of its Restricted Subsidiaries to, directly or indirectly: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declare or pay any dividend or make any payment or distribution on account of the Borrower’s or any Restricted Subsidiary’s Equity Interests, including any dividend or distribution payable in connection with any merger or consolidation, other than: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dividends or distributions by the Borrower payable in Equity Interests (other than Disqualified Stock) of the Borrower or in options, warrants or other rights to purchase such Equity Interests,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dividends or distributions by a Restricted Subsidiary so long as, in the case of any dividend or distribution payable on or in respect of any class or series of securities issued by a Subsidiary other than a Wholly-Owned Subsidiary, the Borrower or a Restricted Subsidiary receives at least its pro rata share of such dividend or distribution in accordance with its Equity Interests in such class or series of securities;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purchase, redeem, defease or otherwise acquire or retire for value any Equity Interests of the Borrower, Holdings or any direct or indirect parent company of the Borrower, including in connection with any merger or consolidation;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    make any principal payment on, or redeem, repurchase, defease or otherwise acquire or retire for value, in each case, prior to any scheduled repayment, sinking fund payment or maturity, any Junior Debt of the Borrower or any Restricted Subsidiary, other than (A) Indebtedness permitted under </w:t>
      </w:r>
      <w:r>
        <w:rPr>
          <w:rFonts w:ascii="Times New Roman;sans-serif" w:hAnsi="Times New Roman;sans-serif"/>
          <w:b w:val="false"/>
          <w:color w:val="000000"/>
          <w:sz w:val="22"/>
          <w:u w:val="single"/>
        </w:rPr>
        <w:t>clauses (g)</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or (B) the purchase, repurchase or other acquisition of Junior Debt purchased in anticipation of satisfying a sinking fund obligation, principal installment or final maturity, in each case due within one year of the date of purchase, repurchase or acquisition;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    make any Restricted Investment;</w:t>
      </w:r>
    </w:p>
    <w:p>
      <w:pPr>
        <w:pStyle w:val="TextBody"/>
        <w:bidi w:val="0"/>
        <w:spacing w:lineRule="auto" w:line="240" w:before="0" w:after="240"/>
        <w:jc w:val="both"/>
        <w:rPr/>
      </w:pPr>
      <w:r>
        <w:rPr>
          <w:rFonts w:ascii="Times New Roman;sans-serif" w:hAnsi="Times New Roman;sans-serif"/>
          <w:b w:val="false"/>
          <w:color w:val="000000"/>
          <w:sz w:val="22"/>
        </w:rPr>
        <w:t xml:space="preserve">(all such payments and other actions set forth in </w:t>
      </w:r>
      <w:r>
        <w:rPr>
          <w:rFonts w:ascii="Times New Roman;sans-serif" w:hAnsi="Times New Roman;sans-serif"/>
          <w:b w:val="false"/>
          <w:color w:val="000000"/>
          <w:sz w:val="22"/>
          <w:u w:val="single"/>
        </w:rPr>
        <w:t>clauses (1)</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(4)</w:t>
      </w:r>
      <w:r>
        <w:rPr>
          <w:color w:val="000000"/>
        </w:rPr>
        <w:t xml:space="preserve"> </w:t>
      </w:r>
      <w:r>
        <w:rPr>
          <w:rFonts w:ascii="Times New Roman;sans-serif" w:hAnsi="Times New Roman;sans-serif"/>
          <w:b w:val="false"/>
          <w:color w:val="000000"/>
          <w:sz w:val="22"/>
        </w:rPr>
        <w:t>above (other than any exception thereto) being collectively referred to as “</w:t>
      </w:r>
      <w:r>
        <w:rPr>
          <w:rFonts w:ascii="Times New Roman;sans-serif" w:hAnsi="Times New Roman;sans-serif"/>
          <w:b/>
          <w:color w:val="000000"/>
          <w:sz w:val="22"/>
        </w:rPr>
        <w:t>Restricted Payments</w:t>
      </w:r>
      <w:r>
        <w:rPr>
          <w:color w:val="000000"/>
        </w:rPr>
        <w:t>”</w:t>
      </w:r>
      <w:r>
        <w:rPr>
          <w:rFonts w:ascii="Times New Roman;sans-serif" w:hAnsi="Times New Roman;sans-serif"/>
          <w:b w:val="false"/>
          <w:color w:val="000000"/>
          <w:sz w:val="22"/>
        </w:rPr>
        <w:t>), unless, at the time of such Restricted Payment:</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(i)    </w:t>
      </w:r>
      <w:r>
        <w:rPr>
          <w:rFonts w:ascii="Times New Roman;sans-serif" w:hAnsi="Times New Roman;sans-serif"/>
          <w:b w:val="false"/>
          <w:color w:val="000000"/>
          <w:sz w:val="22"/>
          <w:shd w:fill="FFFFFF" w:val="clear"/>
        </w:rPr>
        <w:t xml:space="preserve">no Event of Default shall have occurred and be continuing or would occur as a consequence thereof (or in the case of a Restricted Investment, no Event of Default under </w:t>
      </w:r>
      <w:r>
        <w:rPr>
          <w:rFonts w:ascii="Times New Roman;sans-serif" w:hAnsi="Times New Roman;sans-serif"/>
          <w:b w:val="false"/>
          <w:color w:val="000000"/>
          <w:sz w:val="22"/>
          <w:u w:val="single"/>
          <w:shd w:fill="FFFFFF" w:val="clear"/>
        </w:rPr>
        <w:t>Section 11.1</w:t>
      </w:r>
      <w:r>
        <w:rPr>
          <w:color w:val="000000"/>
          <w:shd w:fill="FFFFFF" w:val="clear"/>
        </w:rPr>
        <w:t xml:space="preserve"> </w:t>
      </w:r>
      <w:r>
        <w:rPr>
          <w:rFonts w:ascii="Times New Roman;sans-serif" w:hAnsi="Times New Roman;sans-serif"/>
          <w:b w:val="false"/>
          <w:color w:val="000000"/>
          <w:sz w:val="22"/>
          <w:shd w:fill="FFFFFF" w:val="clear"/>
        </w:rPr>
        <w:t xml:space="preserve">or </w:t>
      </w:r>
      <w:r>
        <w:rPr>
          <w:rFonts w:ascii="Times New Roman;sans-serif" w:hAnsi="Times New Roman;sans-serif"/>
          <w:b w:val="false"/>
          <w:color w:val="000000"/>
          <w:sz w:val="22"/>
          <w:u w:val="single"/>
          <w:shd w:fill="FFFFFF" w:val="clear"/>
        </w:rPr>
        <w:t>11.5</w:t>
      </w:r>
      <w:r>
        <w:rPr>
          <w:color w:val="000000"/>
          <w:shd w:fill="FFFFFF" w:val="clear"/>
        </w:rPr>
        <w:t xml:space="preserve"> </w:t>
      </w:r>
      <w:r>
        <w:rPr>
          <w:rFonts w:ascii="Times New Roman;sans-serif" w:hAnsi="Times New Roman;sans-serif"/>
          <w:b w:val="false"/>
          <w:color w:val="000000"/>
          <w:sz w:val="22"/>
          <w:shd w:fill="FFFFFF" w:val="clear"/>
        </w:rPr>
        <w:t xml:space="preserve">shall have occurred and be continuing or would occur as a consequence thereof); </w:t>
      </w:r>
      <w:r>
        <w:rPr>
          <w:rFonts w:ascii="Times New Roman;sans-serif" w:hAnsi="Times New Roman;sans-serif"/>
          <w:b w:val="false"/>
          <w:color w:val="000000"/>
          <w:sz w:val="22"/>
          <w:u w:val="single"/>
          <w:shd w:fill="FFFFFF" w:val="clear"/>
        </w:rPr>
        <w:t>provided</w:t>
      </w:r>
      <w:r>
        <w:rPr>
          <w:color w:val="000000"/>
          <w:shd w:fill="FFFFFF" w:val="clear"/>
        </w:rPr>
        <w:t xml:space="preserve"> </w:t>
      </w:r>
      <w:r>
        <w:rPr>
          <w:rFonts w:ascii="Times New Roman;sans-serif" w:hAnsi="Times New Roman;sans-serif"/>
          <w:b w:val="false"/>
          <w:color w:val="000000"/>
          <w:sz w:val="22"/>
          <w:shd w:fill="FFFFFF" w:val="clear"/>
        </w:rPr>
        <w:t xml:space="preserve">that the foregoing condition shall not apply to amounts attributable to subclauses </w:t>
      </w:r>
      <w:r>
        <w:rPr>
          <w:rFonts w:ascii="Times New Roman;sans-serif" w:hAnsi="Times New Roman;sans-serif"/>
          <w:b w:val="false"/>
          <w:color w:val="000000"/>
          <w:sz w:val="22"/>
          <w:u w:val="single"/>
          <w:shd w:fill="FFFFFF" w:val="clear"/>
        </w:rPr>
        <w:t>(B)</w:t>
      </w:r>
      <w:r>
        <w:rPr>
          <w:rFonts w:ascii="Times New Roman;sans-serif" w:hAnsi="Times New Roman;sans-serif"/>
          <w:b w:val="false"/>
          <w:color w:val="000000"/>
          <w:sz w:val="22"/>
          <w:shd w:fill="FFFFFF" w:val="clear"/>
        </w:rPr>
        <w:t xml:space="preserve">, </w:t>
      </w:r>
      <w:r>
        <w:rPr>
          <w:rFonts w:ascii="Times New Roman;sans-serif" w:hAnsi="Times New Roman;sans-serif"/>
          <w:b w:val="false"/>
          <w:color w:val="000000"/>
          <w:sz w:val="22"/>
          <w:u w:val="single"/>
          <w:shd w:fill="FFFFFF" w:val="clear"/>
        </w:rPr>
        <w:t>(C)</w:t>
      </w:r>
      <w:r>
        <w:rPr>
          <w:rFonts w:ascii="Times New Roman;sans-serif" w:hAnsi="Times New Roman;sans-serif"/>
          <w:b w:val="false"/>
          <w:color w:val="000000"/>
          <w:sz w:val="22"/>
          <w:shd w:fill="FFFFFF" w:val="clear"/>
        </w:rPr>
        <w:t xml:space="preserve">, </w:t>
      </w:r>
      <w:r>
        <w:rPr>
          <w:rFonts w:ascii="Times New Roman;sans-serif" w:hAnsi="Times New Roman;sans-serif"/>
          <w:b w:val="false"/>
          <w:color w:val="000000"/>
          <w:sz w:val="22"/>
          <w:u w:val="single"/>
          <w:shd w:fill="FFFFFF" w:val="clear"/>
        </w:rPr>
        <w:t>(F)</w:t>
      </w:r>
      <w:r>
        <w:rPr>
          <w:color w:val="000000"/>
          <w:shd w:fill="FFFFFF" w:val="clear"/>
        </w:rPr>
        <w:t xml:space="preserve"> </w:t>
      </w:r>
      <w:r>
        <w:rPr>
          <w:rFonts w:ascii="Times New Roman;sans-serif" w:hAnsi="Times New Roman;sans-serif"/>
          <w:b w:val="false"/>
          <w:color w:val="000000"/>
          <w:sz w:val="22"/>
          <w:shd w:fill="FFFFFF" w:val="clear"/>
        </w:rPr>
        <w:t xml:space="preserve">and </w:t>
      </w:r>
      <w:r>
        <w:rPr>
          <w:rFonts w:ascii="Times New Roman;sans-serif" w:hAnsi="Times New Roman;sans-serif"/>
          <w:b w:val="false"/>
          <w:color w:val="000000"/>
          <w:sz w:val="22"/>
          <w:u w:val="single"/>
          <w:shd w:fill="FFFFFF" w:val="clear"/>
        </w:rPr>
        <w:t>(G)</w:t>
      </w:r>
      <w:r>
        <w:rPr>
          <w:color w:val="000000"/>
          <w:shd w:fill="FFFFFF" w:val="clear"/>
        </w:rPr>
        <w:t xml:space="preserve"> </w:t>
      </w:r>
      <w:r>
        <w:rPr>
          <w:rFonts w:ascii="Times New Roman;sans-serif" w:hAnsi="Times New Roman;sans-serif"/>
          <w:b w:val="false"/>
          <w:color w:val="000000"/>
          <w:sz w:val="22"/>
          <w:shd w:fill="FFFFFF" w:val="clear"/>
        </w:rPr>
        <w:t xml:space="preserve">of </w:t>
      </w:r>
      <w:r>
        <w:rPr>
          <w:rFonts w:ascii="Times New Roman;sans-serif" w:hAnsi="Times New Roman;sans-serif"/>
          <w:b w:val="false"/>
          <w:color w:val="000000"/>
          <w:sz w:val="22"/>
          <w:u w:val="single"/>
          <w:shd w:fill="FFFFFF" w:val="clear"/>
        </w:rPr>
        <w:t>clause (iii)</w:t>
      </w:r>
      <w:r>
        <w:rPr>
          <w:color w:val="000000"/>
          <w:shd w:fill="FFFFFF" w:val="clear"/>
        </w:rPr>
        <w:t xml:space="preserve"> </w:t>
      </w:r>
      <w:r>
        <w:rPr>
          <w:rFonts w:ascii="Times New Roman;sans-serif" w:hAnsi="Times New Roman;sans-serif"/>
          <w:b w:val="false"/>
          <w:color w:val="000000"/>
          <w:sz w:val="22"/>
          <w:shd w:fill="FFFFFF" w:val="clear"/>
        </w:rPr>
        <w:t>below;</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(ii)    </w:t>
      </w:r>
      <w:r>
        <w:rPr>
          <w:rFonts w:ascii="Times New Roman;sans-serif" w:hAnsi="Times New Roman;sans-serif"/>
          <w:b w:val="false"/>
          <w:color w:val="000000"/>
          <w:sz w:val="22"/>
          <w:shd w:fill="FFFFFF" w:val="clear"/>
        </w:rPr>
        <w:t>[reserved];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shd w:fill="FFFFFF" w:val="clear"/>
        </w:rPr>
        <w:t>(iii)    </w:t>
      </w:r>
      <w:r>
        <w:rPr>
          <w:rFonts w:ascii="Times New Roman;sans-serif" w:hAnsi="Times New Roman;sans-serif"/>
          <w:b w:val="false"/>
          <w:color w:val="000000"/>
          <w:sz w:val="22"/>
          <w:shd w:fill="FFFFFF" w:val="clear"/>
        </w:rPr>
        <w:t xml:space="preserve">such Restricted Payment, together with the aggregate amount of all other Restricted Payments made by the Borrower and the Restricted Subsidiaries after the Restatement Effective Date (other than as set forth in Section 10.5(b)), is less than the sum of (without duplication) (the sum of the amounts attributable to </w:t>
      </w:r>
      <w:r>
        <w:rPr>
          <w:rFonts w:ascii="Times New Roman;sans-serif" w:hAnsi="Times New Roman;sans-serif"/>
          <w:b w:val="false"/>
          <w:color w:val="000000"/>
          <w:sz w:val="22"/>
          <w:u w:val="single"/>
          <w:shd w:fill="FFFFFF" w:val="clear"/>
        </w:rPr>
        <w:t>clauses (A)</w:t>
      </w:r>
      <w:r>
        <w:rPr>
          <w:color w:val="000000"/>
          <w:shd w:fill="FFFFFF" w:val="clear"/>
        </w:rPr>
        <w:t xml:space="preserve"> </w:t>
      </w:r>
      <w:r>
        <w:rPr>
          <w:rFonts w:ascii="Times New Roman;sans-serif" w:hAnsi="Times New Roman;sans-serif"/>
          <w:b w:val="false"/>
          <w:color w:val="000000"/>
          <w:sz w:val="22"/>
          <w:shd w:fill="FFFFFF" w:val="clear"/>
        </w:rPr>
        <w:t xml:space="preserve">through </w:t>
      </w:r>
      <w:r>
        <w:rPr>
          <w:rFonts w:ascii="Times New Roman;sans-serif" w:hAnsi="Times New Roman;sans-serif"/>
          <w:b w:val="false"/>
          <w:color w:val="000000"/>
          <w:sz w:val="22"/>
          <w:u w:val="single"/>
          <w:shd w:fill="FFFFFF" w:val="clear"/>
        </w:rPr>
        <w:t>(G)</w:t>
      </w:r>
      <w:r>
        <w:rPr>
          <w:color w:val="000000"/>
          <w:shd w:fill="FFFFFF" w:val="clear"/>
        </w:rPr>
        <w:t xml:space="preserve"> </w:t>
      </w:r>
      <w:r>
        <w:rPr>
          <w:rFonts w:ascii="Times New Roman;sans-serif" w:hAnsi="Times New Roman;sans-serif"/>
          <w:b w:val="false"/>
          <w:color w:val="000000"/>
          <w:sz w:val="22"/>
          <w:shd w:fill="FFFFFF" w:val="clear"/>
        </w:rPr>
        <w:t>below is referred to herein as the “</w:t>
      </w:r>
      <w:r>
        <w:rPr>
          <w:rFonts w:ascii="Times New Roman;sans-serif" w:hAnsi="Times New Roman;sans-serif"/>
          <w:b/>
          <w:color w:val="000000"/>
          <w:sz w:val="22"/>
          <w:shd w:fill="FFFFFF" w:val="clear"/>
        </w:rPr>
        <w:t>Available Amount</w:t>
      </w:r>
      <w:r>
        <w:rPr>
          <w:color w:val="000000"/>
          <w:shd w:fill="FFFFFF" w:val="clear"/>
        </w:rPr>
        <w:t>”</w:t>
      </w:r>
      <w:r>
        <w:rPr>
          <w:rFonts w:ascii="Times New Roman;sans-serif" w:hAnsi="Times New Roman;sans-serif"/>
          <w:b w:val="false"/>
          <w:color w:val="000000"/>
          <w:sz w:val="22"/>
          <w:shd w:fill="FFFFFF" w:val="clear"/>
        </w:rPr>
        <w:t>):</w:t>
      </w:r>
    </w:p>
    <w:p>
      <w:pPr>
        <w:pStyle w:val="TextBody"/>
        <w:bidi w:val="0"/>
        <w:spacing w:lineRule="auto" w:line="240" w:before="0" w:after="240"/>
        <w:ind w:left="0" w:right="0" w:hanging="720"/>
        <w:jc w:val="both"/>
        <w:rPr/>
      </w:pPr>
      <w:r>
        <w:rPr>
          <w:rFonts w:ascii="Times New Roman;sans-serif" w:hAnsi="Times New Roman;sans-serif"/>
          <w:b w:val="false"/>
          <w:color w:val="010000"/>
          <w:sz w:val="22"/>
          <w:shd w:fill="FFFFFF" w:val="clear"/>
        </w:rPr>
        <w:t>(A)    </w:t>
      </w:r>
      <w:r>
        <w:rPr>
          <w:rFonts w:ascii="Times New Roman;sans-serif" w:hAnsi="Times New Roman;sans-serif"/>
          <w:b w:val="false"/>
          <w:color w:val="000000"/>
          <w:sz w:val="22"/>
          <w:shd w:fill="FFFFFF" w:val="clear"/>
        </w:rPr>
        <w:t xml:space="preserve">(i) 100% of Consolidated EBITDA since August 2, 2020 and ending with the most recently ended Test Period less (ii) the Fixed Charges since August 2, 2020 and ending with the most recently ended Test Period multiplied by 1.50, </w:t>
      </w:r>
      <w:r>
        <w:rPr>
          <w:rFonts w:ascii="Times New Roman;sans-serif" w:hAnsi="Times New Roman;sans-serif"/>
          <w:b w:val="false"/>
          <w:i/>
          <w:color w:val="000000"/>
          <w:sz w:val="22"/>
          <w:shd w:fill="FFFFFF" w:val="clear"/>
        </w:rPr>
        <w:t>plus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100% of the aggregate net cash proceeds and the Fair Market Value of marketable securities or other property received by the Borrower since immediately after the Restatement Effective Date (other than net cash proceeds from ABL Cure Amounts or to the extent such net cash proceeds have been used to incur Indebtedness, Disqualified Stock or preferred stock pursuant to </w:t>
      </w:r>
      <w:r>
        <w:rPr>
          <w:rFonts w:ascii="Times New Roman;sans-serif" w:hAnsi="Times New Roman;sans-serif"/>
          <w:b w:val="false"/>
          <w:color w:val="000000"/>
          <w:sz w:val="22"/>
          <w:u w:val="single"/>
        </w:rPr>
        <w:t>clause (l)(i)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from the issue or sale of (x) Equity Interests of the Borrower, including Retired Capital Stock, but excluding cash proceeds and the Fair Market Value of marketable securities or other property received from the sale of (A) Equity Interests to any employee, director, manager or consultant of the Borrower, any direct or indirect parent company of the Borrower and the Borrower’s Subsidiaries after the Restatement Effective Date to the extent such amounts have been applied to Restricted Payments made in accordance with </w:t>
      </w:r>
      <w:r>
        <w:rPr>
          <w:rFonts w:ascii="Times New Roman;sans-serif" w:hAnsi="Times New Roman;sans-serif"/>
          <w:b w:val="false"/>
          <w:color w:val="000000"/>
          <w:sz w:val="22"/>
          <w:u w:val="single"/>
        </w:rPr>
        <w:t>clause (4)</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10.5(b)</w:t>
      </w:r>
      <w:r>
        <w:rPr>
          <w:color w:val="000000"/>
        </w:rPr>
        <w:t xml:space="preserve"> </w:t>
      </w:r>
      <w:r>
        <w:rPr>
          <w:rFonts w:ascii="Times New Roman;sans-serif" w:hAnsi="Times New Roman;sans-serif"/>
          <w:b w:val="false"/>
          <w:color w:val="000000"/>
          <w:sz w:val="22"/>
        </w:rPr>
        <w:t xml:space="preserve">below, and (B) Designated Preferred Stock, and, to the extent such net cash proceeds are actually contributed to the Borrower, Equity Interests of Holdings or any other direct or indirect parent company of the Borrower (excluding contributions of the proceeds from the sale of Designated Preferred Stock of such companies or contributions to the extent such amounts have been applied to Restricted Payments made in accordance with </w:t>
      </w:r>
      <w:r>
        <w:rPr>
          <w:rFonts w:ascii="Times New Roman;sans-serif" w:hAnsi="Times New Roman;sans-serif"/>
          <w:b w:val="false"/>
          <w:color w:val="000000"/>
          <w:sz w:val="22"/>
          <w:u w:val="single"/>
        </w:rPr>
        <w:t>clause (4)</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10.5(b)</w:t>
      </w:r>
      <w:r>
        <w:rPr>
          <w:color w:val="000000"/>
        </w:rPr>
        <w:t xml:space="preserve"> </w:t>
      </w:r>
      <w:r>
        <w:rPr>
          <w:rFonts w:ascii="Times New Roman;sans-serif" w:hAnsi="Times New Roman;sans-serif"/>
          <w:b w:val="false"/>
          <w:color w:val="000000"/>
          <w:sz w:val="22"/>
        </w:rPr>
        <w:t xml:space="preserve">below) or (y) Indebtedness of the Borrower or a Restricted Subsidiary that has been converted into or exchanged for such Equity Interests of the Borrower or Holdings or any other direct or indirect parent company of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shall not include the proceeds from (a) Refunding Capital Stock, (b) Equity Interests or Indebtedness that has been converted or exchanged for Equity Interests of the Borrower sold to a Restricted Subsidiary or the Borrower, as the case may be, (c) Disqualified Stock or Indebtedness that has been converted or exchanged into Disqualified Stock or (d) Excluded Contributions, </w:t>
      </w:r>
      <w:r>
        <w:rPr>
          <w:rFonts w:ascii="Times New Roman;sans-serif" w:hAnsi="Times New Roman;sans-serif"/>
          <w:b w:val="false"/>
          <w:i/>
          <w:color w:val="000000"/>
          <w:sz w:val="22"/>
        </w:rPr>
        <w:t>plus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100% of the aggregate amount of cash and the Fair Market Value of marketable securities or other property contributed to the capital of the Borrower following the Restatement Effective Date (other than net cash proceeds from ABL Cure Amounts or to the extent such net cash proceeds (i) have been used to incur Indebtedness, Disqualified Stock or preferred stock pursuant to </w:t>
      </w:r>
      <w:r>
        <w:rPr>
          <w:rFonts w:ascii="Times New Roman;sans-serif" w:hAnsi="Times New Roman;sans-serif"/>
          <w:b w:val="false"/>
          <w:color w:val="000000"/>
          <w:sz w:val="22"/>
          <w:u w:val="single"/>
        </w:rPr>
        <w:t>clause (l)(i)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10.1</w:t>
      </w:r>
      <w:r>
        <w:rPr>
          <w:rFonts w:ascii="Times New Roman;sans-serif" w:hAnsi="Times New Roman;sans-serif"/>
          <w:b/>
          <w:strike/>
          <w:color w:val="FF0000"/>
          <w:sz w:val="22"/>
        </w:rPr>
        <w:t>)</w:t>
      </w:r>
      <w:r>
        <w:rPr>
          <w:rFonts w:ascii="Times New Roman;sans-serif" w:hAnsi="Times New Roman;sans-serif"/>
          <w:b w:val="false"/>
          <w:color w:val="000000"/>
          <w:sz w:val="22"/>
        </w:rPr>
        <w:t xml:space="preserve">, (ii) are contributed by a Restricted Subsidiary or (iii) constitute Excluded Contributions), </w:t>
      </w:r>
      <w:r>
        <w:rPr>
          <w:rFonts w:ascii="Times New Roman;sans-serif" w:hAnsi="Times New Roman;sans-serif"/>
          <w:b w:val="false"/>
          <w:i/>
          <w:color w:val="000000"/>
          <w:sz w:val="22"/>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100% of the aggregate amount received in cash and the Fair Market Value of marketable securities or other property received by means of (A) the sale or other disposition (other than to the Borrower or a Restricted Subsidiary) of Restricted Investments made by the Borrower and the Restricted Subsidiaries and repurchases and redemptions of such Restricted Investments from the Borrower and the Restricted Subsidiaries and repayments of loans or advances, and releases of guarantees, which constitute Restricted Investments made by the Borrower or the Restricted Subsidiaries, in each case, after the Restatement Effective Date; or (B) the sale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w:t>
      </w:r>
      <w:r>
        <w:rPr>
          <w:rFonts w:ascii="Times New Roman;sans-serif" w:hAnsi="Times New Roman;sans-serif"/>
          <w:b w:val="false"/>
          <w:color w:val="000000"/>
          <w:sz w:val="22"/>
          <w:u w:val="single"/>
        </w:rPr>
        <w:t>clause (7)</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10.5(b)</w:t>
      </w:r>
      <w:r>
        <w:rPr>
          <w:color w:val="000000"/>
        </w:rPr>
        <w:t xml:space="preserve"> </w:t>
      </w:r>
      <w:r>
        <w:rPr>
          <w:rFonts w:ascii="Times New Roman;sans-serif" w:hAnsi="Times New Roman;sans-serif"/>
          <w:b w:val="false"/>
          <w:color w:val="000000"/>
          <w:sz w:val="22"/>
        </w:rPr>
        <w:t xml:space="preserve">below or to the extent such Investment constituted a Permitted Investment) or a dividend from an Unrestricted Subsidiary after the Restatement Effective Date, </w:t>
      </w:r>
      <w:r>
        <w:rPr>
          <w:rFonts w:ascii="Times New Roman;sans-serif" w:hAnsi="Times New Roman;sans-serif"/>
          <w:b w:val="false"/>
          <w:i/>
          <w:color w:val="000000"/>
          <w:sz w:val="22"/>
        </w:rPr>
        <w:t>plus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w:t>
      </w:r>
      <w:r>
        <w:rPr>
          <w:rFonts w:ascii="Times New Roman;sans-serif" w:hAnsi="Times New Roman;sans-serif"/>
          <w:b w:val="false"/>
          <w:color w:val="000000"/>
          <w:sz w:val="22"/>
          <w:u w:val="single"/>
        </w:rPr>
        <w:t>clause (7)</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10.5(b)</w:t>
      </w:r>
      <w:r>
        <w:rPr>
          <w:color w:val="000000"/>
        </w:rPr>
        <w:t xml:space="preserve"> </w:t>
      </w:r>
      <w:r>
        <w:rPr>
          <w:rFonts w:ascii="Times New Roman;sans-serif" w:hAnsi="Times New Roman;sans-serif"/>
          <w:b w:val="false"/>
          <w:color w:val="000000"/>
          <w:sz w:val="22"/>
        </w:rPr>
        <w:t xml:space="preserve">below or to the extent such Investment constituted a Permitted Investment, </w:t>
      </w:r>
      <w:r>
        <w:rPr>
          <w:rFonts w:ascii="Times New Roman;sans-serif" w:hAnsi="Times New Roman;sans-serif"/>
          <w:b w:val="false"/>
          <w:i/>
          <w:color w:val="000000"/>
          <w:sz w:val="22"/>
        </w:rPr>
        <w:t>plus</w:t>
      </w:r>
    </w:p>
    <w:p>
      <w:pPr>
        <w:pStyle w:val="TextBody"/>
        <w:bidi w:val="0"/>
        <w:spacing w:lineRule="auto" w:line="240" w:before="0" w:after="240"/>
        <w:ind w:left="0" w:right="0" w:hanging="720"/>
        <w:jc w:val="both"/>
        <w:rPr/>
      </w:pPr>
      <w:r>
        <w:rPr>
          <w:rFonts w:ascii="Times New Roman;sans-serif" w:hAnsi="Times New Roman;sans-serif"/>
          <w:b w:val="false"/>
          <w:color w:val="010000"/>
          <w:sz w:val="22"/>
          <w:shd w:fill="FFFFFF" w:val="clear"/>
        </w:rPr>
        <w:t>(F)    </w:t>
      </w:r>
      <w:r>
        <w:rPr>
          <w:rFonts w:ascii="Times New Roman;sans-serif" w:hAnsi="Times New Roman;sans-serif"/>
          <w:b w:val="false"/>
          <w:color w:val="000000"/>
          <w:sz w:val="22"/>
          <w:shd w:fill="FFFFFF" w:val="clear"/>
        </w:rPr>
        <w:t xml:space="preserve">the aggregate amount of any Retained Declined Proceeds and Retained Asset Sale Proceeds since the Restatement Effective Date, </w:t>
      </w:r>
      <w:r>
        <w:rPr>
          <w:rFonts w:ascii="Times New Roman;sans-serif" w:hAnsi="Times New Roman;sans-serif"/>
          <w:b w:val="false"/>
          <w:i/>
          <w:color w:val="000000"/>
          <w:sz w:val="22"/>
          <w:shd w:fill="FFFFFF" w:val="clear"/>
        </w:rPr>
        <w:t>plus</w:t>
      </w:r>
    </w:p>
    <w:p>
      <w:pPr>
        <w:pStyle w:val="TextBody"/>
        <w:bidi w:val="0"/>
        <w:spacing w:lineRule="auto" w:line="240" w:before="0" w:after="240"/>
        <w:ind w:left="0" w:right="0" w:hanging="720"/>
        <w:jc w:val="both"/>
        <w:rPr/>
      </w:pPr>
      <w:r>
        <w:rPr>
          <w:rFonts w:ascii="Times New Roman;sans-serif" w:hAnsi="Times New Roman;sans-serif"/>
          <w:b w:val="false"/>
          <w:color w:val="010000"/>
          <w:sz w:val="22"/>
          <w:shd w:fill="FFFFFF" w:val="clear"/>
        </w:rPr>
        <w:t>(G)    </w:t>
      </w:r>
      <w:r>
        <w:rPr>
          <w:rFonts w:ascii="Times New Roman;sans-serif" w:hAnsi="Times New Roman;sans-serif"/>
          <w:b w:val="false"/>
          <w:color w:val="000000"/>
          <w:sz w:val="22"/>
          <w:shd w:fill="FFFFFF" w:val="clear"/>
        </w:rPr>
        <w:t>an aggregate amount not to exceed the greater of (x) $144,000,000 and (y) 30.0% of Consolidated EBITDA for the most recently ended Test Period (calculated on a Pro Forma Basis).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foregoing provisions of </w:t>
      </w:r>
      <w:r>
        <w:rPr>
          <w:rFonts w:ascii="Times New Roman;sans-serif" w:hAnsi="Times New Roman;sans-serif"/>
          <w:b w:val="false"/>
          <w:color w:val="000000"/>
          <w:sz w:val="22"/>
          <w:u w:val="single"/>
        </w:rPr>
        <w:t>Section 10.5(a)</w:t>
      </w:r>
      <w:r>
        <w:rPr>
          <w:color w:val="000000"/>
        </w:rPr>
        <w:t xml:space="preserve"> </w:t>
      </w:r>
      <w:r>
        <w:rPr>
          <w:rFonts w:ascii="Times New Roman;sans-serif" w:hAnsi="Times New Roman;sans-serif"/>
          <w:b w:val="false"/>
          <w:color w:val="000000"/>
          <w:sz w:val="22"/>
        </w:rPr>
        <w:t>will not prohibit:</w:t>
      </w:r>
    </w:p>
    <w:p>
      <w:pPr>
        <w:pStyle w:val="TextBody"/>
        <w:bidi w:val="0"/>
        <w:spacing w:lineRule="auto" w:line="240" w:before="24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    (a) the redemption, repurchase, retirement or other acquisition of any Equity Interests (“</w:t>
      </w:r>
      <w:r>
        <w:rPr>
          <w:rFonts w:ascii="Times New Roman;sans-serif" w:hAnsi="Times New Roman;sans-serif"/>
          <w:b/>
          <w:color w:val="000000"/>
          <w:sz w:val="22"/>
        </w:rPr>
        <w:t>Retired Capital Stock</w:t>
      </w:r>
      <w:r>
        <w:rPr>
          <w:color w:val="000000"/>
        </w:rPr>
        <w:t>”</w:t>
      </w:r>
      <w:r>
        <w:rPr>
          <w:rFonts w:ascii="Times New Roman;sans-serif" w:hAnsi="Times New Roman;sans-serif"/>
          <w:b w:val="false"/>
          <w:color w:val="000000"/>
          <w:sz w:val="22"/>
        </w:rPr>
        <w:t>) or Junior Debt of the Borrower or any Restricted Subsidiary, or any Equity Interests of Holdings or any other direct or indirect parent company of the Borrower, in exchange for, or out of the proceeds of the substantially concurrent sale (other than to a Restricted Subsidiary) of, Equity Interests of the Borrower or any direct or indirect Parent Entity or management investment vehicle to the extent contributed to the Borrower (in each case, other than any Disqualified Stock) (“</w:t>
      </w:r>
      <w:r>
        <w:rPr>
          <w:rFonts w:ascii="Times New Roman;sans-serif" w:hAnsi="Times New Roman;sans-serif"/>
          <w:b/>
          <w:color w:val="000000"/>
          <w:sz w:val="22"/>
        </w:rPr>
        <w:t>Refunding Capital Stock</w:t>
      </w:r>
      <w:r>
        <w:rPr>
          <w:color w:val="000000"/>
        </w:rPr>
        <w:t>”</w:t>
      </w:r>
      <w:r>
        <w:rPr>
          <w:rFonts w:ascii="Times New Roman;sans-serif" w:hAnsi="Times New Roman;sans-serif"/>
          <w:b w:val="false"/>
          <w:color w:val="000000"/>
          <w:sz w:val="22"/>
        </w:rPr>
        <w:t xml:space="preserve">) and (b) if immediately prior to the retirement of Retired Capital Stock, the declaration and payment of dividends thereon was permitted under </w:t>
      </w:r>
      <w:r>
        <w:rPr>
          <w:rFonts w:ascii="Times New Roman;sans-serif" w:hAnsi="Times New Roman;sans-serif"/>
          <w:b w:val="false"/>
          <w:color w:val="000000"/>
          <w:sz w:val="22"/>
          <w:u w:val="single"/>
        </w:rPr>
        <w:t>clause (6)</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10.5(b)</w:t>
      </w:r>
      <w:r>
        <w:rPr>
          <w:rFonts w:ascii="Times New Roman;sans-serif" w:hAnsi="Times New Roman;sans-serif"/>
          <w:b w:val="false"/>
          <w:color w:val="000000"/>
          <w:sz w:val="22"/>
        </w:rPr>
        <w:t>, the declaration and payment of dividends on the Refunding Capital Stock (other than Refunding Capital Stock the proceeds of which were used to redeem, repurchase, retire or otherwise acquire any Equity Interests of Holdings or any other direct or indirect parent company of the Borrower) in an aggregate amount per year no greater than the aggregate amount of dividends per annum that was declarable and payable on such Retired Capital Stock immediately prior to such retirement;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the prepayment, redemption, defeasance, repurchase or other acquisition or retirement for value of Junior Debt of the Borrower or a Restricted Subsidiary made by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for, or out of the proceeds of the substantially concurrent sale of, new Indebtedness of the Borrower or a Restricted Subsidiary, as the case may be, which is incurred in compliance with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w:t>
      </w:r>
      <w:r>
        <w:rPr>
          <w:rFonts w:ascii="Times New Roman;sans-serif" w:hAnsi="Times New Roman;sans-serif"/>
          <w:b w:val="false"/>
          <w:color w:val="000000"/>
          <w:sz w:val="22"/>
          <w:u w:val="single"/>
        </w:rPr>
        <w:t>Section 10.1(x)(i)(b)</w:t>
      </w:r>
      <w:r>
        <w:rPr>
          <w:color w:val="000000"/>
        </w:rPr>
        <w:t xml:space="preserve"> </w:t>
      </w:r>
      <w:r>
        <w:rPr>
          <w:rFonts w:ascii="Times New Roman;sans-serif" w:hAnsi="Times New Roman;sans-serif"/>
          <w:b w:val="false"/>
          <w:color w:val="000000"/>
          <w:sz w:val="22"/>
        </w:rPr>
        <w:t>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    a Restricted Payment to pay for the repurchase, retirement or other acquisition or retirement for value of Equity Interests (other than Disqualified Stock) of the Borrower or Holdings, Intermediate Holdco or any direct or indirect Parent Entity or management investment vehicle held by any future, present or former employee, director, manager or consultant of the Borrower, any of its Subsidiaries or any direct or indirect Parent Entity or management investment vehicle, or their estates, descendants, family, spouse or former spouse pursuant to any management equity plan or stock option or phantom equity plan or any other management or employee benefit plan or agreement, or any stock subscription or shareholder agreement (including, for the avoidance of doubt, any principal and interest payable on any notes issued by the Borrower or any direct or indirect Parent Entity or management investment vehicle in connection with such repurchase, retirement or other acquisition), including any Equity Interests rolled over by management of the Borrower or any direct or indirect Parent Entity or management investment vehicle in connection with the Transactions;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except with respect to non-discretionary Restricted Payments, the aggregate Restricted Payments made under this </w:t>
      </w:r>
      <w:r>
        <w:rPr>
          <w:rFonts w:ascii="Times New Roman;sans-serif" w:hAnsi="Times New Roman;sans-serif"/>
          <w:b w:val="false"/>
          <w:color w:val="000000"/>
          <w:sz w:val="22"/>
          <w:u w:val="single"/>
        </w:rPr>
        <w:t>clause (4)</w:t>
      </w:r>
      <w:r>
        <w:rPr>
          <w:color w:val="000000"/>
        </w:rPr>
        <w:t xml:space="preserve"> </w:t>
      </w:r>
      <w:r>
        <w:rPr>
          <w:rFonts w:ascii="Times New Roman;sans-serif" w:hAnsi="Times New Roman;sans-serif"/>
          <w:b w:val="false"/>
          <w:color w:val="000000"/>
          <w:sz w:val="22"/>
        </w:rPr>
        <w:t xml:space="preserve">subsequent to the Restatement Effective Date do not exceed in any calendar year the greater of (a) $82,000,000 and (b) 17% of Consolidated EBITDA for the most recently ended Test Period (calculated on a Pro Forma Basis) (with unused amounts in any calendar year being carried over to succeeding calendar years);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such amount in any calendar year may be increased by an amount not to exceed: (A) the cash proceeds from the sale of Equity Interests (other than Disqualified Stock) of the Borrower and, to the extent contributed to the Borrower, the cash proceeds from the sale of Equity Interests of Holdings or any other direct or indirect Parent Entity or management investment vehicle, in each case to any future, present or former employees, directors, managers or consultants of the Borrower, any of its Subsidiaries, Holdings or any other direct or indirect Parent Entity or management investment vehicle that occurs after the Restatement Effective Date, to the extent the cash proceeds from the sale of such Equity Interests have not otherwise been applied to the payment of Restricted Payments by virtue of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10.5(a)</w:t>
      </w:r>
      <w:r>
        <w:rPr>
          <w:rFonts w:ascii="Times New Roman;sans-serif" w:hAnsi="Times New Roman;sans-serif"/>
          <w:b w:val="false"/>
          <w:color w:val="000000"/>
          <w:sz w:val="22"/>
        </w:rPr>
        <w:t xml:space="preserve">, plus (B) the cash proceeds of key man life insurance policies received by the Borrower and the Restricted Subsidiaries after the Restatement Effective Date, less (C) the amount of any Restricted Payments previously made pursuant to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clause (4)</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cancellation of Indebtedness owing to the Borrower or any Restricted Subsidiary from any future, present or former employees, directors, managers or consultants of the Borrower, Holdings or any other direct or indirect Parent Entity or management investment vehicle or any Restricted Subsidiary, or their estates, descendants, family, spouse or former spouse in connection with a repurchase of Equity Interests of the Borrower, Holdings or any other direct or indirect Parent Entity or management investment vehicle will not be deemed to constitute a Restricted Payment for purposes of this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or any other provision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(5)    the declaration and payment of dividends to holders of any class or series of Disqualified Stock of the Borrower or any Restricted Subsidiary or any class or series of preferred stock of any Restricted Subsidiary, in each case, issued in accordance with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to the extent such dividends are included in the definition of Fixed Charges;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    (A) the declaration and payment of dividends to holders of any class or series of Designated Preferred Stock (other than Disqualified Stock) issued by the Borrower after the Restatement Effective Date; (B) the declaration and payment of dividends to Holdings or any other direct or indirect parent company of the Borrower, the proceeds of which will be used to fund the payment of dividends to holders of any class or series of Designated Preferred Stock (other than Disqualified Stock) of such parent company issued after the Restatement Effective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amount of dividends paid pursuant to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shall not exceed the aggregate amount of cash actually contributed to the Borrower from the sale of such Designated Preferred Stock; or (C) the declaration and payment of dividends on Refunding Capital Stock in excess of the dividends declarable and payable thereon pursuant to </w:t>
      </w:r>
      <w:r>
        <w:rPr>
          <w:rFonts w:ascii="Times New Roman;sans-serif" w:hAnsi="Times New Roman;sans-serif"/>
          <w:b w:val="false"/>
          <w:color w:val="000000"/>
          <w:sz w:val="22"/>
          <w:u w:val="single"/>
        </w:rPr>
        <w:t>clause (2)</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10.5(b)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in the case of each of (A), (B), and (C) of this </w:t>
      </w:r>
      <w:r>
        <w:rPr>
          <w:rFonts w:ascii="Times New Roman;sans-serif" w:hAnsi="Times New Roman;sans-serif"/>
          <w:b w:val="false"/>
          <w:color w:val="000000"/>
          <w:sz w:val="22"/>
          <w:u w:val="single"/>
        </w:rPr>
        <w:t>clause (6)</w:t>
      </w:r>
      <w:r>
        <w:rPr>
          <w:rFonts w:ascii="Times New Roman;sans-serif" w:hAnsi="Times New Roman;sans-serif"/>
          <w:b w:val="false"/>
          <w:color w:val="000000"/>
          <w:sz w:val="22"/>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the Borrower and the Restricted Subsidiaries on a consolidated basis would have had a Fixed Charge Coverage Ratio of at least 2.00 to 1.00;</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(7)    Investments in Unrestricted Subsidiaries having an aggregate Fair Market Value, taken together with all other Investments made pursuant to this </w:t>
      </w:r>
      <w:r>
        <w:rPr>
          <w:rFonts w:ascii="Times New Roman;sans-serif" w:hAnsi="Times New Roman;sans-serif"/>
          <w:b w:val="false"/>
          <w:color w:val="000000"/>
          <w:sz w:val="22"/>
          <w:u w:val="single"/>
        </w:rPr>
        <w:t>clause (7)</w:t>
      </w:r>
      <w:r>
        <w:rPr>
          <w:color w:val="000000"/>
        </w:rPr>
        <w:t xml:space="preserve"> </w:t>
      </w:r>
      <w:r>
        <w:rPr>
          <w:rFonts w:ascii="Times New Roman;sans-serif" w:hAnsi="Times New Roman;sans-serif"/>
          <w:b w:val="false"/>
          <w:color w:val="000000"/>
          <w:sz w:val="22"/>
        </w:rPr>
        <w:t>that are at the time outstanding, without giving effect to the sale of an Unrestricted Subsidiary to the extent the proceeds of such sale do not consist of cash, Cash Equivalents or marketable securities, not to exceed the greater of (x) $108,000,000 and (y) 22.5% of Consolidated EBITDA for the most recently ended Test Period (calculated on a Pro Forma Basis) at the time of such Investment (with the Fair Market Value of each Investment being measured at the time made and without giving effect to subsequent changes in value);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(8)    (i) payments made or expected to be made by the Borrower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(9)    on the Borrower’s common stock (or the payment of dividends to Holdings) in Restricted Payments in an aggregate amount per annum not to exceed the sum of (a) 6.0% of the net cash proceeds received by or contributed to the Borrower in or from the IPO and (b) 7.0% of the market capitalization of the Borrower after the IPO;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(10)    Restricted Payments in an amount that does not exceed the amount of Excluded Contributions made since the Restatement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(11)    Restricted Payments in an aggregate amount taken together with all other Restricted Payments made pursuant to this </w:t>
      </w:r>
      <w:r>
        <w:rPr>
          <w:rFonts w:ascii="Times New Roman;sans-serif" w:hAnsi="Times New Roman;sans-serif"/>
          <w:b w:val="false"/>
          <w:color w:val="000000"/>
          <w:sz w:val="22"/>
          <w:u w:val="single"/>
        </w:rPr>
        <w:t>clause (11)</w:t>
      </w:r>
      <w:r>
        <w:rPr>
          <w:color w:val="000000"/>
        </w:rPr>
        <w:t xml:space="preserve"> </w:t>
      </w:r>
      <w:r>
        <w:rPr>
          <w:rFonts w:ascii="Times New Roman;sans-serif" w:hAnsi="Times New Roman;sans-serif"/>
          <w:b w:val="false"/>
          <w:color w:val="000000"/>
          <w:sz w:val="22"/>
        </w:rPr>
        <w:t>not to exceed the greater of (x) $160,000,000 and (y) 33.0% of Consolidated EBITDA for the most recently ended Test Period (calculated on a Pro Forma Basis) at the time made; (12)    distributions or payments of Receivables Fees;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(13)    [reserved];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(14)    other Restricted Payments; provided that, after giving Pro Forma Effect to such Restricted Payments, the Consolidated Total Debt to Consolidated EBITDA Ratio is equal to or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less than 1.25:1.00, provided that, with respect to Restricted Investments, the Consolidated Total Debt to Consolidated EBITDA Ratio is equal to or less than 1.40:1.00;</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(15)    the declaration and payment of dividends by the Borrower to, or the making of loans to, Holdings, any Intermediate Holdco or any other direct or indirect parent company of the Borrower in amounts required for any direct or indirect parent company to pay: (A) franchise and excise taxes, and other fees and expenses, in each case, required to maintain its organizational existence, (B) consolidated, combined or similar foreign, federal, state and local income and similar taxes (including if the Borrower is treated as a partnership or an entity disregarded from its owner for United States federal income tax purposes and its taxable income is entirely included on an income tax return of one or more direct or indirect parent companies each of which is treated as a subchapter C corporation), to the extent that such income or similar taxes are attributable to the income, revenue, receipts or capital of the Borrower and the Restricted Subsidiaries and, to the extent of the amount actually received from its Unrestricted Subsidiaries, in amounts required to pay such taxes to the extent attributable to the income, revenue, receipts or capital of such Unrestricted Subsidiaries and including any interest or penalties related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each case the amount of such payments with respect to any fiscal year does not exceed the amount that the Borrower, the Restricted Subsidiaries and the Unrestricted Subsidiaries (to the extent described above) would have been required to pay in respect of such foreign, federal, state and local income taxes, including any interest or penalties related thereto, for such fiscal year had the Borrower, the Restricted Subsidiaries and the Unrestricted Subsidiaries (to the extent described above) been a stand-alone taxpayer or stand-alone group (separate from any such direct or indirect parent company of the Borrower) for all fiscal years ending after the Restatement Effective Date, (C) customary salary, bonus, and other benefits payable to officers, employees, directors, and managers of Holdings, any Intermediate Holdco or any other direct or indirect parent company of the Borrower to the extent such salaries, bonuses, and other benefits are attributable to the ownership or operation of the Borrower and its Restricted Subsidiaries, including the Borrower’s proportionate share of such amount relating to such parent company being a public company, (D) general corporate or other operating (including, without limitation, expenses related to auditing or other accounting matters) and overhead costs and expenses of Holdings, any Intermediate Holdco or any other direct or indirect parent company of the Borrower to the extent such costs and expenses are attributable to the ownership or operation of the Borrower and its Restricted Subsidiaries, including the Borrower’s proportionate share of such amount relating to such parent company being a public company, (E) amounts required for any direct or indirect parent company of the Borrower to pay fees and expenses incurred by any direct or indirect parent company of the Borrower related to (i) the maintenance by such parent entity of its corporate or other entity existence and (ii) transactions of such parent company of the Borrower of the type described in </w:t>
      </w:r>
      <w:r>
        <w:rPr>
          <w:rFonts w:ascii="Times New Roman;sans-serif" w:hAnsi="Times New Roman;sans-serif"/>
          <w:b w:val="false"/>
          <w:color w:val="000000"/>
          <w:sz w:val="22"/>
          <w:u w:val="single"/>
        </w:rPr>
        <w:t>clause (xi)</w:t>
      </w:r>
      <w:r>
        <w:rPr>
          <w:color w:val="000000"/>
        </w:rPr>
        <w:t xml:space="preserve"> </w:t>
      </w:r>
      <w:r>
        <w:rPr>
          <w:rFonts w:ascii="Times New Roman;sans-serif" w:hAnsi="Times New Roman;sans-serif"/>
          <w:b w:val="false"/>
          <w:color w:val="000000"/>
          <w:sz w:val="22"/>
        </w:rPr>
        <w:t>of the definition of Consolidated Net Income, (F) cash payments in lieu of issuing fractional shares in connection with the exercise of warrants, options or other securities convertible into or exchangeable for Equity Interests of the Borrower or any such direct or indirect parent company of the Borrower, and (G) repurchases deemed to occur upon the cashless exercise of stock options;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(16)    the repurchase, redemption or other acquisition for value of Equity Interests of the Borrower deemed to occur in connection with paying cash in lieu of fractional shares of such Equity Interests in connection with a share dividend, distribution, share split, reverse share split, merger, consolidation, amalgamation or other business combination of the Borrower, in each case, permitted under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(17)    the distribution, by dividend or otherwise, of shares of Capital Stock of, or Indebtedness owed to the Borrower or a Restricted Subsidiary by, Unrestricted Subsidiaries (other than Unrestricted Subsidiaries, the primary assets of which are cash and/or Cash Equivalents);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(18)    the prepayment, redemption, defeasance, repurchase or other acquisition or retirement for value of Junior Debt in an aggregate amount pursuant to this </w:t>
      </w:r>
      <w:r>
        <w:rPr>
          <w:rFonts w:ascii="Times New Roman;sans-serif" w:hAnsi="Times New Roman;sans-serif"/>
          <w:b w:val="false"/>
          <w:color w:val="000000"/>
          <w:sz w:val="22"/>
          <w:u w:val="single"/>
        </w:rPr>
        <w:t>clause (18)</w:t>
      </w:r>
      <w:r>
        <w:rPr>
          <w:color w:val="000000"/>
        </w:rPr>
        <w:t xml:space="preserve"> </w:t>
      </w:r>
      <w:r>
        <w:rPr>
          <w:rFonts w:ascii="Times New Roman;sans-serif" w:hAnsi="Times New Roman;sans-serif"/>
          <w:b w:val="false"/>
          <w:color w:val="000000"/>
          <w:sz w:val="22"/>
        </w:rPr>
        <w:t xml:space="preserve">not to exceed the greater of (x) $120,000,000 and (y) 25% of Consolidated EBITDA for the most recently ended Test Period (calculated on a Pro Forma Basis);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(19)    payments or distributions to satisfy dissenters’ rights, pursuant to or in connection with a consolidation, amalgamation, merger or transfer of assets that complies with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the prepayment, redemption, defeasance, repurchase or other acquisition or retirement for value of Junior Debt of the Borrower or a Restricted Subsidiary; provided that after giving Pro Forma Effect to such prepayments, redemptions, defeasances, repurchases or other acquisitions or retirements for value, the Consolidated Total Debt to Consolidated EBITDA Ratio is equal to or less than 1.40:1.00.</w: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at the time of, and after giving effect to, any Restricted Payment permitted under </w:t>
      </w:r>
      <w:r>
        <w:rPr>
          <w:rFonts w:ascii="Times New Roman;sans-serif" w:hAnsi="Times New Roman;sans-serif"/>
          <w:b w:val="false"/>
          <w:color w:val="000000"/>
          <w:sz w:val="22"/>
          <w:u w:val="single"/>
        </w:rPr>
        <w:t>clauses (11)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(14)</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(18)</w:t>
      </w:r>
      <w:r>
        <w:rPr>
          <w:rFonts w:ascii="Times New Roman;sans-serif" w:hAnsi="Times New Roman;sans-serif"/>
          <w:b w:val="false"/>
          <w:color w:val="000000"/>
          <w:sz w:val="22"/>
        </w:rPr>
        <w:t xml:space="preserve">, no Event of Default shall have occurred and be continuing or would occur as a consequence thereof (or in the case of a Restricted Investment, no Event of Default under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11.5</w:t>
      </w:r>
      <w:r>
        <w:rPr>
          <w:color w:val="000000"/>
        </w:rPr>
        <w:t xml:space="preserve"> </w:t>
      </w:r>
      <w:r>
        <w:rPr>
          <w:rFonts w:ascii="Times New Roman;sans-serif" w:hAnsi="Times New Roman;sans-serif"/>
          <w:b w:val="false"/>
          <w:color w:val="000000"/>
          <w:sz w:val="22"/>
        </w:rPr>
        <w:t>shall have occurred and be continuing or would occur as a consequence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Borrower will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and the Restricted Subsidiaries (except to the extent repaid) in the Subsidiary so designated will be deemed to be Restricted Payments in an amount determined as set forth in the last sentence of the definition of Investment, and all outstanding Indebtedness and Liens of the Subsidiary so designated will be deemed to be an incurrence of any Indebtedness and Liens by a Restricted Subsidiary of the Borrower. Such designation will be permitted only if a Restricted Payment in such amount would be permitted at such time, whether pursuant to </w:t>
      </w:r>
      <w:r>
        <w:rPr>
          <w:rFonts w:ascii="Times New Roman;sans-serif" w:hAnsi="Times New Roman;sans-serif"/>
          <w:b w:val="false"/>
          <w:color w:val="000000"/>
          <w:sz w:val="22"/>
          <w:u w:val="single"/>
        </w:rPr>
        <w:t>Section 10.5(a)</w:t>
      </w:r>
      <w:r>
        <w:rPr>
          <w:color w:val="000000"/>
        </w:rPr>
        <w:t xml:space="preserve"> </w:t>
      </w:r>
      <w:r>
        <w:rPr>
          <w:rFonts w:ascii="Times New Roman;sans-serif" w:hAnsi="Times New Roman;sans-serif"/>
          <w:b w:val="false"/>
          <w:color w:val="000000"/>
          <w:sz w:val="22"/>
        </w:rPr>
        <w:t xml:space="preserve">or under </w:t>
      </w:r>
      <w:r>
        <w:rPr>
          <w:rFonts w:ascii="Times New Roman;sans-serif" w:hAnsi="Times New Roman;sans-serif"/>
          <w:b w:val="false"/>
          <w:color w:val="000000"/>
          <w:sz w:val="22"/>
          <w:u w:val="single"/>
        </w:rPr>
        <w:t>clauses (7)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(11)</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10.5(b)</w:t>
      </w:r>
      <w:r>
        <w:rPr>
          <w:rFonts w:ascii="Times New Roman;sans-serif" w:hAnsi="Times New Roman;sans-serif"/>
          <w:b w:val="false"/>
          <w:color w:val="000000"/>
          <w:sz w:val="22"/>
        </w:rPr>
        <w:t xml:space="preserve">, or pursuant to the definition of Permitted Investments, if the Indebtedness would be permitted at such time pursuant to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if the Liens would be permitted at such time pursuant to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 xml:space="preserve">, and if such Subsidiary otherwise meets the definition of an Unrestricted Subsidiary. Unrestricted Subsidiaries will not be subject to any of the restrictive covenants set forth in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For purposes of determining compliance with this covenant, in the event that a proposed Restricted Payment or Investment (or a portion thereof) meets the criteria of </w:t>
      </w:r>
      <w:r>
        <w:rPr>
          <w:rFonts w:ascii="Times New Roman;sans-serif" w:hAnsi="Times New Roman;sans-serif"/>
          <w:b w:val="false"/>
          <w:color w:val="000000"/>
          <w:sz w:val="22"/>
          <w:u w:val="single"/>
        </w:rPr>
        <w:t>clauses (1)</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(18)</w:t>
      </w:r>
      <w:r>
        <w:rPr>
          <w:color w:val="000000"/>
        </w:rPr>
        <w:t xml:space="preserve"> </w:t>
      </w:r>
      <w:r>
        <w:rPr>
          <w:rFonts w:ascii="Times New Roman;sans-serif" w:hAnsi="Times New Roman;sans-serif"/>
          <w:b w:val="false"/>
          <w:color w:val="000000"/>
          <w:sz w:val="22"/>
        </w:rPr>
        <w:t xml:space="preserve">above or is entitled to be made pursuant to </w:t>
      </w:r>
      <w:r>
        <w:rPr>
          <w:rFonts w:ascii="Times New Roman;sans-serif" w:hAnsi="Times New Roman;sans-serif"/>
          <w:b w:val="false"/>
          <w:color w:val="000000"/>
          <w:sz w:val="22"/>
          <w:u w:val="single"/>
        </w:rPr>
        <w:t>Section 10.5(a)</w:t>
      </w:r>
      <w:r>
        <w:rPr>
          <w:color w:val="000000"/>
        </w:rPr>
        <w:t xml:space="preserve"> </w:t>
      </w:r>
      <w:r>
        <w:rPr>
          <w:rFonts w:ascii="Times New Roman;sans-serif" w:hAnsi="Times New Roman;sans-serif"/>
          <w:b w:val="false"/>
          <w:color w:val="000000"/>
          <w:sz w:val="22"/>
        </w:rPr>
        <w:t xml:space="preserve">and/or one or more of the exceptions contained in the definition of Permitted Investments, the Borrower will be entitled to classify or later reclassify (based on circumstances existing on the date of such reclassification) such Restricted Payment (or portion thereof) among such </w:t>
      </w:r>
      <w:r>
        <w:rPr>
          <w:rFonts w:ascii="Times New Roman;sans-serif" w:hAnsi="Times New Roman;sans-serif"/>
          <w:b w:val="false"/>
          <w:color w:val="000000"/>
          <w:sz w:val="22"/>
          <w:u w:val="single"/>
        </w:rPr>
        <w:t>clauses (1)</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(18)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10.5(a)</w:t>
      </w:r>
      <w:r>
        <w:rPr>
          <w:color w:val="000000"/>
        </w:rPr>
        <w:t xml:space="preserve"> </w:t>
      </w:r>
      <w:r>
        <w:rPr>
          <w:rFonts w:ascii="Times New Roman;sans-serif" w:hAnsi="Times New Roman;sans-serif"/>
          <w:b w:val="false"/>
          <w:color w:val="000000"/>
          <w:sz w:val="22"/>
        </w:rPr>
        <w:t>and/or one or more of the exceptions contained in the definition of “Permitted Investments”, in a manner that otherwise complies with this covenant.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Prior to the Initial Term Loan Maturity Date, to the extent any Permitted Debt Exchange Notes are issued pursuant to </w:t>
      </w:r>
      <w:r>
        <w:rPr>
          <w:rFonts w:ascii="Times New Roman;sans-serif" w:hAnsi="Times New Roman;sans-serif"/>
          <w:b w:val="false"/>
          <w:color w:val="000000"/>
          <w:sz w:val="22"/>
          <w:u w:val="single"/>
        </w:rPr>
        <w:t>Section 10.1(y)</w:t>
      </w:r>
      <w:r>
        <w:rPr>
          <w:color w:val="000000"/>
        </w:rPr>
        <w:t xml:space="preserve"> </w:t>
      </w:r>
      <w:r>
        <w:rPr>
          <w:rFonts w:ascii="Times New Roman;sans-serif" w:hAnsi="Times New Roman;sans-serif"/>
          <w:b w:val="false"/>
          <w:color w:val="000000"/>
          <w:sz w:val="22"/>
        </w:rPr>
        <w:t xml:space="preserve">for the purpose of consummating a Permitted Debt Exchange, (i) the Borrower will not, and will not permit its Restricted Subsidiaries to, prepay, repurchase, redeem or otherwise defease or acquire any Permitted Debt Exchange Notes unless the Borrower or a Restricted Subsidiary shall concurrently voluntarily prepay Term Loans pursuant to </w:t>
      </w:r>
      <w:r>
        <w:rPr>
          <w:rFonts w:ascii="Times New Roman;sans-serif" w:hAnsi="Times New Roman;sans-serif"/>
          <w:b w:val="false"/>
          <w:color w:val="000000"/>
          <w:sz w:val="22"/>
          <w:u w:val="single"/>
        </w:rPr>
        <w:t>Section 5.1(a)</w:t>
      </w:r>
      <w:r>
        <w:rPr>
          <w:color w:val="000000"/>
        </w:rPr>
        <w:t xml:space="preserve"> </w:t>
      </w:r>
      <w:r>
        <w:rPr>
          <w:rFonts w:ascii="Times New Roman;sans-serif" w:hAnsi="Times New Roman;sans-serif"/>
          <w:b w:val="false"/>
          <w:color w:val="000000"/>
          <w:sz w:val="22"/>
        </w:rPr>
        <w:t xml:space="preserve">on a pro rata basis among the Term Loans, in an amount not less than the product of (a) a fraction, the numerator of which is the aggregate principal amount (calculated on the face amount thereof) of such Permitted Debt Exchange Notes that are proposed to be prepaid, repurchased, redeemed, defeased or acquired and the denominator of which is the aggregate principal amount (calculated on the face amount thereof) of all Permitted Debt Exchange Notes in respect of the relevant Permitted Debt Exchange then outstanding (prior to giving effect to such proposed prepayment, repurchase, redemption, defeasance or acquisition) and (b) the aggregate principal amount (calculated on the face amount thereof) of Term Loans then outstanding and (ii) the Borrower will not waive, amend or modify the terms of any Permitted Debt Exchange Notes or any indenture pursuant to which such Permitted Debt Exchange Notes have been issued in any manner inconsistent with the terms of </w:t>
      </w:r>
      <w:r>
        <w:rPr>
          <w:rFonts w:ascii="Times New Roman;sans-serif" w:hAnsi="Times New Roman;sans-serif"/>
          <w:b w:val="false"/>
          <w:color w:val="000000"/>
          <w:sz w:val="22"/>
          <w:u w:val="single"/>
        </w:rPr>
        <w:t>Section 2.15(a)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10.1(y),</w:t>
      </w:r>
      <w:r>
        <w:rPr>
          <w:color w:val="000000"/>
        </w:rPr>
        <w:t xml:space="preserve"> </w:t>
      </w:r>
      <w:r>
        <w:rPr>
          <w:rFonts w:ascii="Times New Roman;sans-serif" w:hAnsi="Times New Roman;sans-serif"/>
          <w:b w:val="false"/>
          <w:color w:val="000000"/>
          <w:sz w:val="22"/>
        </w:rPr>
        <w:t>or the definition of Permitted Other Indebtedness or that would result in a Default hereunder if such Permitted Debt Exchange Notes (as so amended or modified) were then being issued or incurred.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10.6    </w:t>
      </w:r>
      <w:r>
        <w:rPr>
          <w:rFonts w:ascii="Times New Roman;sans-serif" w:hAnsi="Times New Roman;sans-serif"/>
          <w:b w:val="false"/>
          <w:color w:val="000000"/>
          <w:sz w:val="22"/>
          <w:u w:val="single"/>
        </w:rPr>
        <w:t>Limitation on Subsidiary Distributions</w:t>
      </w:r>
      <w:r>
        <w:rPr>
          <w:rFonts w:ascii="Times New Roman;sans-serif" w:hAnsi="Times New Roman;sans-serif"/>
          <w:b w:val="false"/>
          <w:color w:val="000000"/>
          <w:sz w:val="22"/>
        </w:rPr>
        <w:t xml:space="preserve">. The Borrower will not permit any of its Restricted Subsidiaries that are not Guarantors to, directly or indirectly, create or otherwise cause or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suffer to exist or become effective any consensual encumbrance or consensual restriction on the ability of any such Restricted Subsidiary 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color w:val="000000"/>
        </w:rPr>
        <w:t xml:space="preserve"> </w:t>
      </w:r>
      <w:r>
        <w:rPr>
          <w:rFonts w:ascii="Times New Roman;sans-serif" w:hAnsi="Times New Roman;sans-serif"/>
          <w:b w:val="false"/>
          <w:color w:val="000000"/>
          <w:sz w:val="22"/>
        </w:rPr>
        <w:t>(i) pay dividends or make any other distributions to the Borrower or any Restricted Subsidiary on its Capital Stock or with respect to any other interest or participation in, or measured by, its profits or (ii) pay any Indebtedness owed to the Borrower or any 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make loans or advances to the Borrower or any Restricted Subsidiary;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sell, lease or transfer any of its properties or assets to the Borrower or any Restricted Subsidiary;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 (in each case) for such encumbrances or restrictions (x) which the Borrower has reasonably determined in good faith will not materially impair the Borrower’s ability to make payments under this Agreement when due or (y) existing under or by reason 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contractual encumbrances or restrictions in effect on the Restatement Effective Date, including pursuant to this Agreement and the related documentation and related Hedging Obligations;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the ABL Credit Document and the ABL Loans;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 xml:space="preserve">purchase money obligations for property acquired in the ordinary course of business or consistent with past practice and Capitalized Lease Obligations that impose restrictions of the nature discussed in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above on the property so acquired;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Requirements of Law or any applicable rule, regulation or order;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(vi)    </w:t>
      </w:r>
      <w:r>
        <w:rPr>
          <w:rFonts w:ascii="Times New Roman;sans-serif" w:hAnsi="Times New Roman;sans-serif"/>
          <w:b w:val="false"/>
          <w:color w:val="000000"/>
          <w:sz w:val="22"/>
        </w:rPr>
        <w:t>contracts for the sale of assets, including customary restrictions with respect to a Subsidiary of the Borrower pursuant to an agreement that has been entered into for the sale or disposition of all or substantially all of the Capital Stock or assets of such Subsidiary and restrictions on transfer of assets subject to Permitted Liens;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(vii)    </w:t>
      </w:r>
      <w:r>
        <w:rPr>
          <w:rFonts w:ascii="Times New Roman;sans-serif" w:hAnsi="Times New Roman;sans-serif"/>
          <w:b w:val="false"/>
          <w:color w:val="000000"/>
          <w:sz w:val="22"/>
        </w:rPr>
        <w:t xml:space="preserve">(x) secured Indebtedness otherwise permitted to be incurred pursuant to </w:t>
      </w:r>
      <w:r>
        <w:rPr>
          <w:rFonts w:ascii="Times New Roman;sans-serif" w:hAnsi="Times New Roman;sans-serif"/>
          <w:b w:val="false"/>
          <w:color w:val="000000"/>
          <w:sz w:val="22"/>
          <w:u w:val="single"/>
        </w:rPr>
        <w:t>Sections 10.1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10.2</w:t>
      </w:r>
      <w:r>
        <w:rPr>
          <w:color w:val="000000"/>
        </w:rPr>
        <w:t xml:space="preserve"> </w:t>
      </w:r>
      <w:r>
        <w:rPr>
          <w:rFonts w:ascii="Times New Roman;sans-serif" w:hAnsi="Times New Roman;sans-serif"/>
          <w:b w:val="false"/>
          <w:color w:val="000000"/>
          <w:sz w:val="22"/>
        </w:rPr>
        <w:t>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(viii)    </w:t>
      </w:r>
      <w:r>
        <w:rPr>
          <w:rFonts w:ascii="Times New Roman;sans-serif" w:hAnsi="Times New Roman;sans-serif"/>
          <w:b w:val="false"/>
          <w:color w:val="000000"/>
          <w:sz w:val="22"/>
        </w:rPr>
        <w:t>restrictions on cash or other deposits or net worth imposed by customers under contracts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(ix)    </w:t>
      </w:r>
      <w:r>
        <w:rPr>
          <w:rFonts w:ascii="Times New Roman;sans-serif" w:hAnsi="Times New Roman;sans-serif"/>
          <w:b w:val="false"/>
          <w:color w:val="000000"/>
          <w:sz w:val="22"/>
        </w:rPr>
        <w:t xml:space="preserve">other Indebtedness, Disqualified Stock or preferred stock of Restricted Subsidiaries permitted to be incurred subsequent to the Restatement Effective Date pursuant to the provisions of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(x)    </w:t>
      </w:r>
      <w:r>
        <w:rPr>
          <w:rFonts w:ascii="Times New Roman;sans-serif" w:hAnsi="Times New Roman;sans-serif"/>
          <w:b w:val="false"/>
          <w:color w:val="000000"/>
          <w:sz w:val="22"/>
        </w:rPr>
        <w:t>customary provisions in joint venture agreements or arrangements and other similar agreements or arrangements relating solely to such joint venture and the Equity Interests issued thereby;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(xi)    </w:t>
      </w:r>
      <w:r>
        <w:rPr>
          <w:rFonts w:ascii="Times New Roman;sans-serif" w:hAnsi="Times New Roman;sans-serif"/>
          <w:b w:val="false"/>
          <w:color w:val="000000"/>
          <w:sz w:val="22"/>
        </w:rPr>
        <w:t>customary provisions contained in leases, sub-leases, licenses, sub-licenses or similar agreements, in each case, entered into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(xii)    </w:t>
      </w:r>
      <w:r>
        <w:rPr>
          <w:rFonts w:ascii="Times New Roman;sans-serif" w:hAnsi="Times New Roman;sans-serif"/>
          <w:b w:val="false"/>
          <w:color w:val="000000"/>
          <w:sz w:val="22"/>
        </w:rPr>
        <w:t>restrictions created in connection with any Receivables Facility that, in the good faith determination of the board of directors of the Borrower, are necessary or advisable to effect such Receivables Facility;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(xiii)    </w:t>
      </w:r>
      <w:r>
        <w:rPr>
          <w:rFonts w:ascii="Times New Roman;sans-serif" w:hAnsi="Times New Roman;sans-serif"/>
          <w:b w:val="false"/>
          <w:color w:val="000000"/>
          <w:sz w:val="22"/>
        </w:rPr>
        <w:t xml:space="preserve">any encumbrances or restrictions of the type referred to in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above imposed by any amendments, modifications, restatements, renewals, increases, supplements, refundings, replacements or refinancings of the contracts, instruments or obligations referred to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(xii)</w:t>
      </w:r>
      <w:r>
        <w:rPr>
          <w:color w:val="000000"/>
        </w:rPr>
        <w:t xml:space="preserve"> </w:t>
      </w:r>
      <w:r>
        <w:rPr>
          <w:rFonts w:ascii="Times New Roman;sans-serif" w:hAnsi="Times New Roman;sans-serif"/>
          <w:b w:val="false"/>
          <w:color w:val="000000"/>
          <w:sz w:val="22"/>
        </w:rPr>
        <w:t xml:space="preserve">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such amendments, modifications, restatements, renewals, increases, supplements, refundings, replacements, or refinancings (x)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10.7    </w:t>
      </w:r>
      <w:r>
        <w:rPr>
          <w:rFonts w:ascii="Times New Roman;sans-serif" w:hAnsi="Times New Roman;sans-serif"/>
          <w:b w:val="false"/>
          <w:color w:val="000000"/>
          <w:sz w:val="22"/>
          <w:u w:val="single"/>
        </w:rPr>
        <w:t>Permitted Activities</w:t>
      </w:r>
      <w:r>
        <w:rPr>
          <w:rFonts w:ascii="Times New Roman;sans-serif" w:hAnsi="Times New Roman;sans-serif"/>
          <w:b w:val="false"/>
          <w:color w:val="000000"/>
          <w:sz w:val="22"/>
        </w:rPr>
        <w:t xml:space="preserve">. None of Holdings or the Texas Intermediate Holdcos shall engage in any material operating or business activities;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following and activities incidental thereto shall be permitted in any event: (i) such Person’s ownership of the Equity Interests set forth next to such Person’s name on </w:t>
      </w:r>
      <w:r>
        <w:rPr>
          <w:rFonts w:ascii="Times New Roman;sans-serif" w:hAnsi="Times New Roman;sans-serif"/>
          <w:b w:val="false"/>
          <w:color w:val="000000"/>
          <w:sz w:val="22"/>
          <w:u w:val="single"/>
        </w:rPr>
        <w:t>Schedule 10.5</w:t>
      </w:r>
      <w:r>
        <w:rPr>
          <w:color w:val="000000"/>
        </w:rPr>
        <w:t xml:space="preserve"> </w:t>
      </w:r>
      <w:r>
        <w:rPr>
          <w:rFonts w:ascii="Times New Roman;sans-serif" w:hAnsi="Times New Roman;sans-serif"/>
          <w:b w:val="false"/>
          <w:color w:val="000000"/>
          <w:sz w:val="22"/>
        </w:rPr>
        <w:t xml:space="preserve">and activities incidental thereto, (ii) the maintenance of each Person’s legal existence (including the ability to incur fees, costs and expenses relating to such maintenance), (iii) the performance of each Person’s obligations with respect to the Credit Documents, the ABL Credit Documents and any other Indebtedness and any other agreements contemplated hereby and thereby, (iv) any public offering of its common stock or any other issuance or sale of its Equity Interests, (v) financing activities, including the issuance of securities, payment of dividends, making contributions to the capital of the Borrower, (vi) incurrence of debt and guaranteeing the obligations of the Borrower, (vii) participating in tax, accounting and other administrative matters as owner of the Equity Interests set forth next to such Person’s name on </w:t>
      </w:r>
      <w:r>
        <w:rPr>
          <w:rFonts w:ascii="Times New Roman;sans-serif" w:hAnsi="Times New Roman;sans-serif"/>
          <w:b w:val="false"/>
          <w:color w:val="000000"/>
          <w:sz w:val="22"/>
          <w:u w:val="single"/>
        </w:rPr>
        <w:t>Schedule 10.5</w:t>
      </w:r>
      <w:r>
        <w:rPr>
          <w:rFonts w:ascii="Times New Roman;sans-serif" w:hAnsi="Times New Roman;sans-serif"/>
          <w:b w:val="false"/>
          <w:color w:val="000000"/>
          <w:sz w:val="22"/>
        </w:rPr>
        <w:t xml:space="preserve">, (viii) holding any cash incidental to any activities permitted under this </w:t>
      </w:r>
      <w:r>
        <w:rPr>
          <w:rFonts w:ascii="Times New Roman;sans-serif" w:hAnsi="Times New Roman;sans-serif"/>
          <w:b w:val="false"/>
          <w:color w:val="000000"/>
          <w:sz w:val="22"/>
          <w:u w:val="single"/>
        </w:rPr>
        <w:t>Section 10.7</w:t>
      </w:r>
      <w:r>
        <w:rPr>
          <w:rFonts w:ascii="Times New Roman;sans-serif" w:hAnsi="Times New Roman;sans-serif"/>
          <w:b w:val="false"/>
          <w:color w:val="000000"/>
          <w:sz w:val="22"/>
        </w:rPr>
        <w:t xml:space="preserve">, (ix) providing indemnification to officers, managers and directors, (x) any transaction that is permitted under Section 10 and (xi) any activities incidental to the foregoing. </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11.    </w:t>
      </w:r>
      <w:r>
        <w:rPr>
          <w:rFonts w:ascii="Times New Roman;sans-serif" w:hAnsi="Times New Roman;sans-serif"/>
          <w:b w:val="false"/>
          <w:color w:val="000000"/>
          <w:sz w:val="22"/>
        </w:rPr>
        <w:t>Events of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Upon the occurrence of any of the following specified events set forth in </w:t>
      </w:r>
      <w:r>
        <w:rPr>
          <w:rFonts w:ascii="Times New Roman;sans-serif" w:hAnsi="Times New Roman;sans-serif"/>
          <w:b w:val="false"/>
          <w:color w:val="000000"/>
          <w:sz w:val="22"/>
          <w:u w:val="single"/>
        </w:rPr>
        <w:t>Sections 11.1</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11.11</w:t>
      </w:r>
      <w:r>
        <w:rPr>
          <w:color w:val="000000"/>
        </w:rPr>
        <w:t xml:space="preserve"> </w:t>
      </w:r>
      <w:r>
        <w:rPr>
          <w:rFonts w:ascii="Times New Roman;sans-serif" w:hAnsi="Times New Roman;sans-serif"/>
          <w:b w:val="false"/>
          <w:color w:val="000000"/>
          <w:sz w:val="22"/>
        </w:rPr>
        <w:t>(each an “</w:t>
      </w:r>
      <w:r>
        <w:rPr>
          <w:rFonts w:ascii="Times New Roman;sans-serif" w:hAnsi="Times New Roman;sans-serif"/>
          <w:b/>
          <w:color w:val="000000"/>
          <w:sz w:val="22"/>
        </w:rPr>
        <w:t>Event of Default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11.1    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The Borrower shall (a) default in the payment when due of any principal of the Loans or (b) default, and such default shall continue for five or more Business Days, in the payment when due of any interest on the Loans or any Fees or of any other amounts owing hereunder or under any other Credit Document;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11.2    </w:t>
      </w:r>
      <w:r>
        <w:rPr>
          <w:rFonts w:ascii="Times New Roman;sans-serif" w:hAnsi="Times New Roman;sans-serif"/>
          <w:b w:val="false"/>
          <w:color w:val="000000"/>
          <w:sz w:val="22"/>
          <w:u w:val="single"/>
        </w:rPr>
        <w:t>Representations, Etc</w:t>
      </w:r>
      <w:r>
        <w:rPr>
          <w:rFonts w:ascii="Times New Roman;sans-serif" w:hAnsi="Times New Roman;sans-serif"/>
          <w:b w:val="false"/>
          <w:color w:val="000000"/>
          <w:sz w:val="22"/>
        </w:rPr>
        <w:t>.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11.3    </w:t>
      </w:r>
      <w:r>
        <w:rPr>
          <w:rFonts w:ascii="Times New Roman;sans-serif" w:hAnsi="Times New Roman;sans-serif"/>
          <w:b w:val="false"/>
          <w:color w:val="000000"/>
          <w:sz w:val="22"/>
          <w:u w:val="single"/>
        </w:rPr>
        <w:t>Covenants</w:t>
      </w:r>
      <w:r>
        <w:rPr>
          <w:rFonts w:ascii="Times New Roman;sans-serif" w:hAnsi="Times New Roman;sans-serif"/>
          <w:b w:val="false"/>
          <w:color w:val="000000"/>
          <w:sz w:val="22"/>
        </w:rPr>
        <w:t>. Any Credit Party shall:</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default in the due performance or observance by it of any term, covenant or agreement contained in the last paragraph of </w:t>
      </w:r>
      <w:r>
        <w:rPr>
          <w:rFonts w:ascii="Times New Roman;sans-serif" w:hAnsi="Times New Roman;sans-serif"/>
          <w:b w:val="false"/>
          <w:color w:val="000000"/>
          <w:sz w:val="22"/>
          <w:u w:val="single"/>
        </w:rPr>
        <w:t>Section 9.1(e)(i)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9.5</w:t>
      </w:r>
      <w:r>
        <w:rPr>
          <w:color w:val="000000"/>
        </w:rPr>
        <w:t xml:space="preserve"> </w:t>
      </w:r>
      <w:r>
        <w:rPr>
          <w:rFonts w:ascii="Times New Roman;sans-serif" w:hAnsi="Times New Roman;sans-serif"/>
          <w:b w:val="false"/>
          <w:color w:val="000000"/>
          <w:sz w:val="22"/>
        </w:rPr>
        <w:t xml:space="preserve">(solely with respect to the Borrower), </w:t>
      </w:r>
      <w:r>
        <w:rPr>
          <w:rFonts w:ascii="Times New Roman;sans-serif" w:hAnsi="Times New Roman;sans-serif"/>
          <w:b w:val="false"/>
          <w:color w:val="000000"/>
          <w:sz w:val="22"/>
          <w:u w:val="single"/>
        </w:rPr>
        <w:t>Section 9.14(d)</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10</w:t>
      </w:r>
      <w:r>
        <w:rPr>
          <w:rFonts w:ascii="Times New Roman;sans-serif" w:hAnsi="Times New Roman;sans-serif"/>
          <w:b w:val="false"/>
          <w:color w:val="000000"/>
          <w:sz w:val="22"/>
        </w:rPr>
        <w: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default in the due performance or observance by it of any term, covenant or agreement (other than those referred to in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11.2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11.3</w:t>
      </w:r>
      <w:r>
        <w:rPr>
          <w:rFonts w:ascii="Times New Roman;sans-serif" w:hAnsi="Times New Roman;sans-serif"/>
          <w:b w:val="false"/>
          <w:color w:val="000000"/>
          <w:sz w:val="22"/>
        </w:rPr>
        <w:t>) contained in this Agreement or any Security Document and such default shall continue unremedied for a period of at least 30 days after receipt of written notice by the Borrower from the Administrative Agent or the Required Lenders;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11.4    </w:t>
      </w:r>
      <w:r>
        <w:rPr>
          <w:rFonts w:ascii="Times New Roman;sans-serif" w:hAnsi="Times New Roman;sans-serif"/>
          <w:b w:val="false"/>
          <w:color w:val="000000"/>
          <w:sz w:val="22"/>
          <w:u w:val="single"/>
        </w:rPr>
        <w:t>Default Under Other Agreements</w:t>
      </w:r>
      <w:r>
        <w:rPr>
          <w:rFonts w:ascii="Times New Roman;sans-serif" w:hAnsi="Times New Roman;sans-serif"/>
          <w:b w:val="false"/>
          <w:color w:val="000000"/>
          <w:sz w:val="22"/>
        </w:rPr>
        <w:t xml:space="preserve">. (a)  the Borrower or any of the Restricted Subsidiaries shall (i) fail to make any payment with respect to any Indebtedness (other than the Obligations) in excess of the greater of (x) $81,600,000 and (y) 17% of Consolidated EBITDA for the most recently ended Test Period (calculated on a Pro Forma Basis) in the aggregate, for the Borrower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shall apply to any failure to make any payment in excess of the greater of (x) $81,600,000 and (y) 17% of Consolidated EBITDA for the most recently ended Test Period (calculated on a Pro Forma Basis)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Times New Roman;sans-serif" w:hAnsi="Times New Roman;sans-serif"/>
          <w:b w:val="false"/>
          <w:color w:val="000000"/>
          <w:sz w:val="22"/>
          <w:u w:val="single"/>
        </w:rPr>
        <w:t>clause (a)(i)</w:t>
      </w:r>
      <w:r>
        <w:rPr>
          <w:color w:val="000000"/>
        </w:rPr>
        <w:t xml:space="preserve"> </w:t>
      </w:r>
      <w:r>
        <w:rPr>
          <w:rFonts w:ascii="Times New Roman;sans-serif" w:hAnsi="Times New Roman;sans-serif"/>
          <w:b w:val="false"/>
          <w:color w:val="000000"/>
          <w:sz w:val="22"/>
        </w:rPr>
        <w:t xml:space="preserve">above shall apply to any failure to make any payment in excess of the greater of (x) $81,600,000 and (y) 17% of Consolidated EBITDA for the most recently ended Test Period (calculated on a Pro Forma Basis) that is required as a result of any such termination or equivalent event and that is not otherwise being contested in good faith)), prior to the stated maturity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the Borrower or the applicable Restricted Subsidiary or (II) waived (including in the form of amendment) by the required holders of the applicable item of Indebtedness, in either case, prior to the acceleration of Loans pursuant to this </w:t>
      </w:r>
      <w:r>
        <w:rPr>
          <w:rFonts w:ascii="Times New Roman;sans-serif" w:hAnsi="Times New Roman;sans-serif"/>
          <w:b w:val="false"/>
          <w:color w:val="000000"/>
          <w:sz w:val="22"/>
          <w:u w:val="single"/>
        </w:rPr>
        <w:t>Section 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ABL Financial Covenant Default shall constitute an Event of Default under this </w:t>
      </w:r>
      <w:r>
        <w:rPr>
          <w:rFonts w:ascii="Times New Roman;sans-serif" w:hAnsi="Times New Roman;sans-serif"/>
          <w:b w:val="false"/>
          <w:color w:val="000000"/>
          <w:sz w:val="22"/>
          <w:u w:val="single"/>
        </w:rPr>
        <w:t>Section 11.4</w:t>
      </w:r>
      <w:r>
        <w:rPr>
          <w:color w:val="000000"/>
        </w:rPr>
        <w:t xml:space="preserve"> </w:t>
      </w:r>
      <w:r>
        <w:rPr>
          <w:rFonts w:ascii="Times New Roman;sans-serif" w:hAnsi="Times New Roman;sans-serif"/>
          <w:b w:val="false"/>
          <w:color w:val="000000"/>
          <w:sz w:val="22"/>
        </w:rPr>
        <w:t>until the acceleration of the Indebtedness (if any) or termination of commitments under the ABL Facility;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11.5    </w:t>
      </w:r>
      <w:r>
        <w:rPr>
          <w:rFonts w:ascii="Times New Roman;sans-serif" w:hAnsi="Times New Roman;sans-serif"/>
          <w:b w:val="false"/>
          <w:color w:val="000000"/>
          <w:sz w:val="22"/>
          <w:u w:val="single"/>
        </w:rPr>
        <w:t>Bankruptcy, Etc</w:t>
      </w:r>
      <w:r>
        <w:rPr>
          <w:rFonts w:ascii="Times New Roman;sans-serif" w:hAnsi="Times New Roman;sans-serif"/>
          <w:b w:val="false"/>
          <w:color w:val="000000"/>
          <w:sz w:val="22"/>
        </w:rPr>
        <w:t xml:space="preserve">. Except as otherwise permitted by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Holdings, any Intermediate Holdco, the Borrower or any Significant Subsidiary commences a voluntary case, proceeding or action concerning itself under Title 11 of the United States Code entitled “Bankruptcy” as now or hereafter in effect, or any successor thereto (collectively, the “</w:t>
      </w:r>
      <w:r>
        <w:rPr>
          <w:rFonts w:ascii="Times New Roman;sans-serif" w:hAnsi="Times New Roman;sans-serif"/>
          <w:b/>
          <w:color w:val="000000"/>
          <w:sz w:val="22"/>
        </w:rPr>
        <w:t>Bankruptcy Code</w:t>
      </w:r>
      <w:r>
        <w:rPr>
          <w:color w:val="000000"/>
        </w:rPr>
        <w:t>”</w:t>
      </w:r>
      <w:r>
        <w:rPr>
          <w:rFonts w:ascii="Times New Roman;sans-serif" w:hAnsi="Times New Roman;sans-serif"/>
          <w:b w:val="false"/>
          <w:color w:val="000000"/>
          <w:sz w:val="22"/>
        </w:rPr>
        <w:t xml:space="preserve">); or an involuntary case, proceeding or action is commenced against Holdings, any Intermediate Holdco, the Borrower or any Significant Subsidiary and the petition is not controverted within 60 days after commencement of the case, proceeding or action; or an involuntary case, proceeding or action is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commenced against Holdings, any Intermediate Holdco,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any Intermediate Holdco, the Borrower or any Significant Subsidiary; or Holdings, any Intermediate Holdco,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any Intermediate Holdco, the Borrower or any Significant Subsidiary; or there is commenced against Holdings, any Intermediate Holdco, Borrower or any Significant Subsidiary any such proceeding or action that remains undismissed for a period of 60 days; or Holdings, any Intermediate Holdco, the Borrower or any Significant Subsidiary is adjudicated bankrupt; or any order of relief or other order approving any such case or proceeding or action is entered; or Holdings, any Intermediate Holdco, the Borrower or any Significant Subsidiary suffers any appointment of any custodian receiver, receiver manager, trustee, administrator or the like for it or any substantial part of its property to continue undischarged or unstayed for a period of 60 days; or Holdings, any Intermediate Holdco, the Borrower or any Significant Subsidiary makes a general assignment for the benefit of creditors; or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11.6    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above, such event or condition, together with all other such events or conditions, if any, would reasonably be expected to result in a Material Adverse Effect; or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11.7    </w:t>
      </w:r>
      <w:r>
        <w:rPr>
          <w:rFonts w:ascii="Times New Roman;sans-serif" w:hAnsi="Times New Roman;sans-serif"/>
          <w:b w:val="false"/>
          <w:color w:val="000000"/>
          <w:sz w:val="22"/>
          <w:u w:val="single"/>
        </w:rPr>
        <w:t>Guarantee</w:t>
      </w:r>
      <w:r>
        <w:rPr>
          <w:rFonts w:ascii="Times New Roman;sans-serif" w:hAnsi="Times New Roman;sans-serif"/>
          <w:b w:val="false"/>
          <w:color w:val="000000"/>
          <w:sz w:val="22"/>
        </w:rPr>
        <w:t>. Other than as expressly permitted hereunder,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11.8    </w:t>
      </w:r>
      <w:r>
        <w:rPr>
          <w:rFonts w:ascii="Times New Roman;sans-serif" w:hAnsi="Times New Roman;sans-serif"/>
          <w:b w:val="false"/>
          <w:color w:val="000000"/>
          <w:sz w:val="22"/>
          <w:u w:val="single"/>
        </w:rPr>
        <w:t>Pledge Agreement</w:t>
      </w:r>
      <w:r>
        <w:rPr>
          <w:rFonts w:ascii="Times New Roman;sans-serif" w:hAnsi="Times New Roman;sans-serif"/>
          <w:b w:val="false"/>
          <w:color w:val="000000"/>
          <w:sz w:val="22"/>
        </w:rPr>
        <w:t>. Other than as expressly permitted hereunder,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solely as a result of acts or omissions of the Collateral Agent or any Lender or solely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11.9    </w:t>
      </w:r>
      <w:r>
        <w:rPr>
          <w:rFonts w:ascii="Times New Roman;sans-serif" w:hAnsi="Times New Roman;sans-serif"/>
          <w:b w:val="false"/>
          <w:color w:val="000000"/>
          <w:sz w:val="22"/>
          <w:u w:val="single"/>
        </w:rPr>
        <w:t>Security Agreement</w:t>
      </w:r>
      <w:r>
        <w:rPr>
          <w:rFonts w:ascii="Times New Roman;sans-serif" w:hAnsi="Times New Roman;sans-serif"/>
          <w:b w:val="false"/>
          <w:color w:val="000000"/>
          <w:sz w:val="22"/>
        </w:rPr>
        <w:t>. Other than as expressly permitted hereunder, the Security Agreement or any other Security Document pursuant to which the assets of Holdings, any Intermediate Holdco, the Borrower or any Material Subsidiary are pledged as Collateral or any material provision thereof shall cease to be in full force or effect (other than pursuant to the terms hereof or thereof, solely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11.10    </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xml:space="preserve">. One or more judgments or decrees shall be entered against the Borrower or any of the Restricted Subsidiaries involving a liability in excess of the greater of (x) $81,600,000 and (y) 17% of Consolidated EBITDA for the most recently ended Test Period (calculated on a Pro Forma Basis) in the aggregate for all such judgments and decrees for the Borrower and the Restricted Subsidiaries (to the extent not covered by insurance or indemnities as to which the applicable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or third party has not denied coverage) and any such judgments or decrees shall not have been satisfied, vacated, discharged or stayed or bonded pending appeal within 60 days after the entry thereof;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11.11    </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A Change of Control shall occur.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then, and in any event, and at any time thereafter, if an Event of Default occurs and is continuing, the Administrative Agent shall, upon the written request of the Required Lenders, by written notice to the Borrower, without prejudice to the rights of the Administrative Agent or any Lender to enforce its claims against the Borrower, except as otherwise specifically provided for in this Agreement,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an Event of Default specified in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 xml:space="preserve">shall occur with respect to the Borrower, the result that would occur upon the giving of written notice by the Administrative Agent shall occur automatically without the giving of any such notice;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in the case of each of Section 11.2 and 11.3, no notice of a Default or Event of Default may be given by the Administrative Agent or any Lender with respect to any action taken and reported to the Administrative Agent and the Lenders more than two years prior to such notice of Default or Event of Default;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such two year limitation shall not apply if (i) the Administrative Agent has commenced or previously taken any action in respect of any such Event of Default or (ii) any Credit Party had actual knowledge of such Default or Event of Default and failed to notify to Administrative Agent as required hereby.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11.12    </w:t>
      </w:r>
      <w:r>
        <w:rPr>
          <w:rFonts w:ascii="Times New Roman;sans-serif" w:hAnsi="Times New Roman;sans-serif"/>
          <w:b w:val="false"/>
          <w:color w:val="000000"/>
          <w:sz w:val="22"/>
          <w:u w:val="single"/>
        </w:rPr>
        <w:t>Application of Proceeds</w:t>
      </w:r>
      <w:r>
        <w:rPr>
          <w:rFonts w:ascii="Times New Roman;sans-serif" w:hAnsi="Times New Roman;sans-serif"/>
          <w:b w:val="false"/>
          <w:color w:val="000000"/>
          <w:sz w:val="22"/>
        </w:rPr>
        <w:t xml:space="preserve">. Subject to the terms of the ABL Intercreditor Agreement and, in each case if executed, the First Lien Intercreditor Agreement and the Second Lien Intercreditor Agreement,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Times New Roman;sans-serif" w:hAnsi="Times New Roman;sans-serif"/>
          <w:b w:val="false"/>
          <w:color w:val="000000"/>
          <w:sz w:val="22"/>
          <w:u w:val="single"/>
        </w:rPr>
        <w:t>Section 11.4</w:t>
      </w:r>
      <w:r>
        <w:rPr>
          <w:color w:val="000000"/>
        </w:rPr>
        <w:t xml:space="preserve"> </w:t>
      </w:r>
      <w:r>
        <w:rPr>
          <w:rFonts w:ascii="Times New Roman;sans-serif" w:hAnsi="Times New Roman;sans-serif"/>
          <w:b w:val="false"/>
          <w:color w:val="000000"/>
          <w:sz w:val="22"/>
        </w:rPr>
        <w:t>shall be applied: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i/>
          <w:color w:val="000000"/>
          <w:sz w:val="22"/>
        </w:rPr>
        <w:t>first</w:t>
      </w:r>
      <w:r>
        <w:rPr>
          <w:rFonts w:ascii="Times New Roman;sans-serif" w:hAnsi="Times New Roman;sans-serif"/>
          <w:b w:val="false"/>
          <w:color w:val="000000"/>
          <w:sz w:val="22"/>
        </w:rPr>
        <w:t>, to the payment of all reasonable and documented costs and expenses incurred by the Administrative Agent or the Collateral Agent 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any Credit Party and any other reasonable and documented costs or expenses incurred in connection with the exercise of any right or remedy hereunder or under any other Credit Document to the extent reimbursable hereunder or thereunder;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i/>
          <w:color w:val="000000"/>
          <w:sz w:val="22"/>
        </w:rPr>
        <w:t>second</w:t>
      </w:r>
      <w:r>
        <w:rPr>
          <w:rFonts w:ascii="Times New Roman;sans-serif" w:hAnsi="Times New Roman;sans-serif"/>
          <w:b w:val="false"/>
          <w:color w:val="000000"/>
          <w:sz w:val="22"/>
        </w:rPr>
        <w:t>, to the Secured Parties, an amount equal to all Obligations owing to them on the date of any distribution;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i/>
          <w:color w:val="000000"/>
          <w:sz w:val="22"/>
        </w:rPr>
        <w:t>third</w:t>
      </w:r>
      <w:r>
        <w:rPr>
          <w:rFonts w:ascii="Times New Roman;sans-serif" w:hAnsi="Times New Roman;sans-serif"/>
          <w:b w:val="false"/>
          <w:color w:val="000000"/>
          <w:sz w:val="22"/>
        </w:rPr>
        <w:t>, any surplus then remaining shall be paid to the applicable Credit Parties or their successors or assigns or to whomsoever may be lawfully entitled to receive the same or as a court of competent jurisdiction may direct;</w:t>
      </w:r>
    </w:p>
    <w:p>
      <w:pPr>
        <w:pStyle w:val="TextBody"/>
        <w:bidi w:val="0"/>
        <w:spacing w:lineRule="auto" w:line="240" w:before="0" w:after="240"/>
        <w:jc w:val="both"/>
        <w:rPr/>
      </w:pPr>
      <w:r>
        <w:rPr>
          <w:rFonts w:ascii="Times New Roman;sans-serif" w:hAnsi="Times New Roman;sans-serif"/>
          <w:b w:val="false"/>
          <w:color w:val="000000"/>
          <w:sz w:val="22"/>
        </w:rPr>
        <w:t>Notwithstanding the foregoing, amounts received from any Guarantor that is not an “</w:t>
      </w:r>
      <w:r>
        <w:rPr>
          <w:rFonts w:ascii="Times New Roman;sans-serif" w:hAnsi="Times New Roman;sans-serif"/>
          <w:b/>
          <w:color w:val="000000"/>
          <w:sz w:val="22"/>
        </w:rPr>
        <w:t>Eligible Contract Participant</w:t>
      </w:r>
      <w:r>
        <w:rPr>
          <w:color w:val="000000"/>
        </w:rPr>
        <w:t xml:space="preserve">” </w:t>
      </w:r>
      <w:r>
        <w:rPr>
          <w:rFonts w:ascii="Times New Roman;sans-serif" w:hAnsi="Times New Roman;sans-serif"/>
          <w:b w:val="false"/>
          <w:color w:val="000000"/>
          <w:sz w:val="22"/>
        </w:rPr>
        <w:t>(as defined in the Commodity Exchange Act) shall not be applied to its Obligations that are Excluded Swap Obligations.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12.    </w:t>
      </w:r>
      <w:r>
        <w:rPr>
          <w:rFonts w:ascii="Times New Roman;sans-serif" w:hAnsi="Times New Roman;sans-serif"/>
          <w:b w:val="false"/>
          <w:color w:val="000000"/>
          <w:sz w:val="22"/>
        </w:rPr>
        <w:t>The Agents.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12.1    </w:t>
      </w:r>
      <w:r>
        <w:rPr>
          <w:rFonts w:ascii="Times New Roman;sans-serif" w:hAnsi="Times New Roman;sans-serif"/>
          <w:b w:val="false"/>
          <w:color w:val="000000"/>
          <w:sz w:val="22"/>
          <w:u w:val="single"/>
        </w:rPr>
        <w:t>Appointment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Documents, together with such other powers as are reasonably incidental thereto. The provisions of this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12.1(c)</w:t>
      </w:r>
      <w:r>
        <w:rPr>
          <w:color w:val="000000"/>
        </w:rPr>
        <w:t xml:space="preserve"> </w:t>
      </w:r>
      <w:r>
        <w:rPr>
          <w:rFonts w:ascii="Times New Roman;sans-serif" w:hAnsi="Times New Roman;sans-serif"/>
          <w:b w:val="false"/>
          <w:color w:val="000000"/>
          <w:sz w:val="22"/>
        </w:rPr>
        <w:t xml:space="preserve">with respect to the Joint Lead Arrangers and Bookrunners and </w:t>
      </w:r>
      <w:r>
        <w:rPr>
          <w:rFonts w:ascii="Times New Roman;sans-serif" w:hAnsi="Times New Roman;sans-serif"/>
          <w:b w:val="false"/>
          <w:color w:val="000000"/>
          <w:sz w:val="22"/>
          <w:u w:val="single"/>
        </w:rPr>
        <w:t>Sections 12.1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12.9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12.11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12.12</w:t>
      </w:r>
      <w:r>
        <w:rPr>
          <w:color w:val="000000"/>
        </w:rPr>
        <w:t xml:space="preserve"> </w:t>
      </w:r>
      <w:r>
        <w:rPr>
          <w:rFonts w:ascii="Times New Roman;sans-serif" w:hAnsi="Times New Roman;sans-serif"/>
          <w:b w:val="false"/>
          <w:color w:val="000000"/>
          <w:sz w:val="22"/>
        </w:rPr>
        <w:t>with respect to the Borrower) are solely for the benefit of the Agents and the Lenders, neither the Borrower nor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Administrative Agent and each Lender hereby irrevocably designate and appoint the Collateral Agent as the agent with respect to the Collateral, and each of the Administrative Agent and each Lender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and the Lenders, and no implied covenants, functions, responsibilities, duties, obligations or liabilities shall be read into this Agreement or any other Credit Document or otherwise exist against the Collateral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Each of the Joint Lead Arrangers and Bookrunners each in its capacity as such, shall not have any obligations, duties or responsibilities under this Agreement but shall be entitled to all benefits of this </w:t>
      </w:r>
      <w:r>
        <w:rPr>
          <w:rFonts w:ascii="Times New Roman;sans-serif" w:hAnsi="Times New Roman;sans-serif"/>
          <w:b w:val="false"/>
          <w:color w:val="000000"/>
          <w:sz w:val="22"/>
          <w:u w:val="single"/>
        </w:rPr>
        <w:t>Section 12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12.2    </w:t>
      </w:r>
      <w:r>
        <w:rPr>
          <w:rFonts w:ascii="Times New Roman;sans-serif" w:hAnsi="Times New Roman;sans-serif"/>
          <w:b w:val="false"/>
          <w:color w:val="000000"/>
          <w:sz w:val="22"/>
          <w:u w:val="single"/>
        </w:rPr>
        <w:t>Delegation of Duties</w:t>
      </w:r>
      <w:r>
        <w:rPr>
          <w:rFonts w:ascii="Times New Roman;sans-serif" w:hAnsi="Times New Roman;sans-serif"/>
          <w:b w:val="false"/>
          <w:color w:val="000000"/>
          <w:sz w:val="22"/>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12.3    </w:t>
      </w:r>
      <w:r>
        <w:rPr>
          <w:rFonts w:ascii="Times New Roman;sans-serif" w:hAnsi="Times New Roman;sans-serif"/>
          <w:b w:val="false"/>
          <w:color w:val="000000"/>
          <w:sz w:val="22"/>
          <w:u w:val="single"/>
        </w:rPr>
        <w:t>Exculpatory Provisions</w:t>
      </w:r>
      <w:r>
        <w:rPr>
          <w:rFonts w:ascii="Times New Roman;sans-serif" w:hAnsi="Times New Roman;sans-serif"/>
          <w:b w:val="false"/>
          <w:color w:val="000000"/>
          <w:sz w:val="22"/>
        </w:rPr>
        <w:t xml:space="preserve">. No Agent nor any of its officers, directors, employees, agents, attorneys-in-fact or Affiliates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Agent is instructed in writing to exercise by the Required Lenders (or such other number or percentage of the Lenders as shall be necessary under the circumstances as provided in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r>
        <w:rPr>
          <w:rFonts w:ascii="Times New Roman;sans-serif" w:hAnsi="Times New Roman;sans-serif"/>
          <w:b/>
          <w:color w:val="0000FF"/>
          <w:sz w:val="22"/>
          <w:u w:val="single"/>
        </w:rPr>
        <w:t xml:space="preserve">and </w:t>
      </w:r>
      <w:r>
        <w:rPr>
          <w:rFonts w:ascii="Times New Roman;sans-serif" w:hAnsi="Times New Roman;sans-serif"/>
          <w:b w:val="false"/>
          <w:color w:val="000000"/>
          <w:sz w:val="22"/>
        </w:rPr>
        <w:t>(b) except as expressly set forth in the Credit Documents, no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w:t>
      </w:r>
      <w:r>
        <w:rPr>
          <w:strike/>
          <w:color w:val="FF0000"/>
        </w:rPr>
        <w:t xml:space="preserve"> </w:t>
      </w:r>
      <w:r>
        <w:rPr>
          <w:rFonts w:ascii="Times New Roman;sans-serif" w:hAnsi="Times New Roman;sans-serif"/>
          <w:b/>
          <w:strike/>
          <w:color w:val="FF0000"/>
          <w:sz w:val="22"/>
        </w:rPr>
        <w:t>and (c) the Administrative Agent does not warrant nor accept any responsibility nor shall the Administrative Agent have any liability with respect to (i) any LIBOR Successor Rate Conforming Changes, (ii) the administration, submission or any matter relating to any LIBOR Successor Rate or (iii) the effect of any of the foregoing.</w:t>
      </w:r>
      <w:r>
        <w:rPr>
          <w:rFonts w:ascii="Times New Roman;sans-serif" w:hAnsi="Times New Roman;sans-serif"/>
          <w:b/>
          <w:color w:val="0000FF"/>
          <w:sz w:val="22"/>
          <w:u w:val="single"/>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12.4    </w:t>
      </w:r>
      <w:r>
        <w:rPr>
          <w:rFonts w:ascii="Times New Roman;sans-serif" w:hAnsi="Times New Roman;sans-serif"/>
          <w:b w:val="false"/>
          <w:color w:val="000000"/>
          <w:sz w:val="22"/>
          <w:u w:val="single"/>
        </w:rPr>
        <w:t>Reliance by Agents</w:t>
      </w:r>
      <w:r>
        <w:rPr>
          <w:rFonts w:ascii="Times New Roman;sans-serif" w:hAnsi="Times New Roman;sans-serif"/>
          <w:b w:val="false"/>
          <w:color w:val="000000"/>
          <w:sz w:val="22"/>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Administrative Agent and the Collateral Agent shall not be required to take any action that, in its opinion or in the opinion of its counsel, may expose it to liability or that is contrary to any Credit Document or applicable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12.5    </w:t>
      </w:r>
      <w:r>
        <w:rPr>
          <w:rFonts w:ascii="Times New Roman;sans-serif" w:hAnsi="Times New Roman;sans-serif"/>
          <w:b w:val="false"/>
          <w:color w:val="000000"/>
          <w:sz w:val="22"/>
          <w:u w:val="single"/>
        </w:rPr>
        <w:t>Notice of Default</w:t>
      </w:r>
      <w:r>
        <w:rPr>
          <w:rFonts w:ascii="Times New Roman;sans-serif" w:hAnsi="Times New Roman;sans-serif"/>
          <w:b w:val="false"/>
          <w:color w:val="000000"/>
          <w:sz w:val="22"/>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12.6    </w:t>
      </w:r>
      <w:r>
        <w:rPr>
          <w:rFonts w:ascii="Times New Roman;sans-serif" w:hAnsi="Times New Roman;sans-serif"/>
          <w:b w:val="false"/>
          <w:color w:val="000000"/>
          <w:sz w:val="22"/>
          <w:u w:val="single"/>
        </w:rPr>
        <w:t>Non-Reliance on Administrative Agent, Collateral Agent, and Other Lenders</w:t>
      </w:r>
      <w:r>
        <w:rPr>
          <w:rFonts w:ascii="Times New Roman;sans-serif" w:hAnsi="Times New Roman;sans-serif"/>
          <w:b w:val="false"/>
          <w:color w:val="000000"/>
          <w:sz w:val="22"/>
        </w:rPr>
        <w:t xml:space="preserve">. Each Lender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Each Lender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and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12.7    </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Times New Roman;sans-serif" w:hAnsi="Times New Roman;sans-serif"/>
          <w:b w:val="false"/>
          <w:color w:val="000000"/>
          <w:sz w:val="22"/>
          <w:u w:val="single"/>
        </w:rPr>
        <w:t>Section 12.7</w:t>
      </w:r>
      <w:r>
        <w:rPr>
          <w:rFonts w:ascii="Times New Roman;sans-serif" w:hAnsi="Times New Roman;sans-serif"/>
          <w:b w:val="false"/>
          <w:color w:val="000000"/>
          <w:sz w:val="22"/>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Times New Roman;sans-serif" w:hAnsi="Times New Roman;sans-serif"/>
          <w:b w:val="false"/>
          <w:color w:val="000000"/>
          <w:sz w:val="22"/>
          <w:u w:val="single"/>
        </w:rPr>
        <w:t>Section 12.7</w:t>
      </w:r>
      <w:r>
        <w:rPr>
          <w:color w:val="000000"/>
        </w:rPr>
        <w:t xml:space="preserve"> </w:t>
      </w:r>
      <w:r>
        <w:rPr>
          <w:rFonts w:ascii="Times New Roman;sans-serif" w:hAnsi="Times New Roman;sans-serif"/>
          <w:b w:val="false"/>
          <w:color w:val="000000"/>
          <w:sz w:val="22"/>
        </w:rPr>
        <w:t xml:space="preserve">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Times New Roman;sans-serif" w:hAnsi="Times New Roman;sans-serif"/>
          <w:b w:val="false"/>
          <w:color w:val="000000"/>
          <w:sz w:val="22"/>
          <w:u w:val="single"/>
        </w:rPr>
        <w:t>Section 12.7</w:t>
      </w:r>
      <w:r>
        <w:rPr>
          <w:color w:val="000000"/>
        </w:rPr>
        <w:t xml:space="preserve"> </w:t>
      </w:r>
      <w:r>
        <w:rPr>
          <w:rFonts w:ascii="Times New Roman;sans-serif" w:hAnsi="Times New Roman;sans-serif"/>
          <w:b w:val="false"/>
          <w:color w:val="000000"/>
          <w:sz w:val="22"/>
        </w:rPr>
        <w:t xml:space="preserve">shall survive the payment of the Loans and all other amounts payable hereunder. The indemnity provided to each Agent under this </w:t>
      </w:r>
      <w:r>
        <w:rPr>
          <w:rFonts w:ascii="Times New Roman;sans-serif" w:hAnsi="Times New Roman;sans-serif"/>
          <w:b w:val="false"/>
          <w:color w:val="000000"/>
          <w:sz w:val="22"/>
          <w:u w:val="single"/>
        </w:rPr>
        <w:t>Section 12.7</w:t>
      </w:r>
      <w:r>
        <w:rPr>
          <w:color w:val="000000"/>
        </w:rPr>
        <w:t xml:space="preserve"> </w:t>
      </w:r>
      <w:r>
        <w:rPr>
          <w:rFonts w:ascii="Times New Roman;sans-serif" w:hAnsi="Times New Roman;sans-serif"/>
          <w:b w:val="false"/>
          <w:color w:val="000000"/>
          <w:sz w:val="22"/>
        </w:rPr>
        <w:t>shall also apply to such Agent’s respective Affiliates, directors, officers, members, controlling persons, employees, trustees, investment advisors and agents and successors.</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12.8    </w:t>
      </w:r>
      <w:r>
        <w:rPr>
          <w:rFonts w:ascii="Times New Roman;sans-serif" w:hAnsi="Times New Roman;sans-serif"/>
          <w:b w:val="false"/>
          <w:color w:val="000000"/>
          <w:sz w:val="22"/>
          <w:u w:val="single"/>
        </w:rPr>
        <w:t>Agents in Their Individual Capacities</w:t>
      </w:r>
      <w:r>
        <w:rPr>
          <w:rFonts w:ascii="Times New Roman;sans-serif" w:hAnsi="Times New Roman;sans-serif"/>
          <w:b w:val="false"/>
          <w:color w:val="000000"/>
          <w:sz w:val="22"/>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12.9    </w:t>
      </w:r>
      <w:r>
        <w:rPr>
          <w:rFonts w:ascii="Times New Roman;sans-serif" w:hAnsi="Times New Roman;sans-serif"/>
          <w:b w:val="false"/>
          <w:color w:val="000000"/>
          <w:sz w:val="22"/>
          <w:u w:val="single"/>
        </w:rPr>
        <w:t>Successor Agents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Each of the Administrative Agent and the Collateral Agent may at any time give notice of its resignation to the Lenders and the Borrower. Upon receipt of any such notice of resignation, the Required Lenders shall have the right, subject to the consent of the Borrower (not to be unreasonably withheld or delayed) so long as no Event of Default under </w:t>
      </w:r>
      <w:r>
        <w:rPr>
          <w:rFonts w:ascii="Times New Roman;sans-serif" w:hAnsi="Times New Roman;sans-serif"/>
          <w:b w:val="false"/>
          <w:color w:val="000000"/>
          <w:sz w:val="22"/>
          <w:u w:val="single"/>
        </w:rPr>
        <w:t>Sections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11.5</w:t>
      </w:r>
      <w:r>
        <w:rPr>
          <w:color w:val="000000"/>
        </w:rPr>
        <w:t xml:space="preserve"> </w:t>
      </w:r>
      <w:r>
        <w:rPr>
          <w:rFonts w:ascii="Times New Roman;sans-serif" w:hAnsi="Times New Roman;sans-serif"/>
          <w:b w:val="false"/>
          <w:color w:val="000000"/>
          <w:sz w:val="22"/>
        </w:rPr>
        <w:t>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 “</w:t>
      </w:r>
      <w:r>
        <w:rPr>
          <w:rFonts w:ascii="Times New Roman;sans-serif" w:hAnsi="Times New Roman;sans-serif"/>
          <w:b/>
          <w:color w:val="000000"/>
          <w:sz w:val="22"/>
        </w:rPr>
        <w:t>Resignation Effective Date</w:t>
      </w:r>
      <w:r>
        <w:rPr>
          <w:color w:val="000000"/>
        </w:rPr>
        <w:t>”</w:t>
      </w:r>
      <w:r>
        <w:rPr>
          <w:rFonts w:ascii="Times New Roman;sans-serif" w:hAnsi="Times New Roman;sans-serif"/>
          <w:b w:val="false"/>
          <w:color w:val="000000"/>
          <w:sz w:val="22"/>
        </w:rPr>
        <w:t xml:space="preserve">), then the retiring Agent may on behalf of the Lenders, appoint a successor Agent meeting the qualifications set forth above (including receipt of the Borrower’s consent);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if the Administrative Agent or the Collateral Agent shall notify the Borrower and the Lenders that no qualifying Person has accepted such appointment, then such resignation shall nonetheless become effective in accordance with such notice.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If the Person serving as the Administrative Agent is a Defaulting Lender pursuant to </w:t>
      </w:r>
      <w:r>
        <w:rPr>
          <w:rFonts w:ascii="Times New Roman;sans-serif" w:hAnsi="Times New Roman;sans-serif"/>
          <w:b w:val="false"/>
          <w:color w:val="000000"/>
          <w:sz w:val="22"/>
          <w:u w:val="single"/>
        </w:rPr>
        <w:t>clause (v)</w:t>
      </w:r>
      <w:r>
        <w:rPr>
          <w:color w:val="000000"/>
        </w:rPr>
        <w:t xml:space="preserve"> </w:t>
      </w:r>
      <w:r>
        <w:rPr>
          <w:rFonts w:ascii="Times New Roman;sans-serif" w:hAnsi="Times New Roman;sans-serif"/>
          <w:b w:val="false"/>
          <w:color w:val="000000"/>
          <w:sz w:val="22"/>
        </w:rPr>
        <w:t>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color w:val="000000"/>
          <w:sz w:val="22"/>
        </w:rPr>
        <w:t>Removal Effective Date</w:t>
      </w:r>
      <w:r>
        <w:rPr>
          <w:color w:val="000000"/>
        </w:rPr>
        <w:t>”</w:t>
      </w:r>
      <w:r>
        <w:rPr>
          <w:rFonts w:ascii="Times New Roman;sans-serif" w:hAnsi="Times New Roman;sans-serif"/>
          <w:b w:val="false"/>
          <w:color w:val="000000"/>
          <w:sz w:val="22"/>
        </w:rPr>
        <w:t>), then such removal shall nonetheless become effective in accordance with such notice on the Removal Effective Date.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directly, until such time as the Required Lenders appoint a successor Agent as provided for above in this paragraph.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Times New Roman;sans-serif" w:hAnsi="Times New Roman;sans-serif"/>
          <w:b w:val="false"/>
          <w:color w:val="000000"/>
          <w:sz w:val="22"/>
          <w:u w:val="single"/>
        </w:rPr>
        <w:t>Section 12.9</w:t>
      </w:r>
      <w:r>
        <w:rPr>
          <w:rFonts w:ascii="Times New Roman;sans-serif" w:hAnsi="Times New Roman;sans-serif"/>
          <w:b w:val="false"/>
          <w:color w:val="000000"/>
          <w:sz w:val="22"/>
        </w:rPr>
        <w:t xml:space="preserve">). Except as provided above, any resignation or removal of Credit Suisse AG, Cayman Islands Branch as the Administrative Agent pursuant to this </w:t>
      </w:r>
      <w:r>
        <w:rPr>
          <w:rFonts w:ascii="Times New Roman;sans-serif" w:hAnsi="Times New Roman;sans-serif"/>
          <w:b w:val="false"/>
          <w:color w:val="000000"/>
          <w:sz w:val="22"/>
          <w:u w:val="single"/>
        </w:rPr>
        <w:t>Section 12.9</w:t>
      </w:r>
      <w:r>
        <w:rPr>
          <w:color w:val="000000"/>
        </w:rPr>
        <w:t xml:space="preserve"> </w:t>
      </w:r>
      <w:r>
        <w:rPr>
          <w:rFonts w:ascii="Times New Roman;sans-serif" w:hAnsi="Times New Roman;sans-serif"/>
          <w:b w:val="false"/>
          <w:color w:val="000000"/>
          <w:sz w:val="22"/>
        </w:rPr>
        <w:t xml:space="preserve">shall also constitute the resignation or removal of Credit Suisse AG, Cayman Islands Branch as the Collateral Agent. The fees payable by the Borrower (following the effectiveness of such appointment) to such Agent shall be the same as those payable to its predecessor unless otherwise agreed between the Borrower and such successor. After the retiring or removed Agent’s resignation or removal hereunder and under the other Credit Documents, the provisions of this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(including </w:t>
      </w:r>
      <w:r>
        <w:rPr>
          <w:rFonts w:ascii="Times New Roman;sans-serif" w:hAnsi="Times New Roman;sans-serif"/>
          <w:b w:val="false"/>
          <w:color w:val="000000"/>
          <w:sz w:val="22"/>
          <w:u w:val="single"/>
        </w:rPr>
        <w:t>Section 12.7</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Section 13.5</w:t>
      </w:r>
      <w:r>
        <w:rPr>
          <w:color w:val="000000"/>
        </w:rPr>
        <w:t xml:space="preserve"> </w:t>
      </w:r>
      <w:r>
        <w:rPr>
          <w:rFonts w:ascii="Times New Roman;sans-serif" w:hAnsi="Times New Roman;sans-serif"/>
          <w:b w:val="false"/>
          <w:color w:val="000000"/>
          <w:sz w:val="22"/>
        </w:rPr>
        <w:t xml:space="preserve">shall continue in effect for the benefit of such retiring or removed Agent,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its sub-agents and their respective Related Parties in respect of any actions taken or omitted to be taken by any of them while the retiring or removed Agent was acting as an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12.10    </w:t>
      </w:r>
      <w:r>
        <w:rPr>
          <w:rFonts w:ascii="Times New Roman;sans-serif" w:hAnsi="Times New Roman;sans-serif"/>
          <w:b w:val="false"/>
          <w:color w:val="000000"/>
          <w:sz w:val="22"/>
          <w:u w:val="single"/>
        </w:rPr>
        <w:t>Withholding Tax</w:t>
      </w:r>
      <w:r>
        <w:rPr>
          <w:rFonts w:ascii="Times New Roman;sans-serif" w:hAnsi="Times New Roman;sans-serif"/>
          <w:b w:val="false"/>
          <w:color w:val="000000"/>
          <w:sz w:val="22"/>
        </w:rPr>
        <w:t xml:space="preserve">. To the extent required by any applicable law (as determined in good faith by the Administrative Agent), the Administrative Agent may withhold from any payment to any Lender 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within 10 days after demand therefor, fully for all amounts paid, directly or indirectly, by the Administrative Agent or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Times New Roman;sans-serif" w:hAnsi="Times New Roman;sans-serif"/>
          <w:b w:val="false"/>
          <w:color w:val="000000"/>
          <w:sz w:val="22"/>
          <w:u w:val="single"/>
        </w:rPr>
        <w:t>Section 12.10</w:t>
      </w:r>
      <w:r>
        <w:rPr>
          <w:rFonts w:ascii="Times New Roman;sans-serif" w:hAnsi="Times New Roman;sans-serif"/>
          <w:b w:val="false"/>
          <w:color w:val="000000"/>
          <w:sz w:val="22"/>
        </w:rPr>
        <w:t xml:space="preserve">. The agreements in </w:t>
      </w:r>
      <w:r>
        <w:rPr>
          <w:rFonts w:ascii="Times New Roman;sans-serif" w:hAnsi="Times New Roman;sans-serif"/>
          <w:b w:val="false"/>
          <w:color w:val="000000"/>
          <w:sz w:val="22"/>
          <w:u w:val="single"/>
        </w:rPr>
        <w:t>Section 12.10</w:t>
      </w:r>
      <w:r>
        <w:rPr>
          <w:color w:val="000000"/>
        </w:rPr>
        <w:t xml:space="preserve"> </w:t>
      </w:r>
      <w:r>
        <w:rPr>
          <w:rFonts w:ascii="Times New Roman;sans-serif" w:hAnsi="Times New Roman;sans-serif"/>
          <w:b w:val="false"/>
          <w:color w:val="000000"/>
          <w:sz w:val="22"/>
        </w:rPr>
        <w:t xml:space="preserve">shall survive the resignation and/or replacement of the Administrative Agent, any assignment of rights by, or the replacement of, a Lender, the termination of the Commitments and the repayment, satisfaction or discharge of all other Obligations.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12.11    </w:t>
      </w:r>
      <w:r>
        <w:rPr>
          <w:rFonts w:ascii="Times New Roman;sans-serif" w:hAnsi="Times New Roman;sans-serif"/>
          <w:b w:val="false"/>
          <w:color w:val="000000"/>
          <w:sz w:val="22"/>
          <w:u w:val="single"/>
        </w:rPr>
        <w:t>Agents Under Security Documents and Guarantee</w:t>
      </w:r>
      <w:r>
        <w:rPr>
          <w:rFonts w:ascii="Times New Roman;sans-serif" w:hAnsi="Times New Roman;sans-serif"/>
          <w:b w:val="false"/>
          <w:color w:val="000000"/>
          <w:sz w:val="22"/>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 xml:space="preserve">,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Guarantor, upon the release of such Guarantor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 xml:space="preserve">; (b) release any Guarantor (other than Holdings)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Times New Roman;sans-serif" w:hAnsi="Times New Roman;sans-serif"/>
          <w:b w:val="false"/>
          <w:color w:val="000000"/>
          <w:sz w:val="22"/>
          <w:u w:val="single"/>
        </w:rPr>
        <w:t>clause (vi)</w:t>
      </w:r>
      <w:r>
        <w:rPr>
          <w:color w:val="000000"/>
        </w:rPr>
        <w:t xml:space="preserve"> </w:t>
      </w:r>
      <w:r>
        <w:rPr>
          <w:rFonts w:ascii="Times New Roman;sans-serif" w:hAnsi="Times New Roman;sans-serif"/>
          <w:b w:val="false"/>
          <w:color w:val="000000"/>
          <w:sz w:val="22"/>
        </w:rPr>
        <w:t xml:space="preserve">(solely with respect to </w:t>
      </w:r>
      <w:r>
        <w:rPr>
          <w:rFonts w:ascii="Times New Roman;sans-serif" w:hAnsi="Times New Roman;sans-serif"/>
          <w:b w:val="false"/>
          <w:color w:val="000000"/>
          <w:sz w:val="22"/>
          <w:u w:val="single"/>
        </w:rPr>
        <w:t>Section 10.1(d))</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(ix)</w:t>
      </w:r>
      <w:r>
        <w:rPr>
          <w:color w:val="000000"/>
        </w:rPr>
        <w:t xml:space="preserve"> </w:t>
      </w:r>
      <w:r>
        <w:rPr>
          <w:rFonts w:ascii="Times New Roman;sans-serif" w:hAnsi="Times New Roman;sans-serif"/>
          <w:b w:val="false"/>
          <w:color w:val="000000"/>
          <w:sz w:val="22"/>
        </w:rPr>
        <w:t xml:space="preserve">of the definition of Permitted Lien; and (d) enter into subordination or intercreditor agreements with respect to Indebtedness to the extent the Administrative Agent or the Collateral Agent is otherwise contemplated herein as being a party to such intercreditor or subordination agreement, including the ABL Intercreditor Agreement, the First Lien Intercreditor Agreement and the Second Lien Intercreditor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Collateral Agent shall have its own independent right to demand payment of the amounts payable by the Borrower under this </w:t>
      </w:r>
      <w:r>
        <w:rPr>
          <w:rFonts w:ascii="Times New Roman;sans-serif" w:hAnsi="Times New Roman;sans-serif"/>
          <w:b w:val="false"/>
          <w:color w:val="000000"/>
          <w:sz w:val="22"/>
          <w:u w:val="single"/>
        </w:rPr>
        <w:t>Section 12.11</w:t>
      </w:r>
      <w:r>
        <w:rPr>
          <w:rFonts w:ascii="Times New Roman;sans-serif" w:hAnsi="Times New Roman;sans-serif"/>
          <w:b w:val="false"/>
          <w:color w:val="000000"/>
          <w:sz w:val="22"/>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Any amount due and payable by the Borrower to the Collateral Agent under this </w:t>
      </w:r>
      <w:r>
        <w:rPr>
          <w:rFonts w:ascii="Times New Roman;sans-serif" w:hAnsi="Times New Roman;sans-serif"/>
          <w:b w:val="false"/>
          <w:color w:val="000000"/>
          <w:sz w:val="22"/>
          <w:u w:val="single"/>
        </w:rPr>
        <w:t>Section 12.11</w:t>
      </w:r>
      <w:r>
        <w:rPr>
          <w:color w:val="000000"/>
        </w:rPr>
        <w:t xml:space="preserve"> </w:t>
      </w:r>
      <w:r>
        <w:rPr>
          <w:rFonts w:ascii="Times New Roman;sans-serif" w:hAnsi="Times New Roman;sans-serif"/>
          <w:b w:val="false"/>
          <w:color w:val="000000"/>
          <w:sz w:val="22"/>
        </w:rPr>
        <w:t xml:space="preserve">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Times New Roman;sans-serif" w:hAnsi="Times New Roman;sans-serif"/>
          <w:b w:val="false"/>
          <w:color w:val="000000"/>
          <w:sz w:val="22"/>
          <w:u w:val="single"/>
        </w:rPr>
        <w:t>Section 12.11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12.12    </w:t>
      </w:r>
      <w:r>
        <w:rPr>
          <w:rFonts w:ascii="Times New Roman;sans-serif" w:hAnsi="Times New Roman;sans-serif"/>
          <w:b w:val="false"/>
          <w:color w:val="000000"/>
          <w:sz w:val="22"/>
          <w:u w:val="single"/>
        </w:rPr>
        <w:t>Right to Realize on Collateral and Enforce Guarantee</w:t>
      </w:r>
      <w:r>
        <w:rPr>
          <w:rFonts w:ascii="Times New Roman;sans-serif" w:hAnsi="Times New Roman;sans-serif"/>
          <w:b w:val="false"/>
          <w:color w:val="000000"/>
          <w:sz w:val="22"/>
        </w:rPr>
        <w:t>. Anything contained in any of the Credit Documents to the contrary notwithstanding, Holdings, the Borrower,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12.13    </w:t>
      </w:r>
      <w:r>
        <w:rPr>
          <w:rFonts w:ascii="Times New Roman;sans-serif" w:hAnsi="Times New Roman;sans-serif"/>
          <w:b w:val="false"/>
          <w:color w:val="000000"/>
          <w:sz w:val="22"/>
          <w:u w:val="single"/>
        </w:rPr>
        <w:t>Intercreditor Agreement Governs</w:t>
      </w:r>
      <w:r>
        <w:rPr>
          <w:rFonts w:ascii="Times New Roman;sans-serif" w:hAnsi="Times New Roman;sans-serif"/>
          <w:b w:val="false"/>
          <w:color w:val="000000"/>
          <w:sz w:val="22"/>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12.14    </w:t>
      </w:r>
      <w:r>
        <w:rPr>
          <w:rFonts w:ascii="Times New Roman;sans-serif" w:hAnsi="Times New Roman;sans-serif"/>
          <w:b w:val="false"/>
          <w:color w:val="000000"/>
          <w:sz w:val="22"/>
          <w:u w:val="single"/>
        </w:rPr>
        <w:t>Erroneous Payments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If the Administrative Agent notifies a Lender or Secured Party, or any Person who has received funds on behalf of a Lender or Secured Party (any such Lender, Secured Party or other recipient, a “</w:t>
      </w:r>
      <w:r>
        <w:rPr>
          <w:rFonts w:ascii="Times New Roman;sans-serif" w:hAnsi="Times New Roman;sans-serif"/>
          <w:b/>
          <w:color w:val="000000"/>
          <w:sz w:val="22"/>
        </w:rPr>
        <w:t>Payment Recipient</w:t>
      </w:r>
      <w:r>
        <w:rPr>
          <w:color w:val="000000"/>
        </w:rPr>
        <w:t>”</w:t>
      </w:r>
      <w:r>
        <w:rPr>
          <w:rFonts w:ascii="Times New Roman;sans-serif" w:hAnsi="Times New Roman;sans-serif"/>
          <w:b w:val="false"/>
          <w:color w:val="000000"/>
          <w:sz w:val="22"/>
        </w:rPr>
        <w: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sans-serif" w:hAnsi="Times New Roman;sans-serif"/>
          <w:b/>
          <w:color w:val="000000"/>
          <w:sz w:val="22"/>
        </w:rPr>
        <w:t>Erroneous</w:t>
      </w:r>
      <w:r>
        <w:rPr>
          <w:color w:val="000000"/>
        </w:rPr>
        <w:t xml:space="preserve"> </w:t>
      </w:r>
      <w:r>
        <w:rPr>
          <w:rFonts w:ascii="Times New Roman;sans-serif" w:hAnsi="Times New Roman;sans-serif"/>
          <w:b/>
          <w:color w:val="000000"/>
          <w:sz w:val="22"/>
        </w:rPr>
        <w:t>Payment</w:t>
      </w:r>
      <w:r>
        <w:rPr>
          <w:color w:val="000000"/>
        </w:rPr>
        <w:t>”</w:t>
      </w:r>
      <w:r>
        <w:rPr>
          <w:rFonts w:ascii="Times New Roman;sans-serif" w:hAnsi="Times New Roman;sans-serif"/>
          <w:b w:val="false"/>
          <w:color w:val="000000"/>
          <w:sz w:val="22"/>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Rate and a rate determined by the Administrative Agent in accordance with banking industry rules on interbank compensation from time to time in effect. A notice of the Administrative Agent to any Payment Recipient under this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shall be conclusive, absent manifest error. If a Payment Recipient receives any payment, prepayment or repayment of principal, interest, fees, distribution or otherwise and does not receive a corresponding payment notice or payment advice, such payment, prepayment or repayment shall be presumed to be in error absent written confirmation from the Administrative Agent to the contrary.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Each Lender or Secured Party hereby authorizes the Administrative Agent to set off, net and apply any and all amounts at any time owing to such Lender or Secured Party under any Credit Document, or otherwise payable or distributable by the Administrative Agent to such Lender or Secured Party from any source, against any amount due to the Administrative Agent under immediately preceding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or under the indemnification provisions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For so long as an Erroneous Payment (or portion thereof) has not been returned by any Payment Recipient who received such Erroneous Payment (or portion thereof) (such unrecovered amount, an “</w:t>
      </w:r>
      <w:r>
        <w:rPr>
          <w:rFonts w:ascii="Times New Roman;sans-serif" w:hAnsi="Times New Roman;sans-serif"/>
          <w:b/>
          <w:i/>
          <w:color w:val="000000"/>
          <w:sz w:val="22"/>
        </w:rPr>
        <w:t>Erroneous Payment Return Deficiency</w:t>
      </w:r>
      <w:r>
        <w:rPr>
          <w:color w:val="000000"/>
        </w:rPr>
        <w:t>”</w:t>
      </w:r>
      <w:r>
        <w:rPr>
          <w:rFonts w:ascii="Times New Roman;sans-serif" w:hAnsi="Times New Roman;sans-serif"/>
          <w:b w:val="false"/>
          <w:color w:val="000000"/>
          <w:sz w:val="22"/>
        </w:rPr>
        <w:t xml:space="preserve">) to the Administrative Agent after demand therefor in accordance with immediately preceding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(i) the Administrative Agent may elect, in its sole discretion on written notice to such Lender or Secured Party, that all rights and claims of such Lender, Issuing Bank or Secured Party with respect to the Loans or other Obligations owed to such Person up to the amount of the corresponding Erroneous Payment Return Deficiency in respect of such Erroneous Payment (the “</w:t>
      </w:r>
      <w:r>
        <w:rPr>
          <w:rFonts w:ascii="Times New Roman;sans-serif" w:hAnsi="Times New Roman;sans-serif"/>
          <w:b/>
          <w:i/>
          <w:color w:val="000000"/>
          <w:sz w:val="22"/>
        </w:rPr>
        <w:t>Corresponding Loan Amount</w:t>
      </w:r>
      <w:r>
        <w:rPr>
          <w:color w:val="000000"/>
        </w:rPr>
        <w:t>”</w:t>
      </w:r>
      <w:r>
        <w:rPr>
          <w:rFonts w:ascii="Times New Roman;sans-serif" w:hAnsi="Times New Roman;sans-serif"/>
          <w:b w:val="false"/>
          <w:color w:val="000000"/>
          <w:sz w:val="22"/>
        </w:rPr>
        <w:t>) shall immediately vest in the Administrative Agent upon such election; after such election, the Administrative Agent (x) may reflect its ownership interest in Loans in a principal amount equal to the Corresponding Loan Amount in the Register, and (y) upon five business days’ written notice to such Lender or Secured Party, may sell such Loan (or portion thereof) in respect of the Corresponding Loan Amount, and upon receipt of the proceeds of such sale, the Erroneous Payment Return Deficiency owing by such Lender or Secured Party shall be reduced by the net proceeds of the sale of such Loan (or portion thereof), and the Administrative Agent shall retain all other rights, remedies and claims against such Lender or Secured Party (and/or against any Payment Recipient that receives funds on its behalf), and (ii) each party hereto agrees that, except to the extent that the Administrative Agent has sold such Loan, and irrespective of whether the Administrative Agent may be equitably subrogated, the Administrative Agent shall be contractually subrogated to all the rights and interests of such Lender or Secured Party with respect to the Erroneous Payment Return Deficiency. For the avoidance of doubt, no vesting or sale pursuant to the foregoing clause (i) will reduce the Commitments of any Lender or Issuing Bank and such Commitments shall remain available in accordance with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The parties hereto agree that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such Erroneous Payment.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Each party’s obligations, agreements and waivers under this Section 12.14 shall survive the resignation or replacement of the Administrative Agent, any transfer of rights or obligations by, or the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replacement of, a Lender,</w:t>
      </w:r>
      <w:r>
        <w:rPr>
          <w:color w:val="000000"/>
        </w:rPr>
        <w:t xml:space="preserve"> </w:t>
      </w:r>
      <w:r>
        <w:rPr>
          <w:rFonts w:ascii="Times New Roman;sans-serif" w:hAnsi="Times New Roman;sans-serif"/>
          <w:b w:val="false"/>
          <w:color w:val="000000"/>
          <w:sz w:val="22"/>
        </w:rPr>
        <w:t>the termination of the Commitments and/or the repayment, satisfaction or discharge of all Obligations (or any portion thereof) under any Credit Document.</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Section 13.    </w:t>
      </w:r>
      <w:r>
        <w:rPr>
          <w:rFonts w:ascii="Times New Roman;sans-serif" w:hAnsi="Times New Roman;sans-serif"/>
          <w:b w:val="false"/>
          <w:color w:val="000000"/>
          <w:sz w:val="22"/>
        </w:rPr>
        <w:t>Miscellaneous.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13.1    </w:t>
      </w:r>
      <w:r>
        <w:rPr>
          <w:rFonts w:ascii="Times New Roman;sans-serif" w:hAnsi="Times New Roman;sans-serif"/>
          <w:b w:val="false"/>
          <w:color w:val="000000"/>
          <w:sz w:val="22"/>
          <w:u w:val="single"/>
        </w:rPr>
        <w:t>Amendments, Waivers, and Releases</w:t>
      </w:r>
      <w:r>
        <w:rPr>
          <w:rFonts w:ascii="Times New Roman;sans-serif" w:hAnsi="Times New Roman;sans-serif"/>
          <w:b w:val="false"/>
          <w:color w:val="000000"/>
          <w:sz w:val="22"/>
        </w:rPr>
        <w:t xml:space="preserve">. Except as otherwise expressly set forth in the Credit Documents, neither this Agreement nor any other Credit Document, nor any terms hereof or thereof, may be amended, supplemented or modified except in accordance with the provisions of this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 xml:space="preserve">. Except as provided to the contrary in the Credit Documents (including under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2.15</w:t>
      </w:r>
      <w:r>
        <w:rPr>
          <w:color w:val="000000"/>
        </w:rPr>
        <w:t xml:space="preserve"> </w:t>
      </w:r>
      <w:r>
        <w:rPr>
          <w:rFonts w:ascii="Times New Roman;sans-serif" w:hAnsi="Times New Roman;sans-serif"/>
          <w:b w:val="false"/>
          <w:color w:val="000000"/>
          <w:sz w:val="22"/>
        </w:rPr>
        <w:t>or the fifth and sixth paragraphs hereof in respect of Replacement Term Loans</w:t>
      </w:r>
      <w:r>
        <w:rPr>
          <w:rFonts w:ascii="Times New Roman;sans-serif" w:hAnsi="Times New Roman;sans-serif"/>
          <w:b/>
          <w:color w:val="0000FF"/>
          <w:sz w:val="22"/>
          <w:u w:val="single"/>
        </w:rPr>
        <w:t>)</w:t>
      </w:r>
      <w:r>
        <w:rPr>
          <w:rFonts w:ascii="Times New Roman;sans-serif" w:hAnsi="Times New Roman;sans-serif"/>
          <w:b w:val="false"/>
          <w:color w:val="000000"/>
          <w:sz w:val="22"/>
        </w:rPr>
        <w:t xml:space="preserve">, and other than with respect to any amendment, modification or waiver contemplated in the proviso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below, which shall only require the consent of the Lenders expressly set forth therein and not the Required Lenders, the Required Lenders may,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such waiver and each such amendment, supplement or modification shall be effective only in the specific instance and for the specific purpose for which given;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Times New Roman;sans-serif" w:hAnsi="Times New Roman;sans-serif"/>
          <w:b w:val="false"/>
          <w:color w:val="000000"/>
          <w:sz w:val="22"/>
          <w:u w:val="single"/>
        </w:rPr>
        <w:t>Section 2.8(c)</w:t>
      </w:r>
      <w:r>
        <w:rPr>
          <w:rFonts w:ascii="Times New Roman;sans-serif" w:hAnsi="Times New Roman;sans-serif"/>
          <w:b w:val="false"/>
          <w:color w:val="000000"/>
          <w:sz w:val="22"/>
        </w:rPr>
        <w:t xml:space="preserve">), or forgive any portion thereof, or extend the date for the payment, of interest or fees payable hereunder or any principal hereunder (other than as a result of waiving the applicability of any post-default increase in interest rates), or make any Loan, interest, Fee or other amount payable in any currency other than expressly provided herein, in each case without the written consent of each Lender directly and adversely affected thereby;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 waiver of any condition precedent in </w:t>
      </w:r>
      <w:r>
        <w:rPr>
          <w:rFonts w:ascii="Times New Roman;sans-serif" w:hAnsi="Times New Roman;sans-serif"/>
          <w:b w:val="false"/>
          <w:color w:val="000000"/>
          <w:sz w:val="22"/>
          <w:u w:val="single"/>
        </w:rPr>
        <w:t>Section 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w:t>
      </w:r>
      <w:r>
        <w:rPr>
          <w:color w:val="000000"/>
        </w:rPr>
        <w:t xml:space="preserve"> </w:t>
      </w:r>
      <w:r>
        <w:rPr>
          <w:rFonts w:ascii="Times New Roman;sans-serif" w:hAnsi="Times New Roman;sans-serif"/>
          <w:b w:val="false"/>
          <w:color w:val="000000"/>
          <w:sz w:val="22"/>
        </w:rPr>
        <w:t xml:space="preserve">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consent to the assignment or transfer by the Borrower of its rights and obligations under any Credit Document to which it is a party (except as permitted pursuant to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xml:space="preserve">), in each case without the written consent of each Lender directly and adversely affected thereby, or (iii) amend, modify or waive any provision of </w:t>
      </w:r>
      <w:r>
        <w:rPr>
          <w:rFonts w:ascii="Times New Roman;sans-serif" w:hAnsi="Times New Roman;sans-serif"/>
          <w:b w:val="false"/>
          <w:color w:val="000000"/>
          <w:sz w:val="22"/>
          <w:u w:val="single"/>
        </w:rPr>
        <w:t>Section 12</w:t>
      </w:r>
      <w:r>
        <w:rPr>
          <w:color w:val="000000"/>
        </w:rPr>
        <w:t xml:space="preserve"> </w:t>
      </w:r>
      <w:r>
        <w:rPr>
          <w:rFonts w:ascii="Times New Roman;sans-serif" w:hAnsi="Times New Roman;sans-serif"/>
          <w:b w:val="false"/>
          <w:color w:val="000000"/>
          <w:sz w:val="22"/>
        </w:rPr>
        <w:t xml:space="preserve">without the written consent of the then-current Administrative Agent and Collateral Agent in a manner that directly and adversely affects such Person, or (iv) release all or substantially all of the Guarantors under the Guarantees (except as expressly permitted by the Guarantees, the Intercreditor Agreement or this Agreement) or release all or substantially all of the Collateral under the Security Documents (except as expressly permitted by the Security Documents, the Intercreditor Agreement or this Agreement) without the prior written consent of each Lender, or (v) decrease the Initial Term Loan Repayment Amount applicable to Initial Term Loans or extend any scheduled Initial Term Loan Repayment Date applicable to Initial Term Loans, in each case without the written consent of each Lender directly and adversely affected thereby, or (vi) reduce the percentage specified in the definitions of the term Required Lenders or amend, modify or waive any provision of this </w:t>
      </w:r>
      <w:r>
        <w:rPr>
          <w:rFonts w:ascii="Times New Roman;sans-serif" w:hAnsi="Times New Roman;sans-serif"/>
          <w:b w:val="false"/>
          <w:color w:val="000000"/>
          <w:sz w:val="22"/>
          <w:u w:val="single"/>
        </w:rPr>
        <w:t>Section 13.1</w:t>
      </w:r>
      <w:r>
        <w:rPr>
          <w:color w:val="000000"/>
        </w:rPr>
        <w:t xml:space="preserve"> </w:t>
      </w:r>
      <w:r>
        <w:rPr>
          <w:rFonts w:ascii="Times New Roman;sans-serif" w:hAnsi="Times New Roman;sans-serif"/>
          <w:b w:val="false"/>
          <w:color w:val="000000"/>
          <w:sz w:val="22"/>
        </w:rPr>
        <w:t xml:space="preserve">that has the effect of decreasing the number of Lenders that must approve any amendment, restatement, supplement, modification or waiver, without the written consent of each Lender, directly and adversely affected thereby, or (ix) alter the ratable payments required by Section 5.3(a), Section 11.13(ii), Section 13.8(a) or Section 13.20 without the written consent of each Lender, (y) notwithstanding anything to the contrary in </w:t>
      </w:r>
      <w:r>
        <w:rPr>
          <w:rFonts w:ascii="Times New Roman;sans-serif" w:hAnsi="Times New Roman;sans-serif"/>
          <w:b w:val="false"/>
          <w:color w:val="000000"/>
          <w:sz w:val="22"/>
          <w:u w:val="single"/>
        </w:rPr>
        <w:t>clause (x)</w:t>
      </w:r>
      <w:r>
        <w:rPr>
          <w:rFonts w:ascii="Times New Roman;sans-serif" w:hAnsi="Times New Roman;sans-serif"/>
          <w:b w:val="false"/>
          <w:color w:val="000000"/>
          <w:sz w:val="22"/>
        </w:rPr>
        <w:t xml:space="preserve">,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Term Loans bearing (or is modified in such a manner such that the resulting Term Loans bear) a lower Effective Yield (a “</w:t>
      </w:r>
      <w:r>
        <w:rPr>
          <w:rFonts w:ascii="Times New Roman;sans-serif" w:hAnsi="Times New Roman;sans-serif"/>
          <w:b/>
          <w:color w:val="000000"/>
          <w:sz w:val="22"/>
        </w:rPr>
        <w:t>Permitted Repricing Amendment</w:t>
      </w:r>
      <w:r>
        <w:rPr>
          <w:color w:val="000000"/>
        </w:rPr>
        <w:t>”</w:t>
      </w:r>
      <w:r>
        <w:rPr>
          <w:rFonts w:ascii="Times New Roman;sans-serif" w:hAnsi="Times New Roman;sans-serif"/>
          <w:b w:val="false"/>
          <w:color w:val="000000"/>
          <w:sz w:val="22"/>
        </w:rPr>
        <w:t>), only the consent of the Lenders holding Term Loans subject to such permitted repricing transaction that will continue as a Lender in respect of the repriced tranche of Term Loans or modified Term Loans.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herein, no Defaulting Lender shall have any right to approve or disapprove any amendment, restatement, supplement, waiver or consent hereunder, except (x) that the Commitment of such Lender may not be increased or extended without the consent of such Lender and (y) for any such amendment, restatement, supplement, waiver or consent that treats such Defaulting Lender disproportionately and adversely from the other Lender of the same Class (other than because of its status as a Defaulting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Notwithstanding anything to the contrary herein, in connection with any determination as to whether the requisite Lenders have (A) consented (or not consented) to any amendment or waiver of any provision of this Agreement or any other Credit Document or any departure by any Credit Party therefrom, (B) otherwise acted on any matter related to any Credit Document, or (C) directed or required the Administrative Agent or any Lender to undertake any action (or refrain from taking any action) with respect to or under any Credit Document, any Lender (other than a regulated commercial bank or a revolving lender (if any))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sans-serif" w:hAnsi="Times New Roman;sans-serif"/>
          <w:b/>
          <w:color w:val="000000"/>
          <w:sz w:val="22"/>
        </w:rPr>
        <w:t>Net Short Lender</w:t>
      </w:r>
      <w:r>
        <w:rPr>
          <w:color w:val="000000"/>
        </w:rPr>
        <w:t>”</w:t>
      </w:r>
      <w:r>
        <w:rPr>
          <w:rFonts w:ascii="Times New Roman;sans-serif" w:hAnsi="Times New Roman;sans-serif"/>
          <w:b w:val="false"/>
          <w:color w:val="000000"/>
          <w:sz w:val="22"/>
        </w:rPr>
        <w:t>) shall have no right to vote any of its Loans and Commitments and shall be deemed to have voted its interest as a Lender without discretion in the same proportion as the allocation of voting with respect to such matter by Lenders who are not Net Short Lenders (in each case unless otherwise agreed to by the Borrower).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Credit Parties or any instrument issued or guaranteed by any of the Borrower or other Credit Parties shall not be deemed to create a short position with respect to the Loans and/or Commitments, so long as (x) such index is not created, designed, administered or requested by such Lender and (y) the Borrower and other Credit Parties and any instrument issued or guaranteed by any of the Borrower or other Credit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sans-serif" w:hAnsi="Times New Roman;sans-serif"/>
          <w:b/>
          <w:color w:val="000000"/>
          <w:sz w:val="22"/>
        </w:rPr>
        <w:t>ISDA CDS Definitions</w:t>
      </w:r>
      <w:r>
        <w:rPr>
          <w:color w:val="000000"/>
        </w:rPr>
        <w:t>”</w:t>
      </w:r>
      <w:r>
        <w:rPr>
          <w:rFonts w:ascii="Times New Roman;sans-serif" w:hAnsi="Times New Roman;sans-serif"/>
          <w:b w:val="false"/>
          <w:color w:val="000000"/>
          <w:sz w:val="22"/>
        </w:rPr>
        <w:t xml:space="preserve">)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Credit Parties (or its successor) is designated as a “Reference Entity” under the terms of such derivative transactions and (v) credit derivative transactions or other derivatives transactions not documented using the ISDA CDS Definitions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Credit Parties other than, in each case, as part of an index so long as (x) such index is not created, designed, administered or requested by such Lender and (y) the Borrower and other Credit Parties and any instrument issued or guaranteed by any of the Borrower or other Credit Parties, collectively, shall represent less than 5% of the components of such index.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any such determination, each Lender (other than a regulated commercial bank or a revolving lender (if any)) shall promptly notify the Administrative Agent in writing that it is a Net Short Lender, or shall otherwise be deemed to have represented and warranted to the Borrower and the Administrative Agent that it is not a Net Short Lender (it being understood and agreed that the Administrative Agent shall be entitled to conclusively rely on each such representation and deemed representation and shall have no duty to (x) inquire as to or investigate the accuracy of any such representation or deemed representation, (y) verify any statements in any officer’s certificates delivered to it or (z) otherwise ascertain or monitor whether any Lender, Eligible Assignee or Participant or prospective Lender, Eligible Assignee or Participant is a Net Short Lender or make any calculations, investigations or determinations with respect to any derivative contracts and/or net short positions). Without limiting the foregoing, the Administrative Agent shall not (A) be responsible or have any liability for, or have any duty to ascertain, inquire into, monitor or enforce, compliance with the provisions hereof relating to the Net Short Lenders or (B) have any liability with respect to or arising out of any assignment or participation of Loans to any Net Short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the foregoing, in addition to any credit extensions and related Joinder Agreement(s) effectuated without the consent of Lenders in accordance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this Agreement may be amended (or amended and restated) with the written consent of the Required Lenders, the Administrative Agent,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accrued interest and fees in respect thereof and (b) to include appropriately the Lenders holding such credit facilities in any determination of the Required Lenders and other definitions related to such new Term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In addition, notwithstanding the foregoing, this Agreement may be amended with the written consent of the Administrative Agent, the Borrower and the Lenders providing the relevant Replacement Term Loans to permit the refinancing of all outstanding Term Loans of any Class (“</w:t>
      </w:r>
      <w:r>
        <w:rPr>
          <w:rFonts w:ascii="Times New Roman;sans-serif" w:hAnsi="Times New Roman;sans-serif"/>
          <w:b/>
          <w:color w:val="000000"/>
          <w:sz w:val="22"/>
        </w:rPr>
        <w:t>Refinanced Term Loans</w:t>
      </w:r>
      <w:r>
        <w:rPr>
          <w:color w:val="000000"/>
        </w:rPr>
        <w:t>”</w:t>
      </w:r>
      <w:r>
        <w:rPr>
          <w:rFonts w:ascii="Times New Roman;sans-serif" w:hAnsi="Times New Roman;sans-serif"/>
          <w:b w:val="false"/>
          <w:color w:val="000000"/>
          <w:sz w:val="22"/>
        </w:rPr>
        <w:t>) with a replacement term loan tranche (“</w:t>
      </w:r>
      <w:r>
        <w:rPr>
          <w:rFonts w:ascii="Times New Roman;sans-serif" w:hAnsi="Times New Roman;sans-serif"/>
          <w:b/>
          <w:color w:val="000000"/>
          <w:sz w:val="22"/>
        </w:rPr>
        <w:t>Replacement Term Loans</w:t>
      </w:r>
      <w:r>
        <w:rPr>
          <w:color w:val="000000"/>
        </w:rPr>
        <w:t>”</w:t>
      </w:r>
      <w:r>
        <w:rPr>
          <w:rFonts w:ascii="Times New Roman;sans-serif" w:hAnsi="Times New Roman;sans-serif"/>
          <w:b w:val="false"/>
          <w:color w:val="000000"/>
          <w:sz w:val="22"/>
        </w:rPr>
        <w:t xml:space="preserve">)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(a) the aggregate principal amount of such Replacement Term Loans shall not exceed the aggregate principal amount of such Refinanced Term Loans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an amount equal to all accrued but unpaid interest, fees, premiums, and expenses incurred in connection therewith), (b)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(c) the covenants, events of default and guarantees shall be not materially more restrictive to the Credit Parties (taken as a whole) (as determined in good faith by the Borrower) to the Lenders providing such Replacement Term Loans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Lenders hereby irrevocably agree that the Liens granted to the Collateral Agent by the Credit Parties on any Collateral shall be automatically released (i) in full, upon the Termination Date,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approved, authorized or ratified in writing by the Required Lenders (or such other percentage of the Lenders whose consent may be required in accordance with this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or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herein to the contrary, the Credit Documents may be amended to add syndication or documentation agents and make customary changes and references related thereto with the consent of only the Borrower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anything in this Agreement (including, without limitation, this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 xml:space="preserve">) or any other Credit Document to the contrary, (i) this Agreement and the other Credit Documents may be amended to effect an incremental facility or extension facility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Intercreditor Agreement or other intercreditor agreement or arrangement permitted under this Agreement that is for the purpose of adding the holders of any Indebtedness as expressly contemplated by the terms of the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other changes are not adverse, in any material respect, to the interests of the Lenders taken as a whole);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determined by the Administrative Agent and the Borrower) or to cause such guarantee, collateral security document or other document to be consistent with this Agreement and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anything in this Agreement or any Security Document to the contrary, the Administrative Agent may, in its sole discretion, grant extensions of time for the satisfaction of any of the requirements under </w:t>
      </w:r>
      <w:r>
        <w:rPr>
          <w:rFonts w:ascii="Times New Roman;sans-serif" w:hAnsi="Times New Roman;sans-serif"/>
          <w:b w:val="false"/>
          <w:color w:val="000000"/>
          <w:sz w:val="22"/>
          <w:u w:val="single"/>
        </w:rPr>
        <w:t>Sections 9.12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9.13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9.14</w:t>
      </w:r>
      <w:r>
        <w:rPr>
          <w:color w:val="000000"/>
        </w:rPr>
        <w:t xml:space="preserve"> </w:t>
      </w:r>
      <w:r>
        <w:rPr>
          <w:rFonts w:ascii="Times New Roman;sans-serif" w:hAnsi="Times New Roman;sans-serif"/>
          <w:b w:val="false"/>
          <w:color w:val="000000"/>
          <w:sz w:val="22"/>
        </w:rPr>
        <w:t xml:space="preserve">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13.2    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if to Holdings, the Borrower, the Administrative Agent or the Collateral Agent, to the address, facsimile number, electronic mail address or telephone number specified for such Person on </w:t>
      </w:r>
      <w:r>
        <w:rPr>
          <w:rFonts w:ascii="Times New Roman;sans-serif" w:hAnsi="Times New Roman;sans-serif"/>
          <w:b w:val="false"/>
          <w:color w:val="000000"/>
          <w:sz w:val="22"/>
          <w:u w:val="single"/>
        </w:rPr>
        <w:t>Schedule 13.2</w:t>
      </w:r>
      <w:r>
        <w:rPr>
          <w:color w:val="000000"/>
        </w:rPr>
        <w:t xml:space="preserve"> </w:t>
      </w:r>
      <w:r>
        <w:rPr>
          <w:rFonts w:ascii="Times New Roman;sans-serif" w:hAnsi="Times New Roman;sans-serif"/>
          <w:b w:val="false"/>
          <w:color w:val="000000"/>
          <w:sz w:val="22"/>
        </w:rPr>
        <w:t>or to such other address, facsimile number, electronic mail address or telephone number as shall be designated by such party in a notice to the other parties;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the Borrower, the Administrative Agent and the Collateral Agent.</w:t>
      </w:r>
    </w:p>
    <w:p>
      <w:pPr>
        <w:pStyle w:val="TextBody"/>
        <w:bidi w:val="0"/>
        <w:spacing w:lineRule="auto" w:line="240" w:before="0" w:after="240"/>
        <w:jc w:val="both"/>
        <w:rPr/>
      </w:pPr>
      <w:r>
        <w:rPr>
          <w:rFonts w:ascii="Times New Roman;sans-serif" w:hAnsi="Times New Roman;sans-serif"/>
          <w:b w:val="false"/>
          <w:color w:val="000000"/>
          <w:sz w:val="22"/>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notices and other communications to the Administrative Agent or the Lenders pursuant to </w:t>
      </w:r>
      <w:r>
        <w:rPr>
          <w:rFonts w:ascii="Times New Roman;sans-serif" w:hAnsi="Times New Roman;sans-serif"/>
          <w:b w:val="false"/>
          <w:color w:val="000000"/>
          <w:sz w:val="22"/>
          <w:u w:val="single"/>
        </w:rPr>
        <w:t>Sections 2.3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5.1</w:t>
      </w:r>
      <w:r>
        <w:rPr>
          <w:color w:val="000000"/>
        </w:rPr>
        <w:t xml:space="preserve"> </w:t>
      </w:r>
      <w:r>
        <w:rPr>
          <w:rFonts w:ascii="Times New Roman;sans-serif" w:hAnsi="Times New Roman;sans-serif"/>
          <w:b w:val="false"/>
          <w:color w:val="000000"/>
          <w:sz w:val="22"/>
        </w:rPr>
        <w:t>shall not be effective until received.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13.3    </w:t>
      </w:r>
      <w:r>
        <w:rPr>
          <w:rFonts w:ascii="Times New Roman;sans-serif" w:hAnsi="Times New Roman;sans-serif"/>
          <w:b w:val="false"/>
          <w:color w:val="000000"/>
          <w:sz w:val="22"/>
          <w:u w:val="single"/>
        </w:rPr>
        <w:t>No Waiver; Cumulative Remedies</w:t>
      </w:r>
      <w:r>
        <w:rPr>
          <w:rFonts w:ascii="Times New Roman;sans-serif" w:hAnsi="Times New Roman;sans-serif"/>
          <w:b w:val="false"/>
          <w:color w:val="000000"/>
          <w:sz w:val="22"/>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13.4    </w:t>
      </w:r>
      <w:r>
        <w:rPr>
          <w:rFonts w:ascii="Times New Roman;sans-serif" w:hAnsi="Times New Roman;sans-serif"/>
          <w:b w:val="false"/>
          <w:color w:val="000000"/>
          <w:sz w:val="22"/>
          <w:u w:val="single"/>
        </w:rPr>
        <w:t>Survival of Representations and Warranties</w:t>
      </w:r>
      <w:r>
        <w:rPr>
          <w:rFonts w:ascii="Times New Roman;sans-serif" w:hAnsi="Times New Roman;sans-serif"/>
          <w:b w:val="false"/>
          <w:color w:val="000000"/>
          <w:sz w:val="22"/>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13.5    </w:t>
      </w:r>
      <w:r>
        <w:rPr>
          <w:rFonts w:ascii="Times New Roman;sans-serif" w:hAnsi="Times New Roman;sans-serif"/>
          <w:b w:val="false"/>
          <w:color w:val="000000"/>
          <w:sz w:val="22"/>
          <w:u w:val="single"/>
        </w:rPr>
        <w:t>Payment of Expenses; Indemnification</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Each of Holdings and the Borrower, jointly and severally, agrees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Latham &amp; Watkins </w:t>
      </w:r>
      <w:r>
        <w:rPr>
          <w:rFonts w:ascii="Times New Roman;sans-serif" w:hAnsi="Times New Roman;sans-serif"/>
          <w:b w:val="false"/>
          <w:color w:val="000000"/>
          <w:sz w:val="18"/>
        </w:rPr>
        <w:t>LLP</w:t>
      </w:r>
      <w:r>
        <w:rPr>
          <w:color w:val="000000"/>
        </w:rPr>
        <w:t xml:space="preserve"> </w:t>
      </w:r>
      <w:r>
        <w:rPr>
          <w:rFonts w:ascii="Times New Roman;sans-serif" w:hAnsi="Times New Roman;sans-serif"/>
          <w:b w:val="false"/>
          <w:color w:val="000000"/>
          <w:sz w:val="22"/>
        </w:rPr>
        <w:t xml:space="preserve">(or such other counsel as may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w:t>
      </w:r>
      <w:r>
        <w:rPr>
          <w:rFonts w:ascii="Times New Roman;sans-serif" w:hAnsi="Times New Roman;sans-serif"/>
          <w:b/>
          <w:color w:val="0000FF"/>
          <w:sz w:val="22"/>
          <w:u w:val="single"/>
        </w:rPr>
        <w:t>)</w:t>
      </w:r>
      <w:r>
        <w:rPr>
          <w:color w:val="000000"/>
        </w:rPr>
        <w:t xml:space="preserve"> </w:t>
      </w:r>
      <w:r>
        <w:rPr>
          <w:rFonts w:ascii="Times New Roman;sans-serif" w:hAnsi="Times New Roman;sans-serif"/>
          <w:b w:val="false"/>
          <w:color w:val="000000"/>
          <w:sz w:val="22"/>
        </w:rPr>
        <w:t>(which may include a single special counsel acting in multiple jurisdictions), and (iii) to pay, indemnify and hold harmless each Lender, each Agent and their respective Related Parties (without duplication) (the “</w:t>
      </w:r>
      <w:r>
        <w:rPr>
          <w:rFonts w:ascii="Times New Roman;sans-serif" w:hAnsi="Times New Roman;sans-serif"/>
          <w:b/>
          <w:color w:val="000000"/>
          <w:sz w:val="22"/>
        </w:rPr>
        <w:t>Indemnified Persons</w:t>
      </w:r>
      <w:r>
        <w:rPr>
          <w:color w:val="000000"/>
        </w:rPr>
        <w:t>”</w:t>
      </w:r>
      <w:r>
        <w:rPr>
          <w:rFonts w:ascii="Times New Roman;sans-serif" w:hAnsi="Times New Roman;sans-serif"/>
          <w:b w:val="false"/>
          <w:color w:val="000000"/>
          <w:sz w:val="22"/>
        </w:rPr>
        <w:t xml:space="preserve">) from and against any and all losses, claims, damages, liabilities, obligations, demands, actions, judgments,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relating in any way to Holdings or any of its Subsidiaries (all the foregoing in this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collectively, the “</w:t>
      </w:r>
      <w:r>
        <w:rPr>
          <w:rFonts w:ascii="Times New Roman;sans-serif" w:hAnsi="Times New Roman;sans-serif"/>
          <w:b/>
          <w:color w:val="000000"/>
          <w:sz w:val="22"/>
        </w:rPr>
        <w:t>Indemnified Liabilities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 not involve an act or omission by Holdings, the Borrower or their respective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the Agents, to the extent acting in their capacity as such, shall remain indemnified in respect of such proceeding, to the extent that neither of the exceptions set forth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of the immediately preceding proviso applies to such person at such time. The agreements in this </w:t>
      </w:r>
      <w:r>
        <w:rPr>
          <w:rFonts w:ascii="Times New Roman;sans-serif" w:hAnsi="Times New Roman;sans-serif"/>
          <w:b w:val="false"/>
          <w:color w:val="000000"/>
          <w:sz w:val="22"/>
          <w:u w:val="single"/>
        </w:rPr>
        <w:t>Section 13.5</w:t>
      </w:r>
      <w:r>
        <w:rPr>
          <w:color w:val="000000"/>
        </w:rPr>
        <w:t xml:space="preserve"> </w:t>
      </w:r>
      <w:r>
        <w:rPr>
          <w:rFonts w:ascii="Times New Roman;sans-serif" w:hAnsi="Times New Roman;sans-serif"/>
          <w:b w:val="false"/>
          <w:color w:val="000000"/>
          <w:sz w:val="22"/>
        </w:rPr>
        <w:t xml:space="preserve">shall survive repayment of the Loans and all other amounts payable hereunder. This </w:t>
      </w:r>
      <w:r>
        <w:rPr>
          <w:rFonts w:ascii="Times New Roman;sans-serif" w:hAnsi="Times New Roman;sans-serif"/>
          <w:b w:val="false"/>
          <w:color w:val="000000"/>
          <w:sz w:val="22"/>
          <w:u w:val="single"/>
        </w:rPr>
        <w:t>Section 13.5</w:t>
      </w:r>
      <w:r>
        <w:rPr>
          <w:color w:val="000000"/>
        </w:rPr>
        <w:t xml:space="preserve"> </w:t>
      </w:r>
      <w:r>
        <w:rPr>
          <w:rFonts w:ascii="Times New Roman;sans-serif" w:hAnsi="Times New Roman;sans-serif"/>
          <w:b w:val="false"/>
          <w:color w:val="000000"/>
          <w:sz w:val="22"/>
        </w:rPr>
        <w:t>shall not apply with respect to Taxes, other than any Taxes that represent losses, claims, damages, liabilities, obligations, penalties, actions, judgments, suits, costs, expenses or disbursements arising from any non-Tax claim.</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the foregoing shall not limit Holdings and the Borrower’s indemnification obligations to the Indemnified Persons pursuant to </w:t>
      </w:r>
      <w:r>
        <w:rPr>
          <w:rFonts w:ascii="Times New Roman;sans-serif" w:hAnsi="Times New Roman;sans-serif"/>
          <w:b w:val="false"/>
          <w:color w:val="000000"/>
          <w:sz w:val="22"/>
          <w:u w:val="single"/>
        </w:rPr>
        <w:t>Section 13.5(a)</w:t>
      </w:r>
      <w:r>
        <w:rPr>
          <w:color w:val="000000"/>
        </w:rPr>
        <w:t xml:space="preserve"> </w:t>
      </w:r>
      <w:r>
        <w:rPr>
          <w:rFonts w:ascii="Times New Roman;sans-serif" w:hAnsi="Times New Roman;sans-serif"/>
          <w:b w:val="false"/>
          <w:color w:val="000000"/>
          <w:sz w:val="22"/>
        </w:rPr>
        <w:t xml:space="preserve">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non-appealable judgment of a court of competent jurisdiction.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13.6    </w:t>
      </w:r>
      <w:r>
        <w:rPr>
          <w:rFonts w:ascii="Times New Roman;sans-serif" w:hAnsi="Times New Roman;sans-serif"/>
          <w:b w:val="false"/>
          <w:color w:val="000000"/>
          <w:sz w:val="22"/>
          <w:u w:val="single"/>
        </w:rPr>
        <w:t>Successors and Assigns; Participations and Assignments</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provisions of this Agreement shall be binding upon and inure to the benefit of the parties hereto and their respective successors and assigns permitted hereby, except that (i) except as expressly permitted by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and, to the extent expressly contemplated hereby, the Related Parties of each of the Administrative Agent, the Collateral Agent and the Lenders and each other Person entitled to indemnification under </w:t>
      </w:r>
      <w:r>
        <w:rPr>
          <w:rFonts w:ascii="Times New Roman;sans-serif" w:hAnsi="Times New Roman;sans-serif"/>
          <w:b w:val="false"/>
          <w:color w:val="000000"/>
          <w:sz w:val="22"/>
          <w:u w:val="single"/>
        </w:rPr>
        <w:t>Section 13.5</w:t>
      </w:r>
      <w:r>
        <w:rPr>
          <w:rFonts w:ascii="Times New Roman;sans-serif" w:hAnsi="Times New Roman;sans-serif"/>
          <w:b w:val="false"/>
          <w:color w:val="000000"/>
          <w:sz w:val="22"/>
        </w:rPr>
        <w:t>) any legal or equitable right, remedy or claim under or by reason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(i) Subject to the conditions set forth in </w:t>
      </w:r>
      <w:r>
        <w:rPr>
          <w:rFonts w:ascii="Times New Roman;sans-serif" w:hAnsi="Times New Roman;sans-serif"/>
          <w:b w:val="false"/>
          <w:color w:val="000000"/>
          <w:sz w:val="22"/>
          <w:u w:val="single"/>
        </w:rPr>
        <w:t>clause (b)(ii)</w:t>
      </w:r>
      <w:r>
        <w:rPr>
          <w:color w:val="000000"/>
        </w:rPr>
        <w:t xml:space="preserve"> </w:t>
      </w:r>
      <w:r>
        <w:rPr>
          <w:rFonts w:ascii="Times New Roman;sans-serif" w:hAnsi="Times New Roman;sans-serif"/>
          <w:b w:val="false"/>
          <w:color w:val="000000"/>
          <w:sz w:val="22"/>
        </w:rPr>
        <w:t xml:space="preserve">below and </w:t>
      </w:r>
      <w:r>
        <w:rPr>
          <w:rFonts w:ascii="Times New Roman;sans-serif" w:hAnsi="Times New Roman;sans-serif"/>
          <w:b w:val="false"/>
          <w:color w:val="000000"/>
          <w:sz w:val="22"/>
          <w:u w:val="single"/>
        </w:rPr>
        <w:t>Section 13.7</w:t>
      </w:r>
      <w:r>
        <w:rPr>
          <w:rFonts w:ascii="Times New Roman;sans-serif" w:hAnsi="Times New Roman;sans-serif"/>
          <w:b w:val="false"/>
          <w:color w:val="000000"/>
          <w:sz w:val="22"/>
        </w:rPr>
        <w:t>, any Lender may at any time assign to one or more assignees all or a portion of its rights and obligations under this Agreement (including all or a portion of its Commitments and the Loans at the time owing to it) with the prior written consent (such consent not to be unreasonably withheld or delayed;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 consent of the Borrower shall be required for (1) an assignment of Term Loans to (X) a Lender, (Y) an Affiliate of a Lender, or (Z) an Approved Fund or (2) an assignment of Loans or Commitments to any assignee if an Event of Default under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(with respect to the Borrower) has occurred and is continuing;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the Administrative Agent (not to be unreasonably withheld or delayed);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no consent of the Administrative Agent shall be required for an assignment of any Term Loan to a Lender, an Affiliate of a Lender or an Approved Fund.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no such assignment shall be made to a natural Person, Disqualified Lender or Defaulting Lender. For the avoidance of doubt, the Administrative Agent shall bear no responsibility or liability for monitoring and enforcing the list of Persons who are Disqualified Lenders at any time.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Assignments shall be subject to the following additional conditions: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$1,000,000, unless each of the Borrower and the Administrative Agent otherwise consents (which consents shall not be unreasonably withheld or delayed);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 such consent of the Borrower shall be required if an Event of Default under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 xml:space="preserve">has occurred and is continuing;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each partial assignment shall be made as an assignment of a proportionate part of all the assigning Lender’s rights and obligations under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this clause shall not be construed to prohibit the assignment of a proportionate part of all the assigning Lender’s rights and obligations in respect of one Class of Commitments or Loans;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parties to each assignment shall execute and deliver to the Administrative Agent an Assignment and Acceptance via an electronic settlement system or other method reasonably acceptable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    the assignee, if it shall not be a Lender, shall deliver to the Administrative Agent an administrative questionnaire in a form approved by the Administrative Agent (the “</w:t>
      </w:r>
      <w:r>
        <w:rPr>
          <w:rFonts w:ascii="Times New Roman;sans-serif" w:hAnsi="Times New Roman;sans-serif"/>
          <w:b/>
          <w:color w:val="000000"/>
          <w:sz w:val="22"/>
        </w:rPr>
        <w:t>Administrative</w:t>
      </w:r>
      <w:r>
        <w:rPr>
          <w:color w:val="000000"/>
        </w:rPr>
        <w:t xml:space="preserve"> </w:t>
      </w:r>
      <w:r>
        <w:rPr>
          <w:rFonts w:ascii="Times New Roman;sans-serif" w:hAnsi="Times New Roman;sans-serif"/>
          <w:b/>
          <w:color w:val="000000"/>
          <w:sz w:val="22"/>
        </w:rPr>
        <w:t>Questionnaire</w:t>
      </w:r>
      <w:r>
        <w:rPr>
          <w:color w:val="000000"/>
        </w:rPr>
        <w:t>”</w:t>
      </w:r>
      <w:r>
        <w:rPr>
          <w:rFonts w:ascii="Times New Roman;sans-serif" w:hAnsi="Times New Roman;sans-serif"/>
          <w:b w:val="false"/>
          <w:color w:val="000000"/>
          <w:sz w:val="22"/>
        </w:rPr>
        <w:t xml:space="preserve">) and applicable tax forms (as required under </w:t>
      </w:r>
      <w:r>
        <w:rPr>
          <w:rFonts w:ascii="Times New Roman;sans-serif" w:hAnsi="Times New Roman;sans-serif"/>
          <w:b w:val="false"/>
          <w:color w:val="000000"/>
          <w:sz w:val="22"/>
          <w:u w:val="single"/>
        </w:rPr>
        <w:t>Section 5.4(e)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    any assignment to Holdings, the Borrower, any Subsidiary of Holdings or an Affiliated Lender (other than an Affiliated Institutional Lender) shall also be subject to the requirements of </w:t>
      </w:r>
      <w:r>
        <w:rPr>
          <w:rFonts w:ascii="Times New Roman;sans-serif" w:hAnsi="Times New Roman;sans-serif"/>
          <w:b w:val="false"/>
          <w:color w:val="000000"/>
          <w:sz w:val="22"/>
          <w:u w:val="single"/>
        </w:rPr>
        <w:t>Section 13.6(h)</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(F)    the Administrative Agent shall have received a processing and recordation fee of $3,500 for each assignment (or waived by the Administrative Agent at its sole discretion),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Administrative Agent may, in its sole discretion, elect to waive such processing and recordation fee in the case of any assignment; provided, further, that such processing and recordation fee shall not be payable in the case of assignments by any Agent or any of its Affiliates.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the Administrative Agent bears no responsibility for tracking or monitoring assignments to or participations by any Affiliated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Subject to acceptance and recording thereof pursuant to </w:t>
      </w:r>
      <w:r>
        <w:rPr>
          <w:rFonts w:ascii="Times New Roman;sans-serif" w:hAnsi="Times New Roman;sans-serif"/>
          <w:b w:val="false"/>
          <w:color w:val="000000"/>
          <w:sz w:val="22"/>
          <w:u w:val="single"/>
        </w:rPr>
        <w:t>clause (b)(v)</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Sections 2.10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13.5</w:t>
      </w:r>
      <w:r>
        <w:rPr>
          <w:rFonts w:ascii="Times New Roman;sans-serif" w:hAnsi="Times New Roman;sans-serif"/>
          <w:b w:val="false"/>
          <w:color w:val="000000"/>
          <w:sz w:val="22"/>
        </w:rPr>
        <w:t xml:space="preserve">). Any assignment or transfer by a Lender of rights or obligations under this Agreement that does not comply with this </w:t>
      </w:r>
      <w:r>
        <w:rPr>
          <w:rFonts w:ascii="Times New Roman;sans-serif" w:hAnsi="Times New Roman;sans-serif"/>
          <w:b w:val="false"/>
          <w:color w:val="000000"/>
          <w:sz w:val="22"/>
          <w:u w:val="single"/>
        </w:rPr>
        <w:t>Section 13.6</w:t>
      </w:r>
      <w:r>
        <w:rPr>
          <w:color w:val="000000"/>
        </w:rPr>
        <w:t xml:space="preserve"> </w:t>
      </w:r>
      <w:r>
        <w:rPr>
          <w:rFonts w:ascii="Times New Roman;sans-serif" w:hAnsi="Times New Roman;sans-serif"/>
          <w:b w:val="false"/>
          <w:color w:val="000000"/>
          <w:sz w:val="22"/>
        </w:rPr>
        <w:t xml:space="preserve">shall be treated for purposes of this Agreement as a sale by such Lender of a participation in such rights and obligations in accordance with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For the avoidance of doubt, in case of an assignment to a new Lender pursuant to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The Administrative Agent, acting solely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owing to each Lender pursuant to the terms hereof from time to time (the “</w:t>
      </w:r>
      <w:r>
        <w:rPr>
          <w:rFonts w:ascii="Times New Roman;sans-serif" w:hAnsi="Times New Roman;sans-serif"/>
          <w:b/>
          <w:color w:val="000000"/>
          <w:sz w:val="22"/>
        </w:rPr>
        <w:t>Register</w:t>
      </w:r>
      <w:r>
        <w:rPr>
          <w:color w:val="000000"/>
        </w:rPr>
        <w:t>”</w:t>
      </w:r>
      <w:r>
        <w:rPr>
          <w:rFonts w:ascii="Times New Roman;sans-serif" w:hAnsi="Times New Roman;sans-serif"/>
          <w:b w:val="false"/>
          <w:color w:val="000000"/>
          <w:sz w:val="22"/>
        </w:rPr>
        <w:t>).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Administrative Agent and its Affiliates and, with respect to itself, any Lender, at any reasonable time and from time to time upon reasonable prior notice.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 xml:space="preserve">Upon its receipt of a duly completed Assignment and Acceptance executed by an assigning Lender and an assignee, the assignee’s completed Administrative Questionnaire and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applicable tax forms (unless the assignee shall already be a Lender hereunder), the processing and recordation fee referred to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13.6</w:t>
      </w:r>
      <w:r>
        <w:rPr>
          <w:color w:val="000000"/>
        </w:rPr>
        <w:t xml:space="preserve"> </w:t>
      </w:r>
      <w:r>
        <w:rPr>
          <w:rFonts w:ascii="Times New Roman;sans-serif" w:hAnsi="Times New Roman;sans-serif"/>
          <w:b w:val="false"/>
          <w:color w:val="000000"/>
          <w:sz w:val="22"/>
        </w:rPr>
        <w:t xml:space="preserve">and any written consent to such assignment required by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w:t>
      </w:r>
      <w:r>
        <w:rPr>
          <w:rFonts w:ascii="Times New Roman;sans-serif" w:hAnsi="Times New Roman;sans-serif"/>
          <w:b w:val="false"/>
          <w:color w:val="000000"/>
          <w:sz w:val="22"/>
          <w:u w:val="single"/>
        </w:rPr>
        <w:t>clause (b)(v)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(i)    Any Lender may, without the consent of the Borrower or the Administrative Agent, sell participations to one or more banks or other entities (other than (x) a natural person, (y) Holdings and its Subsidiaries and (z) any Disqualified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notwithstanding </w:t>
      </w:r>
      <w:r>
        <w:rPr>
          <w:rFonts w:ascii="Times New Roman;sans-serif" w:hAnsi="Times New Roman;sans-serif"/>
          <w:b w:val="false"/>
          <w:color w:val="000000"/>
          <w:sz w:val="22"/>
          <w:u w:val="single"/>
        </w:rPr>
        <w:t>clause (y)</w:t>
      </w:r>
      <w:r>
        <w:rPr>
          <w:color w:val="000000"/>
        </w:rPr>
        <w:t xml:space="preserve"> </w:t>
      </w:r>
      <w:r>
        <w:rPr>
          <w:rFonts w:ascii="Times New Roman;sans-serif" w:hAnsi="Times New Roman;sans-serif"/>
          <w:b w:val="false"/>
          <w:color w:val="000000"/>
          <w:sz w:val="22"/>
        </w:rPr>
        <w:t>hereof, participations may be sold to Disqualified Lenders unless a list of Disqualified Lenders has been made available to all Lenders) (each, a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xml:space="preserve">) in all or a portion of such Lender’s rights and obligations under this Agreement (including all or a portion of its Commitments and the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such agreement or instrument may provide that such Lender will not, without the consent of the Participant, agree to any amendment, modification or waiver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(vii)</w:t>
      </w:r>
      <w:r>
        <w:rPr>
          <w:color w:val="000000"/>
        </w:rPr>
        <w:t xml:space="preserve"> </w:t>
      </w:r>
      <w:r>
        <w:rPr>
          <w:rFonts w:ascii="Times New Roman;sans-serif" w:hAnsi="Times New Roman;sans-serif"/>
          <w:b w:val="false"/>
          <w:color w:val="000000"/>
          <w:sz w:val="22"/>
        </w:rPr>
        <w:t xml:space="preserve">of the second proviso to </w:t>
      </w:r>
      <w:r>
        <w:rPr>
          <w:rFonts w:ascii="Times New Roman;sans-serif" w:hAnsi="Times New Roman;sans-serif"/>
          <w:b w:val="false"/>
          <w:color w:val="000000"/>
          <w:sz w:val="22"/>
          <w:u w:val="single"/>
        </w:rPr>
        <w:t>Section 13.1</w:t>
      </w:r>
      <w:r>
        <w:rPr>
          <w:color w:val="000000"/>
        </w:rPr>
        <w:t xml:space="preserve"> </w:t>
      </w:r>
      <w:r>
        <w:rPr>
          <w:rFonts w:ascii="Times New Roman;sans-serif" w:hAnsi="Times New Roman;sans-serif"/>
          <w:b w:val="false"/>
          <w:color w:val="000000"/>
          <w:sz w:val="22"/>
        </w:rPr>
        <w:t xml:space="preserve">that affects such Participant. Subject to </w:t>
      </w:r>
      <w:r>
        <w:rPr>
          <w:rFonts w:ascii="Times New Roman;sans-serif" w:hAnsi="Times New Roman;sans-serif"/>
          <w:b w:val="false"/>
          <w:color w:val="000000"/>
          <w:sz w:val="22"/>
          <w:u w:val="single"/>
        </w:rPr>
        <w:t>clause (c)(ii)</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the Borrower agrees that each Participant shall be entitled to the benefits of </w:t>
      </w:r>
      <w:r>
        <w:rPr>
          <w:rFonts w:ascii="Times New Roman;sans-serif" w:hAnsi="Times New Roman;sans-serif"/>
          <w:b w:val="false"/>
          <w:color w:val="000000"/>
          <w:sz w:val="22"/>
          <w:u w:val="single"/>
        </w:rPr>
        <w:t>Sections 2.10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5.4</w:t>
      </w:r>
      <w:r>
        <w:rPr>
          <w:color w:val="000000"/>
        </w:rPr>
        <w:t xml:space="preserve"> </w:t>
      </w:r>
      <w:r>
        <w:rPr>
          <w:rFonts w:ascii="Times New Roman;sans-serif" w:hAnsi="Times New Roman;sans-serif"/>
          <w:b w:val="false"/>
          <w:color w:val="000000"/>
          <w:sz w:val="22"/>
        </w:rPr>
        <w:t xml:space="preserve">to the same extent as if it were a Lender (subject to the limitations and requirements of those Sections and </w:t>
      </w:r>
      <w:r>
        <w:rPr>
          <w:rFonts w:ascii="Times New Roman;sans-serif" w:hAnsi="Times New Roman;sans-serif"/>
          <w:b w:val="false"/>
          <w:color w:val="000000"/>
          <w:sz w:val="22"/>
          <w:u w:val="single"/>
        </w:rPr>
        <w:t>Sections 2.12 and 13.7</w:t>
      </w:r>
      <w:r>
        <w:rPr>
          <w:color w:val="000000"/>
        </w:rPr>
        <w:t> </w:t>
      </w:r>
      <w:r>
        <w:rPr>
          <w:rFonts w:ascii="Times New Roman;sans-serif" w:hAnsi="Times New Roman;sans-serif"/>
          <w:b w:val="false"/>
          <w:color w:val="000000"/>
          <w:sz w:val="22"/>
        </w:rPr>
        <w:t xml:space="preserve">as though it were a Lender and had acquired its interest by assignment pursuant to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including the requirements of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5.4</w:t>
      </w:r>
      <w:r>
        <w:rPr>
          <w:rFonts w:ascii="Times New Roman;sans-serif" w:hAnsi="Times New Roman;sans-serif"/>
          <w:b w:val="false"/>
          <w:color w:val="000000"/>
          <w:sz w:val="22"/>
        </w:rPr>
        <w:t xml:space="preserve">) (it being agreed that any documentation required under </w:t>
      </w:r>
      <w:r>
        <w:rPr>
          <w:rFonts w:ascii="Times New Roman;sans-serif" w:hAnsi="Times New Roman;sans-serif"/>
          <w:b w:val="false"/>
          <w:color w:val="000000"/>
          <w:sz w:val="22"/>
          <w:u w:val="single"/>
        </w:rPr>
        <w:t>Section 5.4(e)</w:t>
      </w:r>
      <w:r>
        <w:rPr>
          <w:color w:val="000000"/>
        </w:rPr>
        <w:t xml:space="preserve"> </w:t>
      </w:r>
      <w:r>
        <w:rPr>
          <w:rFonts w:ascii="Times New Roman;sans-serif" w:hAnsi="Times New Roman;sans-serif"/>
          <w:b w:val="false"/>
          <w:color w:val="000000"/>
          <w:sz w:val="22"/>
        </w:rPr>
        <w:t>shall be provided solely to the participating Lender)</w:t>
      </w:r>
      <w:r>
        <w:rPr>
          <w:rFonts w:ascii="Times New Roman;sans-serif" w:hAnsi="Times New Roman;sans-serif"/>
          <w:b/>
          <w:strike/>
          <w:color w:val="FF0000"/>
          <w:sz w:val="22"/>
        </w:rPr>
        <w:t>)</w:t>
      </w:r>
      <w:r>
        <w:rPr>
          <w:rFonts w:ascii="Times New Roman;sans-serif" w:hAnsi="Times New Roman;sans-serif"/>
          <w:b w:val="false"/>
          <w:color w:val="000000"/>
          <w:sz w:val="22"/>
        </w:rPr>
        <w:t xml:space="preserve">. To the extent permitted by law, each Participant also shall be entitled to the benefits of </w:t>
      </w:r>
      <w:r>
        <w:rPr>
          <w:rFonts w:ascii="Times New Roman;sans-serif" w:hAnsi="Times New Roman;sans-serif"/>
          <w:b w:val="false"/>
          <w:color w:val="000000"/>
          <w:sz w:val="22"/>
          <w:u w:val="single"/>
        </w:rPr>
        <w:t>Section 13.8(b)</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such Participant shall be subject to </w:t>
      </w:r>
      <w:r>
        <w:rPr>
          <w:rFonts w:ascii="Times New Roman;sans-serif" w:hAnsi="Times New Roman;sans-serif"/>
          <w:b w:val="false"/>
          <w:color w:val="000000"/>
          <w:sz w:val="22"/>
          <w:u w:val="single"/>
        </w:rPr>
        <w:t>Section 13.8(a)</w:t>
      </w:r>
      <w:r>
        <w:rPr>
          <w:color w:val="000000"/>
        </w:rPr>
        <w:t xml:space="preserve"> </w:t>
      </w:r>
      <w:r>
        <w:rPr>
          <w:rFonts w:ascii="Times New Roman;sans-serif" w:hAnsi="Times New Roman;sans-serif"/>
          <w:b w:val="false"/>
          <w:color w:val="000000"/>
          <w:sz w:val="22"/>
        </w:rPr>
        <w:t>as though it were a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(v)    </w:t>
      </w:r>
      <w:r>
        <w:rPr>
          <w:rFonts w:ascii="Times New Roman;sans-serif" w:hAnsi="Times New Roman;sans-serif"/>
          <w:b w:val="false"/>
          <w:color w:val="000000"/>
          <w:sz w:val="22"/>
        </w:rPr>
        <w:t xml:space="preserve">A Participant shall not be entitled to receive any greater payment under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5.4</w:t>
      </w:r>
      <w:r>
        <w:rPr>
          <w:color w:val="000000"/>
        </w:rPr>
        <w:t xml:space="preserve"> </w:t>
      </w:r>
      <w:r>
        <w:rPr>
          <w:rFonts w:ascii="Times New Roman;sans-serif" w:hAnsi="Times New Roman;sans-serif"/>
          <w:b w:val="false"/>
          <w:color w:val="000000"/>
          <w:sz w:val="22"/>
        </w:rPr>
        <w:t>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or such entitlement to receive a greater payment results from a Change in Law that occurs after the Participant acquired the applicable participation.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Times New Roman;sans-serif" w:hAnsi="Times New Roman;sans-serif"/>
          <w:b/>
          <w:color w:val="000000"/>
          <w:sz w:val="22"/>
        </w:rPr>
        <w:t>Participant Register</w:t>
      </w:r>
      <w:r>
        <w:rPr>
          <w:color w:val="000000"/>
        </w:rPr>
        <w:t>”</w:t>
      </w:r>
      <w:r>
        <w:rPr>
          <w:rFonts w:ascii="Times New Roman;sans-serif" w:hAnsi="Times New Roman;sans-serif"/>
          <w:b w:val="false"/>
          <w:color w:val="000000"/>
          <w:sz w:val="22"/>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or its other obligations under any Credit Document) except to the extent that such disclosure is necessary to establish that such commitment, loan or other obligation is in registered form under Section 5f.103-1(c) or Proposed Section 1.163-5(b) of the United States Treasury Regulations (or, in each case, any amended, successor or final version).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Reserve Bank, or other central bank having jurisdiction over such Lender and this </w:t>
      </w:r>
      <w:r>
        <w:rPr>
          <w:rFonts w:ascii="Times New Roman;sans-serif" w:hAnsi="Times New Roman;sans-serif"/>
          <w:b w:val="false"/>
          <w:color w:val="000000"/>
          <w:sz w:val="22"/>
          <w:u w:val="single"/>
        </w:rPr>
        <w:t>Section 13.6</w:t>
      </w:r>
      <w:r>
        <w:rPr>
          <w:color w:val="000000"/>
        </w:rPr>
        <w:t xml:space="preserve"> </w:t>
      </w:r>
      <w:r>
        <w:rPr>
          <w:rFonts w:ascii="Times New Roman;sans-serif" w:hAnsi="Times New Roman;sans-serif"/>
          <w:b w:val="false"/>
          <w:color w:val="000000"/>
          <w:sz w:val="22"/>
        </w:rPr>
        <w:t xml:space="preserve">shall not apply to any such pledge or assignment of a security interest;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 such pledge or assignment of a security interest shall release a Lender from any of its obligations hereunder or substitute any such pledgee or assignee for such Lender as a party hereto.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 the Borrower authorizes each Lender to disclose to any Participant, secured creditor of such Lender or assignee (each, a “</w:t>
      </w:r>
      <w:r>
        <w:rPr>
          <w:rFonts w:ascii="Times New Roman;sans-serif" w:hAnsi="Times New Roman;sans-serif"/>
          <w:b/>
          <w:color w:val="000000"/>
          <w:sz w:val="22"/>
        </w:rPr>
        <w:t>Transferee</w:t>
      </w:r>
      <w:r>
        <w:rPr>
          <w:color w:val="000000"/>
        </w:rPr>
        <w:t>”</w:t>
      </w:r>
      <w:r>
        <w:rPr>
          <w:rFonts w:ascii="Times New Roman;sans-serif" w:hAnsi="Times New Roman;sans-serif"/>
          <w:b w:val="false"/>
          <w:color w:val="000000"/>
          <w:sz w:val="22"/>
        </w:rPr>
        <w:t>) and any prospective Transferee any and all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The words “execution,” “signed,” “signature,” and words of like import in any Assignment and Acceptance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u w:val="single"/>
        </w:rPr>
        <w:t>SPV Lender</w:t>
      </w:r>
      <w:r>
        <w:rPr>
          <w:rFonts w:ascii="Times New Roman;sans-serif" w:hAnsi="Times New Roman;sans-serif"/>
          <w:b w:val="false"/>
          <w:color w:val="000000"/>
          <w:sz w:val="22"/>
        </w:rPr>
        <w:t>. Notwithstanding anything to the contrary contained herein, any Lender (a “</w:t>
      </w:r>
      <w:r>
        <w:rPr>
          <w:rFonts w:ascii="Times New Roman;sans-serif" w:hAnsi="Times New Roman;sans-serif"/>
          <w:b/>
          <w:color w:val="000000"/>
          <w:sz w:val="22"/>
        </w:rPr>
        <w:t>Granting Lender</w:t>
      </w:r>
      <w:r>
        <w:rPr>
          <w:color w:val="000000"/>
        </w:rPr>
        <w:t>”</w:t>
      </w:r>
      <w:r>
        <w:rPr>
          <w:rFonts w:ascii="Times New Roman;sans-serif" w:hAnsi="Times New Roman;sans-serif"/>
          <w:b w:val="false"/>
          <w:color w:val="000000"/>
          <w:sz w:val="22"/>
        </w:rPr>
        <w:t>) may grant to a special purpose funding vehicle (an “</w:t>
      </w:r>
      <w:r>
        <w:rPr>
          <w:rFonts w:ascii="Times New Roman;sans-serif" w:hAnsi="Times New Roman;sans-serif"/>
          <w:b/>
          <w:color w:val="000000"/>
          <w:sz w:val="22"/>
        </w:rPr>
        <w:t>SPV</w:t>
      </w:r>
      <w:r>
        <w:rPr>
          <w:color w:val="000000"/>
        </w:rPr>
        <w:t>”</w:t>
      </w:r>
      <w:r>
        <w:rPr>
          <w:rFonts w:ascii="Times New Roman;sans-serif" w:hAnsi="Times New Roman;sans-serif"/>
          <w:b w:val="false"/>
          <w:color w:val="000000"/>
          <w:sz w:val="22"/>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 xml:space="preserve">, disclose on a confidential basis any non-public information relating to its Loans to any rating agency, commercial paper dealer or provider of any surety, guarantee or credit or liquidity enhancement to such SPV. This </w:t>
      </w:r>
      <w:r>
        <w:rPr>
          <w:rFonts w:ascii="Times New Roman;sans-serif" w:hAnsi="Times New Roman;sans-serif"/>
          <w:b w:val="false"/>
          <w:color w:val="000000"/>
          <w:sz w:val="22"/>
          <w:u w:val="single"/>
        </w:rPr>
        <w:t>Section 13.6(g)</w:t>
      </w:r>
      <w:r>
        <w:rPr>
          <w:color w:val="000000"/>
        </w:rPr>
        <w:t xml:space="preserve"> </w:t>
      </w:r>
      <w:r>
        <w:rPr>
          <w:rFonts w:ascii="Times New Roman;sans-serif" w:hAnsi="Times New Roman;sans-serif"/>
          <w:b w:val="false"/>
          <w:color w:val="000000"/>
          <w:sz w:val="22"/>
        </w:rPr>
        <w:t xml:space="preserve">may not be amended without the written consent of the SPV. Notwithstanding anything to the contrary in this Agreement but subject to the following sentence, each SPV shall be entitled to the benefits of </w:t>
      </w:r>
      <w:r>
        <w:rPr>
          <w:rFonts w:ascii="Times New Roman;sans-serif" w:hAnsi="Times New Roman;sans-serif"/>
          <w:b w:val="false"/>
          <w:color w:val="000000"/>
          <w:sz w:val="22"/>
          <w:u w:val="single"/>
        </w:rPr>
        <w:t>Sections 2.10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5.4</w:t>
      </w:r>
      <w:r>
        <w:rPr>
          <w:color w:val="000000"/>
        </w:rPr>
        <w:t xml:space="preserve"> </w:t>
      </w:r>
      <w:r>
        <w:rPr>
          <w:rFonts w:ascii="Times New Roman;sans-serif" w:hAnsi="Times New Roman;sans-serif"/>
          <w:b w:val="false"/>
          <w:color w:val="000000"/>
          <w:sz w:val="22"/>
        </w:rPr>
        <w:t xml:space="preserve">to the same extent as if it were a Lender (subject to the limitations and requirements of those Sections and </w:t>
      </w:r>
      <w:r>
        <w:rPr>
          <w:rFonts w:ascii="Times New Roman;sans-serif" w:hAnsi="Times New Roman;sans-serif"/>
          <w:b w:val="false"/>
          <w:color w:val="000000"/>
          <w:sz w:val="22"/>
          <w:u w:val="single"/>
        </w:rPr>
        <w:t>Sections 2.12 and 13.7</w:t>
      </w:r>
      <w:r>
        <w:rPr>
          <w:color w:val="000000"/>
        </w:rPr>
        <w:t> </w:t>
      </w:r>
      <w:r>
        <w:rPr>
          <w:rFonts w:ascii="Times New Roman;sans-serif" w:hAnsi="Times New Roman;sans-serif"/>
          <w:b w:val="false"/>
          <w:color w:val="000000"/>
          <w:sz w:val="22"/>
        </w:rPr>
        <w:t xml:space="preserve">as though it were a Lender and had acquired its interest by assignment pursuant to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 xml:space="preserve">, including the requirements of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5.4</w:t>
      </w:r>
      <w:r>
        <w:rPr>
          <w:color w:val="000000"/>
        </w:rPr>
        <w:t xml:space="preserve"> </w:t>
      </w:r>
      <w:r>
        <w:rPr>
          <w:rFonts w:ascii="Times New Roman;sans-serif" w:hAnsi="Times New Roman;sans-serif"/>
          <w:b w:val="false"/>
          <w:color w:val="000000"/>
          <w:sz w:val="22"/>
        </w:rPr>
        <w:t xml:space="preserve">(it being agreed that any documentation required under </w:t>
      </w:r>
      <w:r>
        <w:rPr>
          <w:rFonts w:ascii="Times New Roman;sans-serif" w:hAnsi="Times New Roman;sans-serif"/>
          <w:b w:val="false"/>
          <w:color w:val="000000"/>
          <w:sz w:val="22"/>
          <w:u w:val="single"/>
        </w:rPr>
        <w:t>Section 5.4(e)</w:t>
      </w:r>
      <w:r>
        <w:rPr>
          <w:color w:val="000000"/>
        </w:rPr>
        <w:t xml:space="preserve"> </w:t>
      </w:r>
      <w:r>
        <w:rPr>
          <w:rFonts w:ascii="Times New Roman;sans-serif" w:hAnsi="Times New Roman;sans-serif"/>
          <w:b w:val="false"/>
          <w:color w:val="000000"/>
          <w:sz w:val="22"/>
        </w:rPr>
        <w:t xml:space="preserve">shall be provided solely to the Granting Lender)). Notwithstanding the prior sentence, an SPV shall not be entitled to receive any greater payment under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5.4</w:t>
      </w:r>
      <w:r>
        <w:rPr>
          <w:color w:val="000000"/>
        </w:rPr>
        <w:t xml:space="preserve"> </w:t>
      </w:r>
      <w:r>
        <w:rPr>
          <w:rFonts w:ascii="Times New Roman;sans-serif" w:hAnsi="Times New Roman;sans-serif"/>
          <w:b w:val="false"/>
          <w:color w:val="000000"/>
          <w:sz w:val="22"/>
        </w:rPr>
        <w:t>than its Granting Lender would have been entitled to receive absent the grant to such SPV, unless such grant to such SPV is made with the Borrower’s prior written consent (which consent shall not be unreasonably withheld).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 xml:space="preserve">Notwithstanding anything to the contrary contained herein, (x) any Lender may, at any time, assign all or a portion of its rights and obligations under this Agreement in respect of its Term Loans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to Holdings, the Borrower, any Subsidiary of Holdings or an Affiliated Lender and (y) Holdings, the Borrower and any Subsidiary of Holdings may, from time to time, purchase or prepay Term Loans, in each case, on a non-pro rata basis through (1) Dutch auction procedures open to all applicable Lenders on a pro rata basis in accordance with customary procedures to be agreed between the Borrower and the Auction Agent or (2) open market purchases;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any Loans or Commitments acquired by Holdings, the Borrower or any other Subsidiary of Holdings shall be retired and cancelled promptly upon the acquisition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by its acquisition of Loans or Commitments, an Affiliated Lender shall be deemed to have acknowledged and agreed that:</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it shall not have any right to (i) attend or participate in (including, in each case, by telephone) any meeting (including “Lender only” meetings) or discussions (or portion thereof) among the Administrative Agent or any Lender to which representatives of the Borrower are not then present, (ii)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their representatives (and in any case, other than the right to receive notices of prepayments and other administrative notices in respect of its Loans required to be delivered to Lenders pursuant to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or receive any advice of counsel to the Administrative Agent or (iii) make any challenge to the Administrative Agent’s or any other Lender’s attorney-client privilege on the basis of its status as a Lender; and</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except with respect to any amendment, modification, waiver, consent or other action (I) in </w:t>
      </w:r>
      <w:r>
        <w:rPr>
          <w:rFonts w:ascii="Times New Roman;sans-serif" w:hAnsi="Times New Roman;sans-serif"/>
          <w:b w:val="false"/>
          <w:color w:val="000000"/>
          <w:sz w:val="22"/>
          <w:u w:val="single"/>
        </w:rPr>
        <w:t>Section 13.1</w:t>
      </w:r>
      <w:r>
        <w:rPr>
          <w:color w:val="000000"/>
        </w:rPr>
        <w:t xml:space="preserve"> </w:t>
      </w:r>
      <w:r>
        <w:rPr>
          <w:rFonts w:ascii="Times New Roman;sans-serif" w:hAnsi="Times New Roman;sans-serif"/>
          <w:b w:val="false"/>
          <w:color w:val="000000"/>
          <w:sz w:val="22"/>
        </w:rPr>
        <w:t>requiring the consent of all Lenders, all Lenders directly and adversely affected or specifically such Lender, (II) that alters an Affiliated Lender’s pro rata share of any payments given to all Lenders, or (III) affects the Affiliated Lender (in its capacity as a Lender) in a manner that is disproportionate to the effect on any Lender in the same Class, the Loans held by an Affiliated Lender shall be disregarded in both the numerator and denominator in the calculation of any Lender vote (and, in the case of a plan of reorganization that does not affect the Affiliated Lender in a manner that is materially adverse to such Affiliated Lender relative to other Lenders, shall be deemed to have voted its interest in the Term Loans in the same proportion as the other Lenders) (and shall be deemed to have been voted in the same percentage as all other applicable Lenders voted if necessary to give legal effect to this paragraph);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the aggregate principal amount of Term Loans held at any one time by Affiliated Lenders may not exceed 30% of the aggregate principal amount of all Term Loans outstanding at the time of such purchase;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any such Loans acquired by an Affiliated Lender may, with the consent of the Borrower, be contributed to the Borrower and exchanged for debt or equity securities that are otherwise permitted to be issued at such time (and such Loans or Commitments shall be retired and cancelled promptly).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avoidance of doubt, the foregoing limitations shall not be applicable to Affiliated Institutional Lenders. None of Holdings, the Borrower, any Subsidiary of Holdings or any Affiliated Lender shall be required to make any representation that it is not in possession of information which is not publicly available and/or material with respect to Holdings, the Borrower and their respective Subsidiaries or their respective securities for purposes of U.S. federal and state securities laws.</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13.7    </w:t>
      </w:r>
      <w:r>
        <w:rPr>
          <w:rFonts w:ascii="Times New Roman;sans-serif" w:hAnsi="Times New Roman;sans-serif"/>
          <w:b w:val="false"/>
          <w:color w:val="000000"/>
          <w:sz w:val="22"/>
          <w:u w:val="single"/>
        </w:rPr>
        <w:t>Replacements of Lenders Under Certain Circumstances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Borrower shall be permitted (x) to replace any Lender or (y) terminate the Commitment of such Lender and repay all Obligations of the Borrower due and owing to such Lender relating to the Loans and participations held by such Lender as of such termination date that (a) requests reimbursement for amounts owing pursuant to </w:t>
      </w:r>
      <w:r>
        <w:rPr>
          <w:rFonts w:ascii="Times New Roman;sans-serif" w:hAnsi="Times New Roman;sans-serif"/>
          <w:b w:val="false"/>
          <w:color w:val="000000"/>
          <w:sz w:val="22"/>
          <w:u w:val="single"/>
        </w:rPr>
        <w:t>Sections 2.10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5.4</w:t>
      </w:r>
      <w:r>
        <w:rPr>
          <w:rFonts w:ascii="Times New Roman;sans-serif" w:hAnsi="Times New Roman;sans-serif"/>
          <w:b w:val="false"/>
          <w:color w:val="000000"/>
          <w:sz w:val="22"/>
        </w:rPr>
        <w:t xml:space="preserve">, (b) is affected in the manner described in </w:t>
      </w:r>
      <w:r>
        <w:rPr>
          <w:rFonts w:ascii="Times New Roman;sans-serif" w:hAnsi="Times New Roman;sans-serif"/>
          <w:b w:val="false"/>
          <w:color w:val="000000"/>
          <w:sz w:val="22"/>
          <w:u w:val="single"/>
        </w:rPr>
        <w:t>Section 2.10(a)(</w:t>
      </w:r>
      <w:r>
        <w:rPr>
          <w:rFonts w:ascii="Times New Roman;sans-serif" w:hAnsi="Times New Roman;sans-serif"/>
          <w:b/>
          <w:strike/>
          <w:color w:val="FF0000"/>
          <w:sz w:val="22"/>
          <w:u w:val="single"/>
        </w:rPr>
        <w:t>iii</w:t>
      </w:r>
      <w:r>
        <w:rPr>
          <w:rFonts w:ascii="Times New Roman;sans-serif" w:hAnsi="Times New Roman;sans-serif"/>
          <w:b/>
          <w:color w:val="0000FF"/>
          <w:sz w:val="22"/>
          <w:u w:val="single"/>
        </w:rPr>
        <w:t>ii</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 xml:space="preserve">and as a result thereof any of the actions described in such Section is required to be taken, or (c) becomes a Defaulting Lender, with a replacement bank or other financial institution;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 such replacement does not conflict with any Requirements of Law, (ii) no Event of Default under </w:t>
      </w:r>
      <w:r>
        <w:rPr>
          <w:rFonts w:ascii="Times New Roman;sans-serif" w:hAnsi="Times New Roman;sans-serif"/>
          <w:b w:val="false"/>
          <w:color w:val="000000"/>
          <w:sz w:val="22"/>
          <w:u w:val="single"/>
        </w:rPr>
        <w:t>Sections 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11.5</w:t>
      </w:r>
      <w:r>
        <w:rPr>
          <w:color w:val="000000"/>
        </w:rPr>
        <w:t xml:space="preserve"> </w:t>
      </w:r>
      <w:r>
        <w:rPr>
          <w:rFonts w:ascii="Times New Roman;sans-serif" w:hAnsi="Times New Roman;sans-serif"/>
          <w:b w:val="false"/>
          <w:color w:val="000000"/>
          <w:sz w:val="22"/>
        </w:rPr>
        <w:t xml:space="preserve">shall have occurred and be continuing at the time of such replacement, (iii) the Borrower shall repay (or the replacement bank or institution shall purchase, at par) all Loans and other amounts pursuant to </w:t>
      </w:r>
      <w:r>
        <w:rPr>
          <w:rFonts w:ascii="Times New Roman;sans-serif" w:hAnsi="Times New Roman;sans-serif"/>
          <w:b w:val="false"/>
          <w:color w:val="000000"/>
          <w:sz w:val="22"/>
          <w:u w:val="single"/>
        </w:rPr>
        <w:t>Sections 2.10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2.11</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5.4</w:t>
      </w:r>
      <w:r>
        <w:rPr>
          <w:rFonts w:ascii="Times New Roman;sans-serif" w:hAnsi="Times New Roman;sans-serif"/>
          <w:b w:val="false"/>
          <w:color w:val="000000"/>
          <w:sz w:val="22"/>
        </w:rPr>
        <w:t xml:space="preserve">, as the case may be, owing to such replaced Lender prior to the date of replacement, (iv) the replacement bank or institution, if not already a Lender, an Affiliate of the Lender, an Affiliated Lender or Approved Fund, and the terms and conditions of such replacement, shall be reasonably satisfactory to the Administrative Agent, (v) the replacement bank or institution, if not already a Lender shall be subject to the provisions of </w:t>
      </w:r>
      <w:r>
        <w:rPr>
          <w:rFonts w:ascii="Times New Roman;sans-serif" w:hAnsi="Times New Roman;sans-serif"/>
          <w:b w:val="false"/>
          <w:color w:val="000000"/>
          <w:sz w:val="22"/>
          <w:u w:val="single"/>
        </w:rPr>
        <w:t>Section 13.6(b)</w:t>
      </w:r>
      <w:r>
        <w:rPr>
          <w:rFonts w:ascii="Times New Roman;sans-serif" w:hAnsi="Times New Roman;sans-serif"/>
          <w:b w:val="false"/>
          <w:color w:val="000000"/>
          <w:sz w:val="22"/>
        </w:rPr>
        <w:t xml:space="preserve">, (vi) the replaced Lender shall be obligated to make such replacement in accordance with the provisions of </w:t>
      </w:r>
      <w:r>
        <w:rPr>
          <w:rFonts w:ascii="Times New Roman;sans-serif" w:hAnsi="Times New Roman;sans-serif"/>
          <w:b w:val="false"/>
          <w:color w:val="000000"/>
          <w:sz w:val="22"/>
          <w:u w:val="single"/>
        </w:rPr>
        <w:t>Section 13.6</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If any Lender (such Lender, a “</w:t>
      </w:r>
      <w:r>
        <w:rPr>
          <w:rFonts w:ascii="Times New Roman;sans-serif" w:hAnsi="Times New Roman;sans-serif"/>
          <w:b/>
          <w:color w:val="000000"/>
          <w:sz w:val="22"/>
        </w:rPr>
        <w:t>Non-Consenting Lender</w:t>
      </w:r>
      <w:r>
        <w:rPr>
          <w:color w:val="000000"/>
        </w:rPr>
        <w:t>”</w:t>
      </w:r>
      <w:r>
        <w:rPr>
          <w:rFonts w:ascii="Times New Roman;sans-serif" w:hAnsi="Times New Roman;sans-serif"/>
          <w:b w:val="false"/>
          <w:color w:val="000000"/>
          <w:sz w:val="22"/>
        </w:rPr>
        <w:t xml:space="preserve">) has failed to consent to a proposed amendment, waiver, discharge or termination that pursuant to the terms of </w:t>
      </w:r>
      <w:r>
        <w:rPr>
          <w:rFonts w:ascii="Times New Roman;sans-serif" w:hAnsi="Times New Roman;sans-serif"/>
          <w:b w:val="false"/>
          <w:color w:val="000000"/>
          <w:sz w:val="22"/>
          <w:u w:val="single"/>
        </w:rPr>
        <w:t>Section 13.1</w:t>
      </w:r>
      <w:r>
        <w:rPr>
          <w:color w:val="000000"/>
        </w:rPr>
        <w:t xml:space="preserve"> </w:t>
      </w:r>
      <w:r>
        <w:rPr>
          <w:rFonts w:ascii="Times New Roman;sans-serif" w:hAnsi="Times New Roman;sans-serif"/>
          <w:b w:val="false"/>
          <w:color w:val="000000"/>
          <w:sz w:val="22"/>
        </w:rPr>
        <w:t xml:space="preserve">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Times New Roman;sans-serif" w:hAnsi="Times New Roman;sans-serif"/>
          <w:b w:val="false"/>
          <w:color w:val="000000"/>
          <w:sz w:val="22"/>
          <w:u w:val="single"/>
        </w:rPr>
        <w:t>Section 13.6)</w:t>
      </w:r>
      <w:r>
        <w:rPr>
          <w:color w:val="000000"/>
        </w:rPr>
        <w:t xml:space="preserve"> </w:t>
      </w:r>
      <w:r>
        <w:rPr>
          <w:rFonts w:ascii="Times New Roman;sans-serif" w:hAnsi="Times New Roman;sans-serif"/>
          <w:b w:val="false"/>
          <w:color w:val="000000"/>
          <w:sz w:val="22"/>
        </w:rPr>
        <w:t xml:space="preserve">and repay all Obligations of the Borrower due and owing to such Lender relating to the Loans and participations held by such Lender as of such termination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(a) all Obligations hereunder of the Borrower owing to such Non-Consenting Lender being replaced shall be paid in full to such Non-Consenting Lender concurrently with such assignment including any amounts that such Lender may be owed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and (b) the replacement Lender shall purchase the foregoing by paying to such Non-Consenting Lender a price equal to the principal amount thereof plus accrued and unpaid interest thereon, and (c) the Borrower shall pay to such Non-Consenting Lender the amount, if any, owing to such Lender pursuant to </w:t>
      </w:r>
      <w:r>
        <w:rPr>
          <w:rFonts w:ascii="Times New Roman;sans-serif" w:hAnsi="Times New Roman;sans-serif"/>
          <w:b w:val="false"/>
          <w:color w:val="000000"/>
          <w:sz w:val="22"/>
          <w:u w:val="single"/>
        </w:rPr>
        <w:t>Section 5.1(b)</w:t>
      </w:r>
      <w:r>
        <w:rPr>
          <w:rFonts w:ascii="Times New Roman;sans-serif" w:hAnsi="Times New Roman;sans-serif"/>
          <w:b w:val="false"/>
          <w:color w:val="000000"/>
          <w:sz w:val="22"/>
        </w:rPr>
        <w:t xml:space="preserve">. In connection with any such assignment, the Borrower, the Administrative Agent, such Non-Consenting Lender and the replacement Lender shall otherwise comply with </w:t>
      </w:r>
      <w:r>
        <w:rPr>
          <w:rFonts w:ascii="Times New Roman;sans-serif" w:hAnsi="Times New Roman;sans-serif"/>
          <w:b w:val="false"/>
          <w:color w:val="000000"/>
          <w:sz w:val="22"/>
          <w:u w:val="single"/>
        </w:rPr>
        <w:t>Section 13.6</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13.8    </w:t>
      </w:r>
      <w:r>
        <w:rPr>
          <w:rFonts w:ascii="Times New Roman;sans-serif" w:hAnsi="Times New Roman;sans-serif"/>
          <w:b w:val="false"/>
          <w:color w:val="000000"/>
          <w:sz w:val="22"/>
          <w:u w:val="single"/>
        </w:rPr>
        <w:t>Adjustments; Set-off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Except as contemplated in </w:t>
      </w:r>
      <w:r>
        <w:rPr>
          <w:rFonts w:ascii="Times New Roman;sans-serif" w:hAnsi="Times New Roman;sans-serif"/>
          <w:b w:val="false"/>
          <w:color w:val="000000"/>
          <w:sz w:val="22"/>
          <w:u w:val="single"/>
        </w:rPr>
        <w:t>Section 13.6</w:t>
      </w:r>
      <w:r>
        <w:rPr>
          <w:color w:val="000000"/>
        </w:rPr>
        <w:t xml:space="preserve"> </w:t>
      </w:r>
      <w:r>
        <w:rPr>
          <w:rFonts w:ascii="Times New Roman;sans-serif" w:hAnsi="Times New Roman;sans-serif"/>
          <w:b w:val="false"/>
          <w:color w:val="000000"/>
          <w:sz w:val="22"/>
        </w:rPr>
        <w:t>or elsewhere herein, if any Lender (a “</w:t>
      </w:r>
      <w:r>
        <w:rPr>
          <w:rFonts w:ascii="Times New Roman;sans-serif" w:hAnsi="Times New Roman;sans-serif"/>
          <w:b/>
          <w:color w:val="000000"/>
          <w:sz w:val="22"/>
        </w:rPr>
        <w:t>Benefited Lender</w:t>
      </w:r>
      <w:r>
        <w:rPr>
          <w:color w:val="000000"/>
        </w:rPr>
        <w:t>”</w:t>
      </w:r>
      <w:r>
        <w:rPr>
          <w:rFonts w:ascii="Times New Roman;sans-serif" w:hAnsi="Times New Roman;sans-serif"/>
          <w:b w:val="false"/>
          <w:color w:val="000000"/>
          <w:sz w:val="22"/>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sans-serif" w:hAnsi="Times New Roman;sans-serif"/>
          <w:b w:val="false"/>
          <w:color w:val="000000"/>
          <w:sz w:val="22"/>
          <w:u w:val="single"/>
        </w:rPr>
        <w:t>Section 11.5</w:t>
      </w:r>
      <w:r>
        <w:rPr>
          <w:rFonts w:ascii="Times New Roman;sans-serif" w:hAnsi="Times New Roman;sans-serif"/>
          <w:b w:val="false"/>
          <w:color w:val="000000"/>
          <w:sz w:val="22"/>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all or any portion of such excess payment or benefits is thereafter recovered from such Benefited Lender, such purchase shall be rescinded, and the purchase price and benefits returned, to the extent of such recovery, but without interest. For purposes of </w:t>
      </w:r>
      <w:r>
        <w:rPr>
          <w:rFonts w:ascii="Times New Roman;sans-serif" w:hAnsi="Times New Roman;sans-serif"/>
          <w:b w:val="false"/>
          <w:color w:val="000000"/>
          <w:sz w:val="22"/>
          <w:u w:val="single"/>
        </w:rPr>
        <w:t>subclause (ii)(a)</w:t>
      </w:r>
      <w:r>
        <w:rPr>
          <w:color w:val="000000"/>
        </w:rPr>
        <w:t xml:space="preserve"> </w:t>
      </w:r>
      <w:r>
        <w:rPr>
          <w:rFonts w:ascii="Times New Roman;sans-serif" w:hAnsi="Times New Roman;sans-serif"/>
          <w:b w:val="false"/>
          <w:color w:val="000000"/>
          <w:sz w:val="22"/>
        </w:rPr>
        <w:t xml:space="preserve">of the definition of Excluded Taxes, a Lender that acquires a participation pursuant to this </w:t>
      </w:r>
      <w:r>
        <w:rPr>
          <w:rFonts w:ascii="Times New Roman;sans-serif" w:hAnsi="Times New Roman;sans-serif"/>
          <w:b w:val="false"/>
          <w:color w:val="000000"/>
          <w:sz w:val="22"/>
          <w:u w:val="single"/>
        </w:rPr>
        <w:t>Section 13.8</w:t>
      </w:r>
      <w:r>
        <w:rPr>
          <w:color w:val="000000"/>
        </w:rPr>
        <w:t xml:space="preserve"> </w:t>
      </w:r>
      <w:r>
        <w:rPr>
          <w:rFonts w:ascii="Times New Roman;sans-serif" w:hAnsi="Times New Roman;sans-serif"/>
          <w:b w:val="false"/>
          <w:color w:val="000000"/>
          <w:sz w:val="22"/>
        </w:rPr>
        <w:t>shall be treated as having acquired such participation on the date(s) on which such Lender acquired the applicable interest(s) in the Commitment(s) and/or Loan(s) to which such participation relates.</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the failure to give such notice shall not affect the validity of such set-off and application.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13.9    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13.10    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13.11    </w:t>
      </w:r>
      <w:r>
        <w:rPr>
          <w:rFonts w:ascii="Times New Roman;sans-serif" w:hAnsi="Times New Roman;sans-serif"/>
          <w:b w:val="false"/>
          <w:color w:val="000000"/>
          <w:sz w:val="22"/>
          <w:u w:val="single"/>
        </w:rPr>
        <w:t>Integration</w:t>
      </w:r>
      <w:r>
        <w:rPr>
          <w:rFonts w:ascii="Times New Roman;sans-serif" w:hAnsi="Times New Roman;sans-serif"/>
          <w:b w:val="false"/>
          <w:color w:val="000000"/>
          <w:sz w:val="22"/>
        </w:rPr>
        <w:t>. This Agreement and the other Credit Documents represent the agreement of Holdings, the Borrower, the Texas Intermediate Holdcos, the Collateral Agent, the Administrative Agent and the Lenders with respect to the subject matter hereof, and there are no promises, undertakings, representations or warranties by Holdings, the Borrower, the Administrative Agent, the Collateral Agent or any Lender relative to subject matter hereof not expressly set forth or referred to herein or in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13.12    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AND THE RIGHTS AND OBLIGATIONS OF THE PARTIES HEREUNDER SHALL BE GOVERNED BY, AND CONSTRUED AND INTERPRETED IN ACCORDANCE WITH, THE LAW OF THE STATE OF NEW YORK.</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13.13    </w:t>
      </w:r>
      <w:r>
        <w:rPr>
          <w:rFonts w:ascii="Times New Roman;sans-serif" w:hAnsi="Times New Roman;sans-serif"/>
          <w:b w:val="false"/>
          <w:color w:val="000000"/>
          <w:sz w:val="22"/>
          <w:u w:val="single"/>
        </w:rPr>
        <w:t>Submission to Jurisdiction; Waivers</w:t>
      </w:r>
      <w:r>
        <w:rPr>
          <w:rFonts w:ascii="Times New Roman;sans-serif" w:hAnsi="Times New Roman;sans-serif"/>
          <w:b w:val="false"/>
          <w:color w:val="000000"/>
          <w:sz w:val="22"/>
        </w:rPr>
        <w:t>. Each party hereto irrevocably and unconditionally: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Times New Roman;sans-serif" w:hAnsi="Times New Roman;sans-serif"/>
          <w:b w:val="false"/>
          <w:color w:val="000000"/>
          <w:sz w:val="22"/>
          <w:u w:val="single"/>
        </w:rPr>
        <w:t>Schedule 13.2</w:t>
      </w:r>
      <w:r>
        <w:rPr>
          <w:color w:val="000000"/>
        </w:rPr>
        <w:t xml:space="preserve"> </w:t>
      </w:r>
      <w:r>
        <w:rPr>
          <w:rFonts w:ascii="Times New Roman;sans-serif" w:hAnsi="Times New Roman;sans-serif"/>
          <w:b w:val="false"/>
          <w:color w:val="000000"/>
          <w:sz w:val="22"/>
        </w:rPr>
        <w:t xml:space="preserve">at such other address of which the Administrative Agent shall have been notified pursuant to </w:t>
      </w:r>
      <w:r>
        <w:rPr>
          <w:rFonts w:ascii="Times New Roman;sans-serif" w:hAnsi="Times New Roman;sans-serif"/>
          <w:b w:val="false"/>
          <w:color w:val="000000"/>
          <w:sz w:val="22"/>
          <w:u w:val="single"/>
        </w:rPr>
        <w:t>Section 13.2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agrees that nothing herein shall affect the right of the Administrative Agent, any Lender or another Secured Party to effect service of process in any other manner permitted by law or to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commence legal proceedings or otherwise proceed against the Borrower or any other Credit Party in any other jurisdiction;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waives, to the maximum extent not prohibited by law, any right it may have to claim or recover in any legal action or proceeding referred to in this </w:t>
      </w:r>
      <w:r>
        <w:rPr>
          <w:rFonts w:ascii="Times New Roman;sans-serif" w:hAnsi="Times New Roman;sans-serif"/>
          <w:b w:val="false"/>
          <w:color w:val="000000"/>
          <w:sz w:val="22"/>
          <w:u w:val="single"/>
        </w:rPr>
        <w:t>Section 13.13</w:t>
      </w:r>
      <w:r>
        <w:rPr>
          <w:color w:val="000000"/>
        </w:rPr>
        <w:t xml:space="preserve"> </w:t>
      </w:r>
      <w:r>
        <w:rPr>
          <w:rFonts w:ascii="Times New Roman;sans-serif" w:hAnsi="Times New Roman;sans-serif"/>
          <w:b w:val="false"/>
          <w:color w:val="000000"/>
          <w:sz w:val="22"/>
        </w:rPr>
        <w:t xml:space="preserve">any special, exemplary, punitive or consequential damages;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nothing in this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 xml:space="preserve">shall limit the Credit Parties’ indemnification obligations set forth in </w:t>
      </w:r>
      <w:r>
        <w:rPr>
          <w:rFonts w:ascii="Times New Roman;sans-serif" w:hAnsi="Times New Roman;sans-serif"/>
          <w:b w:val="false"/>
          <w:color w:val="000000"/>
          <w:sz w:val="22"/>
          <w:u w:val="single"/>
        </w:rPr>
        <w:t>Section 13.5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13.14    </w:t>
      </w:r>
      <w:r>
        <w:rPr>
          <w:rFonts w:ascii="Times New Roman;sans-serif" w:hAnsi="Times New Roman;sans-serif"/>
          <w:b w:val="false"/>
          <w:color w:val="000000"/>
          <w:sz w:val="22"/>
          <w:u w:val="single"/>
        </w:rPr>
        <w:t>Acknowledgments</w:t>
      </w:r>
      <w:r>
        <w:rPr>
          <w:rFonts w:ascii="Times New Roman;sans-serif" w:hAnsi="Times New Roman;sans-serif"/>
          <w:b w:val="false"/>
          <w:color w:val="000000"/>
          <w:sz w:val="22"/>
        </w:rPr>
        <w:t>. Each of Holdings, each Texas Intermediate Holdco and the Borrower hereby acknowledges that: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it has been advised by counsel in the negotiation, execution, and delivery of this Agreement and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color w:val="000000"/>
        </w:rPr>
        <w:t>    </w:t>
      </w:r>
      <w:r>
        <w:rPr>
          <w:rFonts w:ascii="Times New Roman;sans-serif" w:hAnsi="Times New Roman;sans-serif"/>
          <w:b w:val="false"/>
          <w:color w:val="000000"/>
          <w:sz w:val="22"/>
        </w:rPr>
        <w:t xml:space="preserve">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color w:val="000000"/>
        </w:rPr>
        <w:t>    </w:t>
      </w:r>
      <w:r>
        <w:rPr>
          <w:rFonts w:ascii="Times New Roman;sans-serif" w:hAnsi="Times New Roman;sans-serif"/>
          <w:b w:val="false"/>
          <w:color w:val="000000"/>
          <w:sz w:val="22"/>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(iv)    </w:t>
      </w:r>
      <w:r>
        <w:rPr>
          <w:color w:val="000000"/>
        </w:rPr>
        <w:t>    </w:t>
      </w:r>
      <w:r>
        <w:rPr>
          <w:rFonts w:ascii="Times New Roman;sans-serif" w:hAnsi="Times New Roman;sans-serif"/>
          <w:b w:val="false"/>
          <w:color w:val="000000"/>
          <w:sz w:val="22"/>
        </w:rPr>
        <w:t>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(v)    </w:t>
      </w:r>
      <w:r>
        <w:rPr>
          <w:color w:val="000000"/>
        </w:rPr>
        <w:t>    </w:t>
      </w:r>
      <w:r>
        <w:rPr>
          <w:rFonts w:ascii="Times New Roman;sans-serif" w:hAnsi="Times New Roman;sans-serif"/>
          <w:b w:val="false"/>
          <w:color w:val="000000"/>
          <w:sz w:val="22"/>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Holdings, the Texas Intermediate Holdcos and the Borrower has consulted its own legal, accounting, regulatory and tax advisors to the extent it has deemed appropriate. Each of Holdings, the Texas Intermediate Holdcos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no joint venture is created hereby or by the other Credit Documents or otherwise exists by virtue of the transactions contemplated hereby among the Lenders or among Holdings, the Texas Intermediate Holdcos and the Borrower, on the one hand, and any Lender, on the other hand.</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13.15    </w:t>
      </w:r>
      <w:r>
        <w:rPr>
          <w:rFonts w:ascii="Times New Roman;sans-serif" w:hAnsi="Times New Roman;sans-serif"/>
          <w:b w:val="false"/>
          <w:color w:val="000000"/>
          <w:sz w:val="22"/>
          <w:u w:val="single"/>
        </w:rPr>
        <w:t>WAIVERS OF JURY TRIAL</w:t>
      </w:r>
      <w:r>
        <w:rPr>
          <w:rFonts w:ascii="Times New Roman;sans-serif" w:hAnsi="Times New Roman;sans-serif"/>
          <w:b w:val="false"/>
          <w:color w:val="000000"/>
          <w:sz w:val="22"/>
        </w:rPr>
        <w:t>. EACH PARTY HERETO IRREVOCABLY AND UNCONDITIONALLY WAIVE (TO THE EXTENT PERMITTED BY APPLICABLE LAW) TRIAL BY JURY IN ANY LEGAL ACTION OR PROCEEDING RELATING TO THIS AGREEMENT OR ANY OTHER CREDIT DOCUMENT AND FOR ANY COUNTERCLAIM THEREIN.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13.16    </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The Administrative Agent, each other Agent and each Lender (collectively, the “</w:t>
      </w:r>
      <w:r>
        <w:rPr>
          <w:rFonts w:ascii="Times New Roman;sans-serif" w:hAnsi="Times New Roman;sans-serif"/>
          <w:b/>
          <w:color w:val="000000"/>
          <w:sz w:val="22"/>
        </w:rPr>
        <w:t>Restricted Persons</w:t>
      </w:r>
      <w:r>
        <w:rPr>
          <w:color w:val="000000"/>
        </w:rPr>
        <w:t xml:space="preserve">” </w:t>
      </w:r>
      <w:r>
        <w:rPr>
          <w:rFonts w:ascii="Times New Roman;sans-serif" w:hAnsi="Times New Roman;sans-serif"/>
          <w:b w:val="false"/>
          <w:color w:val="000000"/>
          <w:sz w:val="22"/>
        </w:rPr>
        <w:t>and, each a “</w:t>
      </w:r>
      <w:r>
        <w:rPr>
          <w:rFonts w:ascii="Times New Roman;sans-serif" w:hAnsi="Times New Roman;sans-serif"/>
          <w:b/>
          <w:color w:val="000000"/>
          <w:sz w:val="22"/>
        </w:rPr>
        <w:t>Restricted Person</w:t>
      </w:r>
      <w:r>
        <w:rPr>
          <w:color w:val="000000"/>
        </w:rPr>
        <w:t>”</w:t>
      </w:r>
      <w:r>
        <w:rPr>
          <w:rFonts w:ascii="Times New Roman;sans-serif" w:hAnsi="Times New Roman;sans-serif"/>
          <w:b w:val="false"/>
          <w:color w:val="000000"/>
          <w:sz w:val="22"/>
        </w:rPr>
        <w:t>) shall treat confidentially all non-public information provided to any Restricted Person by or on behalf of any Credit Party hereunder in connection with such Restricted Person’s evaluation of whether to become a Lender hereunder or obtained by such Restricted Person pursuant to the requirements of this Agreement (“</w:t>
      </w:r>
      <w:r>
        <w:rPr>
          <w:rFonts w:ascii="Times New Roman;sans-serif" w:hAnsi="Times New Roman;sans-serif"/>
          <w:b/>
          <w:color w:val="000000"/>
          <w:sz w:val="22"/>
        </w:rPr>
        <w:t>Confidential Information</w:t>
      </w:r>
      <w:r>
        <w:rPr>
          <w:color w:val="000000"/>
        </w:rPr>
        <w:t>”</w:t>
      </w:r>
      <w:r>
        <w:rPr>
          <w:rFonts w:ascii="Times New Roman;sans-serif" w:hAnsi="Times New Roman;sans-serif"/>
          <w:b w:val="false"/>
          <w:color w:val="000000"/>
          <w:sz w:val="22"/>
        </w:rPr>
        <w:t xml:space="preserve">) and shall not publish, disclose or otherwise divulge such Confidential Information;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 xml:space="preserve">,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Times New Roman;sans-serif" w:hAnsi="Times New Roman;sans-serif"/>
          <w:b w:val="false"/>
          <w:color w:val="000000"/>
          <w:sz w:val="22"/>
          <w:u w:val="single"/>
        </w:rPr>
        <w:t>Section 13.16</w:t>
      </w:r>
      <w:r>
        <w:rPr>
          <w:color w:val="000000"/>
        </w:rPr>
        <w:t xml:space="preserve"> </w:t>
      </w:r>
      <w:r>
        <w:rPr>
          <w:rFonts w:ascii="Times New Roman;sans-serif" w:hAnsi="Times New Roman;sans-serif"/>
          <w:b w:val="false"/>
          <w:color w:val="000000"/>
          <w:sz w:val="22"/>
        </w:rPr>
        <w:t xml:space="preserve">(or confidentiality provisions at least as restrictive as those set forth in this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 (with each such Restricted Person, to the extent within its control, responsible for such person’s compliance with this paragraph), (g) to potential or prospective Lenders, hedge providers (or other derivative transaction counterparties) (any such person, a “</w:t>
      </w:r>
      <w:r>
        <w:rPr>
          <w:rFonts w:ascii="Times New Roman;sans-serif" w:hAnsi="Times New Roman;sans-serif"/>
          <w:b/>
          <w:color w:val="000000"/>
          <w:sz w:val="22"/>
        </w:rPr>
        <w:t>Derivative Counterparty</w:t>
      </w:r>
      <w:r>
        <w:rPr>
          <w:color w:val="000000"/>
        </w:rPr>
        <w:t>”</w:t>
      </w:r>
      <w:r>
        <w:rPr>
          <w:rFonts w:ascii="Times New Roman;sans-serif" w:hAnsi="Times New Roman;sans-serif"/>
          <w:b w:val="false"/>
          <w:color w:val="000000"/>
          <w:sz w:val="22"/>
        </w:rPr>
        <w:t xml:space="preserve">), participants or assignees, in each case who agree (pursuant to customary syndication practice) to be bound by the terms of this </w:t>
      </w:r>
      <w:r>
        <w:rPr>
          <w:rFonts w:ascii="Times New Roman;sans-serif" w:hAnsi="Times New Roman;sans-serif"/>
          <w:b w:val="false"/>
          <w:color w:val="000000"/>
          <w:sz w:val="22"/>
          <w:u w:val="single"/>
        </w:rPr>
        <w:t>Section 13.16</w:t>
      </w:r>
      <w:r>
        <w:rPr>
          <w:color w:val="000000"/>
        </w:rPr>
        <w:t xml:space="preserve"> </w:t>
      </w:r>
      <w:r>
        <w:rPr>
          <w:rFonts w:ascii="Times New Roman;sans-serif" w:hAnsi="Times New Roman;sans-serif"/>
          <w:b w:val="false"/>
          <w:color w:val="000000"/>
          <w:sz w:val="22"/>
        </w:rPr>
        <w:t xml:space="preserve">(or confidentiality provisions at least as restrictive as those set forth in this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 the disclosure of any such Confidential Information to any Lenders, Derivative Counterparties or prospective Lenders, Derivative Counterparties or participants or prospective participants referred to above shall be made subject to the acknowledgment and acceptance by such Lender, Derivative Counterparty or prospective Lender or participant or prospective participant that such Confidential Information is being disseminated on a confidential basis (on substantially the terms set forth in this </w:t>
      </w:r>
      <w:r>
        <w:rPr>
          <w:rFonts w:ascii="Times New Roman;sans-serif" w:hAnsi="Times New Roman;sans-serif"/>
          <w:b w:val="false"/>
          <w:color w:val="000000"/>
          <w:sz w:val="22"/>
          <w:u w:val="single"/>
        </w:rPr>
        <w:t>Section 13.16</w:t>
      </w:r>
      <w:r>
        <w:rPr>
          <w:color w:val="000000"/>
        </w:rPr>
        <w:t xml:space="preserve"> </w:t>
      </w:r>
      <w:r>
        <w:rPr>
          <w:rFonts w:ascii="Times New Roman;sans-serif" w:hAnsi="Times New Roman;sans-serif"/>
          <w:b w:val="false"/>
          <w:color w:val="000000"/>
          <w:sz w:val="22"/>
        </w:rPr>
        <w:t xml:space="preserve">or confidentiality provisions at least as restrictive as those set forth in this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such Restricted Person to any person that is at such time a Disqualified Lender, (h) for purposes of establishing a “due diligence” defense, or (i) to rating agencies in connection with obtaining ratings for the Borrower and the Facilities to the extent such rating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agencies are subject to customary confidentiality obligations of professional practice or agree to be bound by the terms of this </w:t>
      </w:r>
      <w:r>
        <w:rPr>
          <w:rFonts w:ascii="Times New Roman;sans-serif" w:hAnsi="Times New Roman;sans-serif"/>
          <w:b w:val="false"/>
          <w:color w:val="000000"/>
          <w:sz w:val="22"/>
          <w:u w:val="single"/>
        </w:rPr>
        <w:t>Section 13.16</w:t>
      </w:r>
      <w:r>
        <w:rPr>
          <w:color w:val="000000"/>
        </w:rPr>
        <w:t xml:space="preserve"> </w:t>
      </w:r>
      <w:r>
        <w:rPr>
          <w:rFonts w:ascii="Times New Roman;sans-serif" w:hAnsi="Times New Roman;sans-serif"/>
          <w:b w:val="false"/>
          <w:color w:val="000000"/>
          <w:sz w:val="22"/>
        </w:rPr>
        <w:t xml:space="preserve">(or confidentiality provisions at least as restrictive as those set forth in this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 xml:space="preserve">). Notwithstanding the foregoing, (i) Confidential Information shall not include, with respect to any Person, information available to it or its Affiliates on a non-confidential basis from a source other than the Borrower, its Subsidiaries or its Affiliates, (ii) the Administrative Agent shall not be responsible for compliance with this </w:t>
      </w:r>
      <w:r>
        <w:rPr>
          <w:rFonts w:ascii="Times New Roman;sans-serif" w:hAnsi="Times New Roman;sans-serif"/>
          <w:b w:val="false"/>
          <w:color w:val="000000"/>
          <w:sz w:val="22"/>
          <w:u w:val="single"/>
        </w:rPr>
        <w:t>Section 13.16</w:t>
      </w:r>
      <w:r>
        <w:rPr>
          <w:color w:val="000000"/>
        </w:rPr>
        <w:t xml:space="preserve"> </w:t>
      </w:r>
      <w:r>
        <w:rPr>
          <w:rFonts w:ascii="Times New Roman;sans-serif" w:hAnsi="Times New Roman;sans-serif"/>
          <w:b w:val="false"/>
          <w:color w:val="000000"/>
          <w:sz w:val="22"/>
        </w:rPr>
        <w:t xml:space="preserve">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13.17    </w:t>
      </w:r>
      <w:r>
        <w:rPr>
          <w:rFonts w:ascii="Times New Roman;sans-serif" w:hAnsi="Times New Roman;sans-serif"/>
          <w:b w:val="false"/>
          <w:color w:val="000000"/>
          <w:sz w:val="22"/>
          <w:u w:val="single"/>
        </w:rPr>
        <w:t>Direct Website Communications</w:t>
      </w:r>
      <w:r>
        <w:rPr>
          <w:rFonts w:ascii="Times New Roman;sans-serif" w:hAnsi="Times New Roman;sans-serif"/>
          <w:b w:val="false"/>
          <w:color w:val="000000"/>
          <w:sz w:val="22"/>
        </w:rPr>
        <w:t>.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w:t>
      </w:r>
      <w:r>
        <w:rPr>
          <w:rFonts w:ascii="Times New Roman;sans-serif" w:hAnsi="Times New Roman;sans-serif"/>
          <w:b/>
          <w:color w:val="0000FF"/>
          <w:sz w:val="22"/>
          <w:u w:val="single"/>
        </w:rPr>
        <w:t>)</w:t>
      </w:r>
      <w:r>
        <w:rPr>
          <w:rFonts w:ascii="Times New Roman;sans-serif" w:hAnsi="Times New Roman;sans-serif"/>
          <w:b w:val="false"/>
          <w:color w:val="000000"/>
          <w:sz w:val="22"/>
        </w:rPr>
        <w:t>,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Times New Roman;sans-serif" w:hAnsi="Times New Roman;sans-serif"/>
          <w:b/>
          <w:color w:val="000000"/>
          <w:sz w:val="22"/>
        </w:rPr>
        <w:t>Communications</w:t>
      </w:r>
      <w:r>
        <w:rPr>
          <w:color w:val="000000"/>
        </w:rPr>
        <w:t>”</w:t>
      </w:r>
      <w:r>
        <w:rPr>
          <w:rFonts w:ascii="Times New Roman;sans-serif" w:hAnsi="Times New Roman;sans-serif"/>
          <w:b w:val="false"/>
          <w:color w:val="000000"/>
          <w:sz w:val="22"/>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 xml:space="preserve">(i) 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Times New Roman;sans-serif" w:hAnsi="Times New Roman;sans-serif"/>
          <w:b w:val="false"/>
          <w:color w:val="000000"/>
          <w:sz w:val="22"/>
          <w:u w:val="single"/>
        </w:rPr>
        <w:t>Section 13.17</w:t>
      </w:r>
      <w:r>
        <w:rPr>
          <w:color w:val="000000"/>
        </w:rPr>
        <w:t xml:space="preserve"> </w:t>
      </w:r>
      <w:r>
        <w:rPr>
          <w:rFonts w:ascii="Times New Roman;sans-serif" w:hAnsi="Times New Roman;sans-serif"/>
          <w:b w:val="false"/>
          <w:color w:val="000000"/>
          <w:sz w:val="22"/>
        </w:rPr>
        <w:t>shall prejudice the right of the Borrower, the Administrative Agent, any other Agent or any Lender to give any notice or other communication pursuant to any Credit Document in any other manner specified in such Credit Document.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The Borrower further agrees that any Agent may make the Communications available to the Lenders by posting the Communications on Intralinks or a substantially similar electronic transmission system (the “</w:t>
      </w:r>
      <w:r>
        <w:rPr>
          <w:rFonts w:ascii="Times New Roman;sans-serif" w:hAnsi="Times New Roman;sans-serif"/>
          <w:b/>
          <w:color w:val="000000"/>
          <w:sz w:val="22"/>
        </w:rPr>
        <w:t>Platform</w:t>
      </w:r>
      <w:r>
        <w:rPr>
          <w:color w:val="000000"/>
        </w:rPr>
        <w:t>”</w:t>
      </w:r>
      <w:r>
        <w:rPr>
          <w:rFonts w:ascii="Times New Roman;sans-serif" w:hAnsi="Times New Roman;sans-serif"/>
          <w:b w:val="false"/>
          <w:color w:val="000000"/>
          <w:sz w:val="22"/>
        </w:rPr>
        <w:t xml:space="preserve">), so long as the access to such Platform (i) is limited to the Agents, the Lenders and Transferees or prospective Transferees and (ii) remains subject to the confidentiality requirements set forth in </w:t>
      </w:r>
      <w:r>
        <w:rPr>
          <w:rFonts w:ascii="Times New Roman;sans-serif" w:hAnsi="Times New Roman;sans-serif"/>
          <w:b w:val="false"/>
          <w:color w:val="000000"/>
          <w:sz w:val="22"/>
          <w:u w:val="single"/>
        </w:rPr>
        <w:t>Section 13.16</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PLATFORM IS PROVIDED “AS IS” AND “AS AVAILABLE.” THE AGENT PARTIES DO NOT WARRANT THE ACCURACY OR COMPLETENESS OF ANY MATERIALS OR INFORMATION PROVIDED BY THE CREDIT PARTIES (THE “</w:t>
      </w:r>
      <w:r>
        <w:rPr>
          <w:rFonts w:ascii="Times New Roman;sans-serif" w:hAnsi="Times New Roman;sans-serif"/>
          <w:b/>
          <w:color w:val="000000"/>
          <w:sz w:val="22"/>
        </w:rPr>
        <w:t>BORROWER MATERIALS</w:t>
      </w:r>
      <w:r>
        <w:rPr>
          <w:color w:val="000000"/>
        </w:rPr>
        <w:t>”</w:t>
      </w:r>
      <w:r>
        <w:rPr>
          <w:rFonts w:ascii="Times New Roman;sans-serif" w:hAnsi="Times New Roman;sans-serif"/>
          <w:b w:val="false"/>
          <w:color w:val="000000"/>
          <w:sz w:val="22"/>
        </w:rPr>
        <w:t xml:space="preserve">) OR THE ADEQUACY OF THE PLATFORM, AND EXPRESSLY DISCLAIM LIABILITY FOR ERRORS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ans-serif" w:hAnsi="Times New Roman;sans-serif"/>
          <w:b/>
          <w:color w:val="000000"/>
          <w:sz w:val="22"/>
        </w:rPr>
        <w:t>Agent Parties</w:t>
      </w:r>
      <w:r>
        <w:rPr>
          <w:color w:val="000000"/>
        </w:rPr>
        <w:t xml:space="preserve">” </w:t>
      </w:r>
      <w:r>
        <w:rPr>
          <w:rFonts w:ascii="Times New Roman;sans-serif" w:hAnsi="Times New Roman;sans-serif"/>
          <w:b w:val="false"/>
          <w:color w:val="000000"/>
          <w:sz w:val="22"/>
        </w:rPr>
        <w:t>and each an “</w:t>
      </w:r>
      <w:r>
        <w:rPr>
          <w:rFonts w:ascii="Times New Roman;sans-serif" w:hAnsi="Times New Roman;sans-serif"/>
          <w:b/>
          <w:color w:val="000000"/>
          <w:sz w:val="22"/>
        </w:rPr>
        <w:t>Agent Party</w:t>
      </w:r>
      <w:r>
        <w:rPr>
          <w:color w:val="000000"/>
        </w:rPr>
        <w:t>”</w:t>
      </w:r>
      <w:r>
        <w:rPr>
          <w:rFonts w:ascii="Times New Roman;sans-serif" w:hAnsi="Times New Roman;sans-serif"/>
          <w:b w:val="false"/>
          <w:color w:val="000000"/>
          <w:sz w:val="22"/>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The Borrower and each Lender acknowledge that certain of the Lenders may be “public-side” Lenders (Lenders that do not wish to receive material non-public information with respect to the Borrower, the Subsidiaries or their securities) and, if documents or notices required to be delivered pursuant to the Credit Documents or otherwise are being distributed through the Platform, any document or notice that the Borrower has indicated contains only publicly available information with respect to the Borrower may be posted on that portion of the Platform designated for such public-side Lenders. If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the Borrower, the Subsidiaries and their securities. Notwithstanding the foregoing, the Borrower shall use commercially reasonable efforts to indicate whether any document or notice contains only publicly available information;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Times New Roman;sans-serif" w:hAnsi="Times New Roman;sans-serif"/>
          <w:b w:val="false"/>
          <w:color w:val="000000"/>
          <w:sz w:val="22"/>
          <w:u w:val="single"/>
        </w:rPr>
        <w:t>Sections 9.1(a)</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13.18    </w:t>
      </w:r>
      <w:r>
        <w:rPr>
          <w:rFonts w:ascii="Times New Roman;sans-serif" w:hAnsi="Times New Roman;sans-serif"/>
          <w:b w:val="false"/>
          <w:color w:val="000000"/>
          <w:sz w:val="22"/>
          <w:u w:val="single"/>
        </w:rPr>
        <w:t>USA PATRIOT Act</w:t>
      </w:r>
      <w:r>
        <w:rPr>
          <w:rFonts w:ascii="Times New Roman;sans-serif" w:hAnsi="Times New Roman;sans-serif"/>
          <w:b w:val="false"/>
          <w:color w:val="000000"/>
          <w:sz w:val="22"/>
        </w:rPr>
        <w:t>. Each Lender hereby notifies each Credit Party that, pursuant to the requirements of the USA PATRIOT Act (Title III of Pub. L. 107-56 (signed into law October 26, 2001)) (as amended, supplemented or modified from time to time, the “</w:t>
      </w:r>
      <w:r>
        <w:rPr>
          <w:rFonts w:ascii="Times New Roman;sans-serif" w:hAnsi="Times New Roman;sans-serif"/>
          <w:b/>
          <w:color w:val="000000"/>
          <w:sz w:val="22"/>
        </w:rPr>
        <w:t>Patriot Act</w:t>
      </w:r>
      <w:r>
        <w:rPr>
          <w:color w:val="000000"/>
        </w:rPr>
        <w:t>”</w:t>
      </w:r>
      <w:r>
        <w:rPr>
          <w:rFonts w:ascii="Times New Roman;sans-serif" w:hAnsi="Times New Roman;sans-serif"/>
          <w:b w:val="false"/>
          <w:color w:val="000000"/>
          <w:sz w:val="22"/>
        </w:rPr>
        <w:t>) and 31 C.F.R. § 1010.320 (the “</w:t>
      </w:r>
      <w:r>
        <w:rPr>
          <w:rFonts w:ascii="Times New Roman;sans-serif" w:hAnsi="Times New Roman;sans-serif"/>
          <w:b/>
          <w:color w:val="000000"/>
          <w:sz w:val="22"/>
        </w:rPr>
        <w:t>Beneficial Ownership Regulation</w:t>
      </w:r>
      <w:r>
        <w:rPr>
          <w:color w:val="000000"/>
        </w:rPr>
        <w:t>”</w:t>
      </w:r>
      <w:r>
        <w:rPr>
          <w:rFonts w:ascii="Times New Roman;sans-serif" w:hAnsi="Times New Roman;sans-serif"/>
          <w:b w:val="false"/>
          <w:color w:val="000000"/>
          <w:sz w:val="22"/>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 the Beneficial Ownership Regulation and other applicable “know your customer” and anti-money laundering rules and regulations.</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13.19    </w:t>
      </w:r>
      <w:r>
        <w:rPr>
          <w:rFonts w:ascii="Times New Roman;sans-serif" w:hAnsi="Times New Roman;sans-serif"/>
          <w:b w:val="false"/>
          <w:color w:val="000000"/>
          <w:sz w:val="22"/>
          <w:u w:val="single"/>
        </w:rPr>
        <w:t>Cashless Settlement</w:t>
      </w:r>
      <w:r>
        <w:rPr>
          <w:rFonts w:ascii="Times New Roman;sans-serif" w:hAnsi="Times New Roman;sans-serif"/>
          <w:b w:val="false"/>
          <w:color w:val="000000"/>
          <w:sz w:val="22"/>
        </w:rPr>
        <w:t xml:space="preserve">. Notwithstanding anything to the contrary contained in this Agreement, any Lender may exchange, continue or rollover all or a portion of its Term Loans in connection with any refinancing, extension, loan modification or similar transaction permitted by the terms of this Agreement, pursuant to a cashless settlement mechanism approved by the Borrower, the Administrative Agent and such Lender.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13.20    </w:t>
      </w:r>
      <w:r>
        <w:rPr>
          <w:rFonts w:ascii="Times New Roman;sans-serif" w:hAnsi="Times New Roman;sans-serif"/>
          <w:b w:val="false"/>
          <w:color w:val="000000"/>
          <w:sz w:val="22"/>
          <w:u w:val="single"/>
        </w:rPr>
        <w:t>Payments Set Aside</w:t>
      </w:r>
      <w:r>
        <w:rPr>
          <w:rFonts w:ascii="Times New Roman;sans-serif" w:hAnsi="Times New Roman;sans-serif"/>
          <w:b w:val="false"/>
          <w:color w:val="000000"/>
          <w:sz w:val="22"/>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13.21    </w:t>
      </w:r>
      <w:r>
        <w:rPr>
          <w:rFonts w:ascii="Times New Roman;sans-serif" w:hAnsi="Times New Roman;sans-serif"/>
          <w:b w:val="false"/>
          <w:color w:val="000000"/>
          <w:sz w:val="22"/>
          <w:u w:val="single"/>
        </w:rPr>
        <w:t>No Fiduciary Duty</w:t>
      </w:r>
      <w:r>
        <w:rPr>
          <w:rFonts w:ascii="Times New Roman;sans-serif" w:hAnsi="Times New Roman;sans-serif"/>
          <w:b w:val="false"/>
          <w:color w:val="000000"/>
          <w:sz w:val="22"/>
        </w:rPr>
        <w:t>. Each Agent, each Lender and their Affiliates (collectively, solely for purposes of this paragraph, the “</w:t>
      </w:r>
      <w:r>
        <w:rPr>
          <w:rFonts w:ascii="Times New Roman;sans-serif" w:hAnsi="Times New Roman;sans-serif"/>
          <w:b/>
          <w:color w:val="000000"/>
          <w:sz w:val="22"/>
        </w:rPr>
        <w:t>Lenders</w:t>
      </w:r>
      <w:r>
        <w:rPr>
          <w:color w:val="000000"/>
        </w:rPr>
        <w:t>”</w:t>
      </w:r>
      <w:r>
        <w:rPr>
          <w:rFonts w:ascii="Times New Roman;sans-serif" w:hAnsi="Times New Roman;sans-serif"/>
          <w:b w:val="false"/>
          <w:color w:val="000000"/>
          <w:sz w:val="22"/>
        </w:rPr>
        <w:t>), may have economic interests that conflict with those of the Credit Parties, their stockholders and/or their affiliates. Each Credit Party agrees that nothing in the Credit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Credit Documents and (y) each Lender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13.22    </w:t>
      </w:r>
      <w:r>
        <w:rPr>
          <w:rFonts w:ascii="Times New Roman;sans-serif" w:hAnsi="Times New Roman;sans-serif"/>
          <w:b w:val="false"/>
          <w:color w:val="000000"/>
          <w:sz w:val="22"/>
          <w:u w:val="single"/>
        </w:rPr>
        <w:t>Nature of Borrower Obligations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Notwithstanding anything to the contrary contained elsewhere in this Agreement, it is understood and agreed by the various parties to this Agreement that all of the Borrower’s Obligations to repay principal of, interest on, and all other amounts with respect to, all Loans and all other Obligations of the Borrower pursuant to this Agreement (including, without limitation, all fees, indemnities, taxes and other Obligations in connection therewith or in connection with the related Commitments) shall be guaranteed pursuant to, and in accordance with the terms of, the Guarantee.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obligations of the Borrower with respect to the Borrower’s Obligations are independent of the obligations of any Guarantor under its guaranty of the Borrower’s Obligations, and a separate action or actions may be brought and prosecuted against the Borrower, whether or not any such Guarantor is joined in any such action or actions. The Borrower waives, to the fullest extent permitted by law, the benefit of any statute of limitations affecting its liability hereunder or the enforcement thereof.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The Borrower authorizes the Administrative Agent and the Lenders without notice or demand (except as shall be required by the Credit Documents and applicable statute that cannot be waived), and without affecting or impairing its liability hereunder, from time to time to:</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exercise or refrain from exercising any rights against any Guarantor or others or otherwise act or refrain from acting;</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 xml:space="preserve">apply any sums paid by any other Person, howsoever realized or otherwise received to or for the account of the Borrower to any liability or liabilities of such other Person regardless of what liability or liabilities of such other Person remain unpaid; and/or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consent to or waive any breach of, or act, omission or default under, this Agreement or any of the instruments or agreements referred to herein, or otherwise, by any other Person.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It is not necessary for the Administrative Agent or any other Lender to inquire into the capacity or powers of Holdings or any of its Subsidiaries or the officers, directors, members, partners or agents acting or purporting to act on its behalf.</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The Borrower waives any right to require the Administrative Agent or the other Lenders to (i) proceed against any Guarantor or any other party, (ii) proceed against or exhaust any security held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from any Guarantor or any other party or (iii) pursue any other remedy in the Administrative Agent’s or the Lenders’ power whatsoever. The Borrower waives any defense based on or arising out of suretyship or any impairment of security held from the Borrower, any Guarantor or any other party or on or arising out of any defense of any Guarantor or any other party other than payment in full in cash of the Obligations of the Credit Parties, including, without limitation, any defense based on or arising out of the disability of any Guarantor or any other party, or the unenforceability of the Obligations of the Borrower or any part thereof from any cause, in each case other than as a result of the payment in full in cash of the Obligations of the Borrower.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 xml:space="preserve">All provisions contained in any Credit Document shall be interpreted consistently with this </w:t>
      </w:r>
      <w:r>
        <w:rPr>
          <w:rFonts w:ascii="Times New Roman;sans-serif" w:hAnsi="Times New Roman;sans-serif"/>
          <w:b w:val="false"/>
          <w:color w:val="000000"/>
          <w:sz w:val="22"/>
          <w:u w:val="single"/>
        </w:rPr>
        <w:t>Section 13.22</w:t>
      </w:r>
      <w:r>
        <w:rPr>
          <w:color w:val="000000"/>
        </w:rPr>
        <w:t xml:space="preserve"> </w:t>
      </w:r>
      <w:r>
        <w:rPr>
          <w:rFonts w:ascii="Times New Roman;sans-serif" w:hAnsi="Times New Roman;sans-serif"/>
          <w:b w:val="false"/>
          <w:color w:val="000000"/>
          <w:sz w:val="22"/>
        </w:rPr>
        <w:t>to the extent possible.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13.23    </w:t>
      </w:r>
      <w:r>
        <w:rPr>
          <w:rFonts w:ascii="Times New Roman;sans-serif" w:hAnsi="Times New Roman;sans-serif"/>
          <w:b w:val="false"/>
          <w:color w:val="000000"/>
          <w:sz w:val="22"/>
          <w:u w:val="single"/>
        </w:rPr>
        <w:t>Amendment and Restatement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Credit Parties, the Administrative Agent and the Lenders hereby agree that upon the effectiveness of the Existing Restated Credit Agreement, the terms and provisions of the Existing Term Loan Facility shall have been and thereby were amended and restated in their entirety by the terms and conditions of the Existing Restated Credit Agreement and the terms and provisions of the Existing Term Loan Facility, except as otherwise provided in this Agreement (including, without limitation,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13.23</w:t>
      </w:r>
      <w:r>
        <w:rPr>
          <w:rFonts w:ascii="Times New Roman;sans-serif" w:hAnsi="Times New Roman;sans-serif"/>
          <w:b w:val="false"/>
          <w:color w:val="000000"/>
          <w:sz w:val="22"/>
        </w:rPr>
        <w:t>), shall be superseded by the Existing Restated Credit Agreement. Upon the effectiveness of the Existing Restated Credit Agreement, each Credit Document that was in effect immediately prior to the Closing Date shall continue to be effective on its terms unless otherwise expressly stated herein.</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Notwithstanding the amendment and restatement of the Existing Term Loan Facility by the Existing Restated Credit Agreement, the Credit Parties shall continue to be liable (i) to each Indemnified Person with respect to agreements on their part under the Existing Term Loan Facility to indemnify and hold harmless such Indemnified Person from and against all claims, demands, liabilities, damages, losses, costs, charges and expenses to which the Administrative Agent and the Lenders may be subject arising in connection with the Existing Term Loan Facility and (ii) for the Obligations (as defined in the Existing Term Loan Facility) of the Borrower and the other Credit Parties under the Existing Term Loan Facility and the other Credit Documents (as defined in the Existing Term Loan Facility) that remain unpaid and outstanding as of the date of the Existing Restated Credit Agreement and such Obligations shall continue to exist under and be evidenced by the Existing Restated Credit Agreement and the other Credit Documents. The Existing Restated Credit Agreement was given as a substitution of, and not as a payment of, the obligations of the Credit Parties under the Existing Term Loan Facility and was not intended to constitute a novation of the Existing Term Loan Facility.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13.24    </w:t>
      </w:r>
      <w:r>
        <w:rPr>
          <w:rFonts w:ascii="Times New Roman;sans-serif" w:hAnsi="Times New Roman;sans-serif"/>
          <w:b w:val="false"/>
          <w:color w:val="000000"/>
          <w:sz w:val="22"/>
          <w:u w:val="single"/>
        </w:rPr>
        <w:t>Acknowledgement and Consent to Bail-In of Affected Financial Institutions</w:t>
      </w:r>
      <w:r>
        <w:rPr>
          <w:rFonts w:ascii="Times New Roman;sans-serif" w:hAnsi="Times New Roman;sans-serif"/>
          <w:b w:val="false"/>
          <w:color w:val="000000"/>
          <w:sz w:val="22"/>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effects of any Bail-in Action on any such liability, including, if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a reduction in full or in part or cancellation of any such liability;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13.25    </w:t>
      </w:r>
      <w:r>
        <w:rPr>
          <w:rFonts w:ascii="Times New Roman;sans-serif" w:hAnsi="Times New Roman;sans-serif"/>
          <w:b w:val="false"/>
          <w:color w:val="000000"/>
          <w:sz w:val="22"/>
          <w:u w:val="single"/>
        </w:rPr>
        <w:t>Certain ERISA Matters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    </w:t>
      </w:r>
      <w:r>
        <w:rPr>
          <w:rFonts w:ascii="Times New Roman;sans-serif" w:hAnsi="Times New Roman;sans-serif"/>
          <w:b w:val="false"/>
          <w:color w:val="000000"/>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    </w:t>
      </w:r>
      <w:r>
        <w:rPr>
          <w:rFonts w:ascii="Times New Roman;sans-serif" w:hAnsi="Times New Roman;sans-serif"/>
          <w:b w:val="false"/>
          <w:color w:val="000000"/>
          <w:sz w:val="22"/>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(iv)    </w:t>
      </w:r>
      <w:r>
        <w:rPr>
          <w:rFonts w:ascii="Times New Roman;sans-serif" w:hAnsi="Times New Roman;sans-serif"/>
          <w:b w:val="false"/>
          <w:color w:val="000000"/>
          <w:sz w:val="22"/>
        </w:rPr>
        <w:t>such other representation, warranty and covenant as may be agreed in writing between the Administrative Agent, in its sole discretion, and such Lender.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hereto or thereto).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EC – May 2023 Performance RSU Agreement</w:t>
      </w:r>
    </w:p>
    <w:p>
      <w:pPr>
        <w:pStyle w:val="TextBody"/>
        <w:bidi w:val="0"/>
        <w:spacing w:before="0" w:after="0"/>
        <w:jc w:val="right"/>
        <w:rPr/>
      </w:pPr>
      <w:r>
        <w:rPr/>
      </w:r>
    </w:p>
    <w:p>
      <w:pPr>
        <w:pStyle w:val="TextBody"/>
        <w:bidi w:val="0"/>
        <w:spacing w:before="0" w:after="24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br/>
        <w:t>UNDER THE</w:t>
        <w:br/>
        <w:t xml:space="preserve">ACADEMY SPORTS AND OUTDOORS, INC. </w:t>
        <w:br/>
        <w:t>2020 OMNIBUS INCENTIVE PLAN</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Restricted Stock Units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both"/>
        <w:rPr/>
      </w:pPr>
      <w:r>
        <w:rPr>
          <w:rFonts w:ascii="Times New Roman;sans-serif" w:hAnsi="Times New Roman;sans-serif"/>
          <w:b/>
          <w:color w:val="000000"/>
          <w:sz w:val="22"/>
        </w:rPr>
        <w:t>Participant</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First Name</w:t>
      </w:r>
      <w:r>
        <w:rPr>
          <w:rFonts w:ascii="Times New Roman;sans-serif" w:hAnsi="Times New Roman;sans-serif"/>
          <w:b w:val="false"/>
          <w:color w:val="000000"/>
          <w:sz w:val="22"/>
        </w:rPr>
        <w:t>] [</w:t>
      </w:r>
      <w:r>
        <w:rPr>
          <w:rFonts w:ascii="Times New Roman;sans-serif" w:hAnsi="Times New Roman;sans-serif"/>
          <w:b w:val="false"/>
          <w:i/>
          <w:color w:val="000000"/>
          <w:sz w:val="22"/>
        </w:rPr>
        <w:t>Last Name</w:t>
      </w:r>
      <w:r>
        <w:rPr>
          <w:rFonts w:ascii="Times New Roman;sans-serif" w:hAnsi="Times New Roman;sans-serif"/>
          <w:b w:val="false"/>
          <w:color w:val="000000"/>
          <w:sz w:val="22"/>
        </w:rPr>
        <w:t>]</w:t>
      </w:r>
    </w:p>
    <w:p>
      <w:pPr>
        <w:pStyle w:val="TextBody"/>
        <w:bidi w:val="0"/>
        <w:spacing w:lineRule="auto" w:line="240" w:before="0" w:after="0"/>
        <w:ind w:left="0" w:right="0" w:hanging="3600"/>
        <w:jc w:val="both"/>
        <w:rPr/>
      </w:pPr>
      <w:r>
        <w:rPr>
          <w:rFonts w:ascii="Times New Roman;sans-serif" w:hAnsi="Times New Roman;sans-serif"/>
          <w:b/>
          <w:color w:val="000000"/>
          <w:sz w:val="22"/>
        </w:rPr>
        <w:t>Date of Grant</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Date of Grant</w:t>
      </w:r>
      <w:r>
        <w:rPr>
          <w:rFonts w:ascii="Times New Roman;sans-serif" w:hAnsi="Times New Roman;sans-serif"/>
          <w:b w:val="false"/>
          <w:color w:val="000000"/>
          <w:sz w:val="22"/>
        </w:rPr>
        <w:t>]</w:t>
      </w:r>
    </w:p>
    <w:p>
      <w:pPr>
        <w:pStyle w:val="TextBody"/>
        <w:bidi w:val="0"/>
        <w:spacing w:before="0" w:after="0"/>
        <w:ind w:left="0" w:right="0" w:hanging="3600"/>
        <w:jc w:val="both"/>
        <w:rPr/>
      </w:pPr>
      <w:r>
        <w:rPr/>
      </w:r>
    </w:p>
    <w:p>
      <w:pPr>
        <w:pStyle w:val="TextBody"/>
        <w:bidi w:val="0"/>
        <w:spacing w:lineRule="auto" w:line="240" w:before="0" w:after="0"/>
        <w:ind w:left="0" w:right="0" w:hanging="3600"/>
        <w:jc w:val="both"/>
        <w:rPr>
          <w:rFonts w:ascii="Times New Roman;sans-serif" w:hAnsi="Times New Roman;sans-serif"/>
          <w:b/>
          <w:color w:val="000000"/>
          <w:sz w:val="22"/>
        </w:rPr>
      </w:pPr>
      <w:r>
        <w:rPr>
          <w:rFonts w:ascii="Times New Roman;sans-serif" w:hAnsi="Times New Roman;sans-serif"/>
          <w:b/>
          <w:color w:val="000000"/>
          <w:sz w:val="22"/>
        </w:rPr>
        <w:t xml:space="preserve">Target Number of </w:t>
      </w:r>
    </w:p>
    <w:p>
      <w:pPr>
        <w:pStyle w:val="TextBody"/>
        <w:bidi w:val="0"/>
        <w:spacing w:lineRule="auto" w:line="240" w:before="0" w:after="0"/>
        <w:ind w:left="0" w:right="0" w:hanging="3600"/>
        <w:jc w:val="both"/>
        <w:rPr/>
      </w:pPr>
      <w:r>
        <w:rPr>
          <w:rFonts w:ascii="Times New Roman;sans-serif" w:hAnsi="Times New Roman;sans-serif"/>
          <w:b/>
          <w:color w:val="000000"/>
          <w:sz w:val="22"/>
        </w:rPr>
        <w:t>Restricted Stock Units</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Insert Target Number of Restricted Stock Units Granted</w:t>
      </w:r>
      <w:r>
        <w:rPr>
          <w:rFonts w:ascii="Times New Roman;sans-serif" w:hAnsi="Times New Roman;sans-serif"/>
          <w:b w:val="false"/>
          <w:color w:val="000000"/>
          <w:sz w:val="22"/>
        </w:rPr>
        <w:t>]</w:t>
      </w:r>
    </w:p>
    <w:p>
      <w:pPr>
        <w:pStyle w:val="TextBody"/>
        <w:bidi w:val="0"/>
        <w:spacing w:before="0" w:after="0"/>
        <w:ind w:left="0" w:right="0" w:hanging="3600"/>
        <w:jc w:val="both"/>
        <w:rPr/>
      </w:pPr>
      <w:r>
        <w:rPr/>
      </w:r>
    </w:p>
    <w:p>
      <w:pPr>
        <w:pStyle w:val="TextBody"/>
        <w:bidi w:val="0"/>
        <w:spacing w:lineRule="auto" w:line="240" w:before="0" w:after="240"/>
        <w:jc w:val="both"/>
        <w:rPr/>
      </w:pPr>
      <w:r>
        <w:rPr>
          <w:rFonts w:ascii="Times New Roman;sans-serif" w:hAnsi="Times New Roman;sans-serif"/>
          <w:b/>
          <w:color w:val="000000"/>
          <w:sz w:val="22"/>
        </w:rPr>
        <w:t>Performance Period</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January 29, 2023 through January 31, 2026</w:t>
      </w:r>
    </w:p>
    <w:p>
      <w:pPr>
        <w:pStyle w:val="TextBody"/>
        <w:bidi w:val="0"/>
        <w:spacing w:lineRule="auto" w:line="240" w:before="0" w:after="240"/>
        <w:jc w:val="both"/>
        <w:rPr/>
      </w:pPr>
      <w:r>
        <w:rPr>
          <w:rFonts w:ascii="Times New Roman;sans-serif" w:hAnsi="Times New Roman;sans-serif"/>
          <w:b/>
          <w:color w:val="000000"/>
          <w:sz w:val="22"/>
        </w:rPr>
        <w:t>Vesting Criteria:</w:t>
      </w:r>
      <w:r>
        <w:rPr>
          <w:color w:val="000000"/>
        </w:rPr>
        <w:t>            </w:t>
      </w: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ind w:left="0" w:right="0" w:hanging="3600"/>
        <w:jc w:val="both"/>
        <w:rPr/>
      </w:pPr>
      <w:r>
        <w:rPr/>
      </w:r>
    </w:p>
    <w:p>
      <w:pPr>
        <w:pStyle w:val="TextBody"/>
        <w:bidi w:val="0"/>
        <w:spacing w:lineRule="auto" w:line="240" w:before="240" w:after="283"/>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pStyle w:val="TextBody"/>
        <w:bidi w:val="0"/>
        <w:spacing w:before="0" w:after="283"/>
        <w:jc w:val="left"/>
        <w:rPr/>
      </w:pPr>
      <w:r>
        <w:rPr/>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RESTRICTED STOCK UNIT AGREEMENT</w:t>
        <w:br/>
        <w:t>UNDER THE</w:t>
        <w:br/>
        <w:t>ACADEMY SPORTS AND OUTDOORS, INC.</w:t>
        <w:br/>
        <w:t>2020 OMNIBUS INCENTIVE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Restricted Stock Unit Agreement (this “</w:t>
      </w:r>
      <w:r>
        <w:rPr>
          <w:rFonts w:ascii="Times New Roman;sans-serif" w:hAnsi="Times New Roman;sans-serif"/>
          <w:b w:val="false"/>
          <w:color w:val="000000"/>
          <w:sz w:val="22"/>
          <w:u w:val="single"/>
        </w:rPr>
        <w:t>Restricted Stock Unit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Restricted Stock Units</w:t>
      </w:r>
      <w:r>
        <w:rPr>
          <w:rFonts w:ascii="Times New Roman;sans-serif" w:hAnsi="Times New Roman;sans-serif"/>
          <w:b w:val="false"/>
          <w:color w:val="000000"/>
          <w:sz w:val="22"/>
        </w:rPr>
        <w:t xml:space="preserve">. Each Restricted Stock Unit granted to the Participant pursuant to the Grant Notice 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Vested Restricted Stock Units</w:t>
      </w:r>
      <w:r>
        <w:rPr>
          <w:rFonts w:ascii="Times New Roman;sans-serif" w:hAnsi="Times New Roman;sans-serif"/>
          <w:b w:val="false"/>
          <w:color w:val="000000"/>
          <w:sz w:val="22"/>
        </w:rPr>
        <w:t xml:space="preserve">. Upon the vesting of a Restricted Stock Unit hereunder, and subject to any election by the Committee pursuant to Section 9(d)(ii) of the Plan, the Company will deliver one share of Common Stock for each vested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Restricted Stock Units Upon Termination</w:t>
      </w:r>
      <w:r>
        <w:rPr>
          <w:rFonts w:ascii="Times New Roman;sans-serif" w:hAnsi="Times New Roman;sans-serif"/>
          <w:b w:val="false"/>
          <w:color w:val="000000"/>
          <w:sz w:val="22"/>
        </w:rPr>
        <w:t xml:space="preserve">. Except as otherwise provided in the Grant Notice or as 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Restricted Stock Units as may otherwise be required by applicable law; and (iii)</w:t>
      </w:r>
      <w:r>
        <w:rPr>
          <w:color w:val="000000"/>
        </w:rPr>
        <w:t xml:space="preserve"> </w:t>
      </w:r>
      <w:r>
        <w:rPr>
          <w:rFonts w:ascii="Times New Roman;sans-serif" w:hAnsi="Times New Roman;sans-serif"/>
          <w:b w:val="false"/>
          <w:color w:val="000000"/>
          <w:sz w:val="22"/>
        </w:rPr>
        <w:t>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481965"/>
                <wp:effectExtent l="0" t="0" r="0" b="0"/>
                <wp:wrapNone/>
                <wp:docPr id="207" name="Frame206"/>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1021758.3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1021758.3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The Restricted Stock Units are not transferable by the Participant except to Permitted 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The Participant must pay to the Company any amount that the Company determines it is required to withhold under applicable federal, state or local or foreign tax laws in respect of the vesting and settlement of the shares of Common Stock underlying the Restricted Stock Units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under the Restricted Stock Units;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Restricted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Restricted Stock Unit Agreement does not confer upon the Participant any right to continue as an employee or other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Restricted Stock Unit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481965"/>
                <wp:effectExtent l="0" t="0" r="0" b="0"/>
                <wp:wrapNone/>
                <wp:docPr id="208" name="Frame207"/>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1021758.3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1021758.3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at any time prior to the final settlement of all Restricted Stock Units granted hereunder, then the Committee may, in its sole discretion, take actions permitted under the Plan, including: (a) canceling the Restricted Stock Units, (b) recouping any Shares of Common Stock issued in settlement of the Restricted Stock Units, or (c)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that causes or is likely to cause substantial economic or reputational harm to the Company; (ii) any activity that would be grounds to terminate the Participant’s employment or service with the Service Recipient for Cause that causes or is likely to cause substantial economic or reputational harm to the Company;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The Restricted Stock Units granted hereunder, and the shares of Common Stock issued to the 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xml:space="preserve">.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color w:val="000000"/>
          <w:sz w:val="22"/>
          <w:u w:val="single"/>
        </w:rPr>
        <w:t>Transmission Acknowledgement</w:t>
      </w:r>
      <w:r>
        <w:rPr>
          <w:rFonts w:ascii="Times New Roman;sans-serif" w:hAnsi="Times New Roman;sans-serif"/>
          <w:b w:val="false"/>
          <w:color w:val="000000"/>
          <w:sz w:val="22"/>
        </w:rPr>
        <w:t xml:space="preserve">. To the extent necessary, the Participant authorizes, agrees and unambiguously consents to the transmission by the Company or any other member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481965"/>
                <wp:effectExtent l="0" t="0" r="0" b="0"/>
                <wp:wrapNone/>
                <wp:docPr id="209" name="Frame208"/>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1021758.3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1021758.3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sans-serif" w:hAnsi="Times New Roman;sans-serif"/>
          <w:b w:val="false"/>
          <w:color w:val="000000"/>
          <w:sz w:val="22"/>
          <w:u w:val="single"/>
        </w:rPr>
        <w:t>Restricted Stock Unit Governing Documents</w:t>
      </w:r>
      <w:r>
        <w:rPr>
          <w:color w:val="000000"/>
        </w:rPr>
        <w:t>”</w:t>
      </w:r>
      <w:r>
        <w:rPr>
          <w:rFonts w:ascii="Times New Roman;sans-serif" w:hAnsi="Times New Roman;sans-serif"/>
          <w:b w:val="false"/>
          <w:color w:val="000000"/>
          <w:sz w:val="22"/>
        </w:rPr>
        <w:t>), the Restricted Stock Unit Governing Documents shall control.</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The Restricted Stock Unit Governing Documents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481965"/>
                <wp:effectExtent l="0" t="0" r="0" b="0"/>
                <wp:wrapNone/>
                <wp:docPr id="210" name="Frame209"/>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1021758.3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1021758.3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EC – May 2023 Time-Based RSU Agreement</w:t>
      </w:r>
    </w:p>
    <w:p>
      <w:pPr>
        <w:pStyle w:val="TextBody"/>
        <w:bidi w:val="0"/>
        <w:spacing w:before="0" w:after="24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br/>
        <w:t>UNDER THE</w:t>
        <w:br/>
        <w:t xml:space="preserve">ACADEMY SPORTS AND OUTDOORS, INC. </w:t>
        <w:br/>
        <w:t>2020 OMNIBUS INCENTIVE PLAN</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Restricted Stock Units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both"/>
        <w:rPr/>
      </w:pPr>
      <w:r>
        <w:rPr>
          <w:rFonts w:ascii="Times New Roman;sans-serif" w:hAnsi="Times New Roman;sans-serif"/>
          <w:b/>
          <w:color w:val="000000"/>
          <w:sz w:val="22"/>
        </w:rPr>
        <w:t>Participant</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First Name</w:t>
      </w:r>
      <w:r>
        <w:rPr>
          <w:rFonts w:ascii="Times New Roman;sans-serif" w:hAnsi="Times New Roman;sans-serif"/>
          <w:b w:val="false"/>
          <w:color w:val="000000"/>
          <w:sz w:val="22"/>
        </w:rPr>
        <w:t>] [</w:t>
      </w:r>
      <w:r>
        <w:rPr>
          <w:rFonts w:ascii="Times New Roman;sans-serif" w:hAnsi="Times New Roman;sans-serif"/>
          <w:b w:val="false"/>
          <w:i/>
          <w:color w:val="000000"/>
          <w:sz w:val="22"/>
        </w:rPr>
        <w:t>Last Name</w:t>
      </w:r>
      <w:r>
        <w:rPr>
          <w:rFonts w:ascii="Times New Roman;sans-serif" w:hAnsi="Times New Roman;sans-serif"/>
          <w:b w:val="false"/>
          <w:color w:val="000000"/>
          <w:sz w:val="22"/>
        </w:rPr>
        <w:t>]</w:t>
      </w:r>
    </w:p>
    <w:p>
      <w:pPr>
        <w:pStyle w:val="TextBody"/>
        <w:bidi w:val="0"/>
        <w:spacing w:lineRule="auto" w:line="240" w:before="0" w:after="240"/>
        <w:ind w:left="0" w:right="0" w:hanging="3600"/>
        <w:jc w:val="both"/>
        <w:rPr/>
      </w:pPr>
      <w:r>
        <w:rPr>
          <w:rFonts w:ascii="Times New Roman;sans-serif" w:hAnsi="Times New Roman;sans-serif"/>
          <w:b/>
          <w:color w:val="000000"/>
          <w:sz w:val="22"/>
        </w:rPr>
        <w:t>Date of Grant</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Date of Grant</w:t>
      </w:r>
      <w:r>
        <w:rPr>
          <w:rFonts w:ascii="Times New Roman;sans-serif" w:hAnsi="Times New Roman;sans-serif"/>
          <w:b w:val="false"/>
          <w:color w:val="000000"/>
          <w:sz w:val="22"/>
        </w:rPr>
        <w:t>]</w:t>
      </w:r>
    </w:p>
    <w:p>
      <w:pPr>
        <w:pStyle w:val="TextBody"/>
        <w:bidi w:val="0"/>
        <w:spacing w:lineRule="auto" w:line="240" w:before="0" w:after="0"/>
        <w:ind w:left="0" w:right="0" w:hanging="3600"/>
        <w:jc w:val="both"/>
        <w:rPr>
          <w:rFonts w:ascii="Times New Roman;sans-serif" w:hAnsi="Times New Roman;sans-serif"/>
          <w:b/>
          <w:color w:val="000000"/>
          <w:sz w:val="22"/>
        </w:rPr>
      </w:pPr>
      <w:r>
        <w:rPr>
          <w:rFonts w:ascii="Times New Roman;sans-serif" w:hAnsi="Times New Roman;sans-serif"/>
          <w:b/>
          <w:color w:val="000000"/>
          <w:sz w:val="22"/>
        </w:rPr>
        <w:t xml:space="preserve">Number of </w:t>
      </w:r>
    </w:p>
    <w:p>
      <w:pPr>
        <w:pStyle w:val="TextBody"/>
        <w:bidi w:val="0"/>
        <w:spacing w:lineRule="auto" w:line="240" w:before="0" w:after="0"/>
        <w:ind w:left="0" w:right="0" w:hanging="3600"/>
        <w:jc w:val="both"/>
        <w:rPr/>
      </w:pPr>
      <w:r>
        <w:rPr>
          <w:rFonts w:ascii="Times New Roman;sans-serif" w:hAnsi="Times New Roman;sans-serif"/>
          <w:b/>
          <w:color w:val="000000"/>
          <w:sz w:val="22"/>
        </w:rPr>
        <w:t>Restricted Stock Units</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Insert Number of Restricted Stock Units Granted</w:t>
      </w:r>
      <w:r>
        <w:rPr>
          <w:rFonts w:ascii="Times New Roman;sans-serif" w:hAnsi="Times New Roman;sans-serif"/>
          <w:b w:val="false"/>
          <w:color w:val="000000"/>
          <w:sz w:val="22"/>
        </w:rPr>
        <w:t>]</w:t>
      </w:r>
    </w:p>
    <w:p>
      <w:pPr>
        <w:pStyle w:val="TextBody"/>
        <w:bidi w:val="0"/>
        <w:spacing w:before="0" w:after="0"/>
        <w:ind w:left="0" w:right="0" w:hanging="3600"/>
        <w:jc w:val="both"/>
        <w:rPr/>
      </w:pPr>
      <w:r>
        <w:rPr/>
      </w:r>
    </w:p>
    <w:p>
      <w:pPr>
        <w:pStyle w:val="TextBody"/>
        <w:bidi w:val="0"/>
        <w:spacing w:lineRule="auto" w:line="240" w:before="0" w:after="0"/>
        <w:jc w:val="left"/>
        <w:rPr/>
      </w:pPr>
      <w:r>
        <w:rPr>
          <w:rFonts w:ascii="Times New Roman;sans-serif" w:hAnsi="Times New Roman;sans-serif"/>
          <w:b/>
          <w:color w:val="000000"/>
          <w:sz w:val="22"/>
        </w:rPr>
        <w:t>Vesting Schedule</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jc w:val="center"/>
        <w:rPr/>
      </w:pPr>
      <w:r>
        <w:rPr/>
      </w:r>
    </w:p>
    <w:p>
      <w:pPr>
        <w:pStyle w:val="TextBody"/>
        <w:bidi w:val="0"/>
        <w:spacing w:lineRule="auto" w:line="240" w:before="240" w:after="283"/>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06705"/>
                <wp:effectExtent l="0" t="0" r="0" b="0"/>
                <wp:wrapNone/>
                <wp:docPr id="211" name="Frame2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RESTRICTED STOCK UNIT AGREEMENT</w:t>
        <w:br/>
        <w:t>UNDER THE</w:t>
        <w:br/>
        <w:t>ACADEMY SPORTS AND OUTDOORS, INC.</w:t>
        <w:br/>
        <w:t>2020 OMNIBUS INCENTIVE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Restricted Stock Unit Agreement (this “</w:t>
      </w:r>
      <w:r>
        <w:rPr>
          <w:rFonts w:ascii="Times New Roman;sans-serif" w:hAnsi="Times New Roman;sans-serif"/>
          <w:b w:val="false"/>
          <w:color w:val="000000"/>
          <w:sz w:val="22"/>
          <w:u w:val="single"/>
        </w:rPr>
        <w:t>Restricted Stock Unit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Restricted Stock Units</w:t>
      </w:r>
      <w:r>
        <w:rPr>
          <w:rFonts w:ascii="Times New Roman;sans-serif" w:hAnsi="Times New Roman;sans-serif"/>
          <w:b w:val="false"/>
          <w:color w:val="000000"/>
          <w:sz w:val="22"/>
        </w:rPr>
        <w:t xml:space="preserve">. Each Restricted Stock Unit granted to the Participant pursuant to the Grant Notice 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Restricted Stock Units</w:t>
      </w:r>
      <w:r>
        <w:rPr>
          <w:rFonts w:ascii="Times New Roman;sans-serif" w:hAnsi="Times New Roman;sans-serif"/>
          <w:b w:val="false"/>
          <w:color w:val="000000"/>
          <w:sz w:val="22"/>
        </w:rPr>
        <w:t xml:space="preserve">. Upon the vesting of a Restricted Stock Unit hereunder, and subject to any election by the Committee pursuant to Section 9(d)(ii) of the Plan, the Company will deliver one share of Common Stock for each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Restricted Stock Units Upon Termination</w:t>
      </w:r>
      <w:r>
        <w:rPr>
          <w:rFonts w:ascii="Times New Roman;sans-serif" w:hAnsi="Times New Roman;sans-serif"/>
          <w:b w:val="false"/>
          <w:color w:val="000000"/>
          <w:sz w:val="22"/>
        </w:rPr>
        <w:t xml:space="preserve">. Except as otherwise provided in the Grant Notice or as 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vested Restricted Stock Units as may otherwise be required by applicable law; and (iii)</w:t>
      </w:r>
      <w:r>
        <w:rPr>
          <w:color w:val="000000"/>
        </w:rPr>
        <w:t xml:space="preserve"> </w:t>
      </w:r>
      <w:r>
        <w:rPr>
          <w:rFonts w:ascii="Times New Roman;sans-serif" w:hAnsi="Times New Roman;sans-serif"/>
          <w:b w:val="false"/>
          <w:color w:val="000000"/>
          <w:sz w:val="22"/>
        </w:rPr>
        <w:t>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31445"/>
                <wp:effectExtent l="0" t="0" r="0" b="0"/>
                <wp:wrapNone/>
                <wp:docPr id="212" name="Frame2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6.</w:t>
      </w:r>
      <w:r>
        <w:rPr>
          <w:color w:val="000000"/>
        </w:rPr>
        <w:t xml:space="preserve">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The Restricted Stock Units are not transferable by the Participant except to Permitted 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24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The Participant must pay to the Company any amount that the Company determines it is required to withhold under applicable federal, state or local or foreign tax laws in respect of the vesting and settlement of the shares of Common Stock underlying the Restricted Stock Units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under the Restricted Stock Units;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Restricted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Restricted Stock Unit Agreement does not confer upon the Participant any right to continue as an employee or other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04165"/>
                <wp:effectExtent l="0" t="0" r="0" b="0"/>
                <wp:wrapNone/>
                <wp:docPr id="213" name="Frame21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Restricted Stock Unit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at any time prior to the final settlement of all Restricted Stock Units granted hereunder, then the Committee may, in its sole discretion, take actions permitted under the Plan, including: (a) canceling the Restricted Stock Units, (b) recouping any Shares of Common Stock issued in settlement of the Restricted Stock Units, or (c)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that causes or is likely to cause substantial economic or reputational harm to the Company; (ii) any activity that would be grounds to terminate the Participant’s employment or service with the Service Recipient for Cause that causes or is likely to cause substantial economic or reputational harm to the Company;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The Restricted Stock Units granted hereunder, and the shares of Common Stock issued to the 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xml:space="preserve">. Notwithstanding any provision in this Restricted Stock Unit Agreement to the contrary, this Restricted Stock Unit Agreement will be interpreted and applied so that the Restricted Stock Unit Agreement does not fail to meet, and is operated in accordance with, the requirements of Section 409A of the Code. The Company reserves the right to change the terms of this Restricted Stock Unit Agreement and the Plan without the Participant’s consent to the extent necessary or desirable to comply with the requirements of Section 409A of the Code. Further, in accordance with the restrictions provided by Treasury Regulation Section 1.409A-3(j)(2), any subsequent amendments to this Restricted Stock Unit Agreement or any other agreement, or the entering into or termination of any other agreement, affecting the Restricted Stock Units provided by this Restricted Stock Unit Agreement shall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04165"/>
                <wp:effectExtent l="0" t="0" r="0" b="0"/>
                <wp:wrapNone/>
                <wp:docPr id="214" name="Frame21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 modify the time or form of issuance of the Restricted Stock Units set forth in this Restricted Stock Unit Agreement. In addition, if the Participant is a “specified employee” within the meaning of Section 409A of the Code, as determined by the Company, any payment made in connection with the Participant’s separation from service shall not be made earlier than six (6) months and one day after the date of such separation from service to the extent required by Section 409A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color w:val="000000"/>
          <w:sz w:val="22"/>
          <w:u w:val="single"/>
        </w:rPr>
        <w:t>Transmission</w:t>
      </w:r>
      <w:r>
        <w:rPr>
          <w:color w:val="000000"/>
          <w:u w:val="single"/>
        </w:rPr>
        <w:t xml:space="preserve"> </w:t>
      </w:r>
      <w:r>
        <w:rPr>
          <w:rFonts w:ascii="Times New Roman;sans-serif" w:hAnsi="Times New Roman;sans-serif"/>
          <w:b/>
          <w:color w:val="000000"/>
          <w:sz w:val="22"/>
          <w:u w:val="single"/>
        </w:rPr>
        <w:t>Acknowledgement</w:t>
      </w:r>
      <w:r>
        <w:rPr>
          <w:rFonts w:ascii="Times New Roman;sans-serif" w:hAnsi="Times New Roman;sans-serif"/>
          <w:b w:val="false"/>
          <w:color w:val="000000"/>
          <w:sz w:val="22"/>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sans-serif" w:hAnsi="Times New Roman;sans-serif"/>
          <w:b w:val="false"/>
          <w:color w:val="000000"/>
          <w:sz w:val="22"/>
          <w:u w:val="single"/>
        </w:rPr>
        <w:t>Restricted Stock Unit Governing Documents</w:t>
      </w:r>
      <w:r>
        <w:rPr>
          <w:color w:val="000000"/>
        </w:rPr>
        <w:t>”</w:t>
      </w:r>
      <w:r>
        <w:rPr>
          <w:rFonts w:ascii="Times New Roman;sans-serif" w:hAnsi="Times New Roman;sans-serif"/>
          <w:b w:val="false"/>
          <w:color w:val="000000"/>
          <w:sz w:val="22"/>
        </w:rPr>
        <w:t>), the Restricted Stock Unit Governing Documents shall control.</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The Restricted Stock Unit Governing Documents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0"/>
        <w:ind w:left="0" w:right="0" w:firstLine="1440"/>
        <w:jc w:val="both"/>
        <w:rPr/>
      </w:pPr>
      <w:r>
        <w:rPr/>
      </w:r>
    </w:p>
    <w:p>
      <w:pPr>
        <w:pStyle w:val="TextBody"/>
        <w:bidi w:val="0"/>
        <w:ind w:left="0" w:right="0" w:firstLine="14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10.4</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04165"/>
                <wp:effectExtent l="0" t="0" r="0" b="0"/>
                <wp:wrapNone/>
                <wp:docPr id="215" name="Frame21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Courier New;monospace" w:hAnsi="Courier New;monospace"/>
                          <w:b w:val="false"/>
                          <w:color w:val="000000"/>
                          <w:sz w:val="24"/>
                        </w:rPr>
                      </w:pPr>
                      <w:r>
                        <w:rPr>
                          <w:rFonts w:ascii="Courier New;monospace" w:hAnsi="Courier New;monospace"/>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1021762.2</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EC – May 2023 Time-Based Option Agreement</w:t>
      </w:r>
    </w:p>
    <w:p>
      <w:pPr>
        <w:pStyle w:val="TextBody"/>
        <w:bidi w:val="0"/>
        <w:spacing w:before="0" w:after="24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OPTION GRANT NOTICE</w:t>
        <w:br/>
        <w:t>UNDER THE</w:t>
        <w:br/>
        <w:t>ACADEMY SPORTS AND OUTDOORS, INC.</w:t>
        <w:br/>
        <w:t>2020 OMNIBUS INCENTIVE PLAN</w:t>
      </w:r>
    </w:p>
    <w:p>
      <w:pPr>
        <w:pStyle w:val="TextBody"/>
        <w:bidi w:val="0"/>
        <w:spacing w:before="0" w:after="0"/>
        <w:jc w:val="center"/>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Options set forth below at an Exercise Price per share as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Options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left"/>
        <w:rPr/>
      </w:pPr>
      <w:r>
        <w:rPr>
          <w:rFonts w:ascii="Times New Roman;sans-serif" w:hAnsi="Times New Roman;sans-serif"/>
          <w:b/>
          <w:color w:val="000000"/>
          <w:sz w:val="22"/>
        </w:rPr>
        <w:t>Participant</w:t>
      </w:r>
      <w:r>
        <w:rPr>
          <w:rFonts w:ascii="Times New Roman;sans-serif" w:hAnsi="Times New Roman;sans-serif"/>
          <w:b w:val="false"/>
          <w:color w:val="000000"/>
          <w:sz w:val="22"/>
        </w:rPr>
        <w:t>:    [</w:t>
      </w:r>
      <w:r>
        <w:rPr>
          <w:rFonts w:ascii="Times New Roman;sans-serif" w:hAnsi="Times New Roman;sans-serif"/>
          <w:b w:val="false"/>
          <w:i/>
          <w:color w:val="000000"/>
          <w:sz w:val="22"/>
        </w:rPr>
        <w:t>First Name</w:t>
      </w:r>
      <w:r>
        <w:rPr>
          <w:rFonts w:ascii="Times New Roman;sans-serif" w:hAnsi="Times New Roman;sans-serif"/>
          <w:b w:val="false"/>
          <w:color w:val="000000"/>
          <w:sz w:val="22"/>
        </w:rPr>
        <w:t>] [</w:t>
      </w:r>
      <w:r>
        <w:rPr>
          <w:rFonts w:ascii="Times New Roman;sans-serif" w:hAnsi="Times New Roman;sans-serif"/>
          <w:b w:val="false"/>
          <w:i/>
          <w:color w:val="000000"/>
          <w:sz w:val="22"/>
        </w:rPr>
        <w:t>Last Name</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Date of Grant</w:t>
      </w:r>
      <w:r>
        <w:rPr>
          <w:rFonts w:ascii="Times New Roman;sans-serif" w:hAnsi="Times New Roman;sans-serif"/>
          <w:b w:val="false"/>
          <w:color w:val="000000"/>
          <w:sz w:val="22"/>
        </w:rPr>
        <w:t>:     [</w:t>
      </w:r>
      <w:r>
        <w:rPr>
          <w:rFonts w:ascii="Times New Roman;sans-serif" w:hAnsi="Times New Roman;sans-serif"/>
          <w:b w:val="false"/>
          <w:i/>
          <w:color w:val="000000"/>
          <w:sz w:val="22"/>
        </w:rPr>
        <w:t>Date of Grant</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Number of Options</w:t>
      </w:r>
      <w:r>
        <w:rPr>
          <w:rFonts w:ascii="Times New Roman;sans-serif" w:hAnsi="Times New Roman;sans-serif"/>
          <w:b w:val="false"/>
          <w:color w:val="000000"/>
          <w:sz w:val="22"/>
        </w:rPr>
        <w:t>:     [</w:t>
      </w:r>
      <w:r>
        <w:rPr>
          <w:rFonts w:ascii="Times New Roman;sans-serif" w:hAnsi="Times New Roman;sans-serif"/>
          <w:b w:val="false"/>
          <w:i/>
          <w:color w:val="000000"/>
          <w:sz w:val="22"/>
        </w:rPr>
        <w:t>Number of Options Granted</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Exercise Price per Share</w:t>
      </w:r>
      <w:r>
        <w:rPr>
          <w:rFonts w:ascii="Times New Roman;sans-serif" w:hAnsi="Times New Roman;sans-serif"/>
          <w:b w:val="false"/>
          <w:color w:val="000000"/>
          <w:sz w:val="22"/>
        </w:rPr>
        <w:t>:     [</w:t>
      </w:r>
      <w:r>
        <w:rPr>
          <w:rFonts w:ascii="Times New Roman;sans-serif" w:hAnsi="Times New Roman;sans-serif"/>
          <w:b w:val="false"/>
          <w:i/>
          <w:color w:val="000000"/>
          <w:sz w:val="22"/>
        </w:rPr>
        <w:t>Closing stock price on date of grant</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Option Period Expiration Date</w:t>
      </w:r>
      <w:r>
        <w:rPr>
          <w:rFonts w:ascii="Times New Roman;sans-serif" w:hAnsi="Times New Roman;sans-serif"/>
          <w:b w:val="false"/>
          <w:color w:val="000000"/>
          <w:sz w:val="22"/>
        </w:rPr>
        <w:t>:     10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anniversary of Date of Grant</w:t>
      </w:r>
    </w:p>
    <w:p>
      <w:pPr>
        <w:pStyle w:val="TextBody"/>
        <w:bidi w:val="0"/>
        <w:spacing w:lineRule="auto" w:line="240" w:before="0" w:after="240"/>
        <w:ind w:left="0" w:right="0" w:hanging="3600"/>
        <w:jc w:val="left"/>
        <w:rPr/>
      </w:pPr>
      <w:r>
        <w:rPr>
          <w:rFonts w:ascii="Times New Roman;sans-serif" w:hAnsi="Times New Roman;sans-serif"/>
          <w:b/>
          <w:color w:val="000000"/>
          <w:sz w:val="22"/>
        </w:rPr>
        <w:t>Type of Option</w:t>
      </w:r>
      <w:r>
        <w:rPr>
          <w:rFonts w:ascii="Times New Roman;sans-serif" w:hAnsi="Times New Roman;sans-serif"/>
          <w:b w:val="false"/>
          <w:color w:val="000000"/>
          <w:sz w:val="22"/>
        </w:rPr>
        <w:t>:     Nonqualified Stock Option</w:t>
      </w:r>
    </w:p>
    <w:p>
      <w:pPr>
        <w:pStyle w:val="TextBody"/>
        <w:bidi w:val="0"/>
        <w:spacing w:lineRule="auto" w:line="240" w:before="0" w:after="240"/>
        <w:ind w:left="0" w:right="0" w:hanging="3600"/>
        <w:jc w:val="both"/>
        <w:rPr/>
      </w:pPr>
      <w:r>
        <w:rPr>
          <w:rFonts w:ascii="Times New Roman;sans-serif" w:hAnsi="Times New Roman;sans-serif"/>
          <w:b/>
          <w:color w:val="000000"/>
          <w:sz w:val="22"/>
        </w:rPr>
        <w:t>Vesting Schedule</w:t>
      </w:r>
      <w:r>
        <w:rPr>
          <w:rFonts w:ascii="Times New Roman;sans-serif" w:hAnsi="Times New Roman;sans-serif"/>
          <w:b w:val="false"/>
          <w:color w:val="000000"/>
          <w:sz w:val="22"/>
        </w:rPr>
        <w:t xml:space="preserve">:    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jc w:val="center"/>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OPTION AGREEMENT. PARTICIPANT MAY REJECT THIS AWARD OF OPTIONS BY NOTIFYING THE COMPANY NO LATER THAN THE FIFTH BUSINESS DAY FOLLOWING RECEIPT OF THIS AWARD DOCUMENT. FAILURE TO REJECT THIS AWARD OF OPTIONS WITHIN SUCH 5-DAY PERIOD SHALL BE DEEMED ACCEPTANCE OF THIS AWARD OF OPTIONS AND THE TERMS AND CONDITIONS OF THIS AWARD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06705"/>
                <wp:effectExtent l="0" t="0" r="0" b="0"/>
                <wp:wrapNone/>
                <wp:docPr id="216" name="Frame21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OPTION AGREEMENT</w:t>
        <w:br/>
        <w:t>UNDER THE</w:t>
        <w:br/>
        <w:t>ACADEMY SPORTS AND OUTDOORS, INC.</w:t>
        <w:br/>
        <w:t>2020 OMNIBUS INCENTIVE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Pursuant to the Option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Option Agreement (this “</w:t>
      </w:r>
      <w:r>
        <w:rPr>
          <w:rFonts w:ascii="Times New Roman;sans-serif" w:hAnsi="Times New Roman;sans-serif"/>
          <w:b w:val="false"/>
          <w:color w:val="000000"/>
          <w:sz w:val="22"/>
          <w:u w:val="single"/>
        </w:rPr>
        <w:t>Option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Option</w:t>
      </w:r>
      <w:r>
        <w:rPr>
          <w:rFonts w:ascii="Times New Roman;sans-serif" w:hAnsi="Times New Roman;sans-serif"/>
          <w:b w:val="false"/>
          <w:color w:val="000000"/>
          <w:sz w:val="22"/>
        </w:rPr>
        <w:t xml:space="preserve">. Each Option granted to the Participant pursuant to the Grant Notice represents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 </w:t>
      </w:r>
    </w:p>
    <w:p>
      <w:pPr>
        <w:pStyle w:val="TextBody"/>
        <w:bidi w:val="0"/>
        <w:spacing w:lineRule="auto" w:line="240" w:before="0" w:after="240"/>
        <w:ind w:left="0" w:right="0" w:firstLine="1440"/>
        <w:jc w:val="left"/>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Options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Exercise of Options Following Termination</w:t>
      </w:r>
      <w:r>
        <w:rPr>
          <w:rFonts w:ascii="Times New Roman;sans-serif" w:hAnsi="Times New Roman;sans-serif"/>
          <w:b w:val="false"/>
          <w:color w:val="000000"/>
          <w:sz w:val="22"/>
        </w:rPr>
        <w:t xml:space="preserve">. Except as otherwise provided in the Grant Notice or as otherwise may be provided by the Committee,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(D) a Participant’s Termination by reason of Retirement, each outstanding Option shall remain outstanding and exercisable until one (1) year after the final vesting date applicable to such Option (but in no event beyond the expiration of the Option Period); and (E) a Participant’s Termination for any other reason (including, for the avoidance of doubt, termination by the Service Recipient without Cause or by the Participant for Good Reason), each outstanding unvested Option granted to such Participant shall immediately terminate and expire, and each outstanding vested Option shall remain exercisable for one hundred eighty (180) days thereafter (but in no event beyond the expiration of the Option Period).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Method of Exercising Options</w:t>
      </w:r>
      <w:r>
        <w:rPr>
          <w:rFonts w:ascii="Times New Roman;sans-serif" w:hAnsi="Times New Roman;sans-serif"/>
          <w:b w:val="false"/>
          <w:color w:val="000000"/>
          <w:sz w:val="22"/>
        </w:rPr>
        <w:t xml:space="preserve">. The Options may be exercised by the delivery of notice of the number of Options that 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Participant shall obtain written consent from the Committee prior to the use of the method described in Section 7(d)(ii)(A) of the Plan.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31445"/>
                <wp:effectExtent l="0" t="0" r="0" b="0"/>
                <wp:wrapNone/>
                <wp:docPr id="217" name="Frame2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Issuance of Shares of Common Stock</w:t>
      </w:r>
      <w:r>
        <w:rPr>
          <w:rFonts w:ascii="Times New Roman;sans-serif" w:hAnsi="Times New Roman;sans-serif"/>
          <w:b w:val="false"/>
          <w:color w:val="000000"/>
          <w:sz w:val="22"/>
        </w:rPr>
        <w:t xml:space="preserve">. Following the exercise of an Option hereunder, as promptly as practical after receipt of such notification and full payment of such Exercise Price and any required income or other tax withholding amount (as provided in Section 10 hereof), the Company shall issue or transfer, or cause such issue or transfer, to the Participant the number of shares of Common Stock with respect to which the Options have been so exercised, and shall either (a) deliver, or cause to be delivered, to the Participant a certificate or certificates therefor, registered in the Participant’s name or (b) cause such shares of Common Stock to be credited to the Participant’s account at the third-party plan administrator.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purchased upon the exercise of the Options or portion therefore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exercise of the Option as may otherwise be required by applicable law; and (iii) 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Option Agreement under circumstances where the provision should logically be construed to apply to the executors, the administrators, or the person or persons to whom the Options may be transferred in accordance with Section 14(b) of the Plan, the word “Participant” shall be deemed to include such person or persons.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xml:space="preserve">. The Options are not transferable by the Participant;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to the extent permitted by the Committee in 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shall have no rights as a shareholder with respect to any share of Common Stock covered by an 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Concurrently with the exercise of an Option, the Participant must pay to the Company any amount that the Company determines it is required to withhold under applicable federal, state or local or foreign tax laws in respect of the exercise or the transfer of the shares of Common Stock in connection therewith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upon exercise of the Option;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Option Agreement between the Company and the Participant shall be in writing, and shall be mailed to or delivered to the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06705"/>
                <wp:effectExtent l="0" t="0" r="0" b="0"/>
                <wp:wrapNone/>
                <wp:docPr id="218" name="Frame21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val="false"/>
          <w:color w:val="000000"/>
          <w:sz w:val="22"/>
        </w:rPr>
        <w:t xml:space="preserve">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Option Agreement does not confer upon the Participant any right to continue as an employee or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Option Agreement shall be binding upon the heirs, executors, administrators and successors of the parties 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Option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at any time prior to the exercise of all Options granted hereunder, then the Committee may, in its sole discretion, take actions permitted under the Plan, including: (a) canceling the Options, (b) recouping any Shares of Common Stock received upon exercised of the Options, or (c)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offset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that causes or is likely to cause substantial economic or reputational harm to the Company; (ii) any activity that would be grounds to terminate the Participant’s employment or service with the Service Recipient for Cause that causes or is likely to cause substantial economic or reputational harm to the Company;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This Option Agreement shall be construed and interpreted in accordance with the laws of the State 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Houston, Texas.</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06705"/>
                <wp:effectExtent l="0" t="0" r="0" b="0"/>
                <wp:wrapNone/>
                <wp:docPr id="219" name="Frame21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xml:space="preserve">. The Options granted hereunder, and the shares of Common Stock issued to the Participant upon exercise of the Options, are subject to the Plan and the terms of the Plan are hereby incorporated into this Option Agreement. By accepting the Options, the Participant acknowledges that the Participant has received and read the Plan and agrees to be bound by the terms, 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Option Agreement shall survive the termination of this Award to the extent consistent with, or necessary to carry out, the purposes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19.</w:t>
      </w:r>
      <w:r>
        <w:rPr>
          <w:color w:val="000000"/>
        </w:rPr>
        <w:t xml:space="preserve"> </w:t>
      </w:r>
      <w:r>
        <w:rPr>
          <w:rFonts w:ascii="Times New Roman;sans-serif" w:hAnsi="Times New Roman;sans-serif"/>
          <w:b/>
          <w:color w:val="000000"/>
          <w:sz w:val="22"/>
          <w:u w:val="single"/>
        </w:rPr>
        <w:t>Transmission Acknowledgement</w:t>
      </w:r>
      <w:r>
        <w:rPr>
          <w:rFonts w:ascii="Times New Roman;sans-serif" w:hAnsi="Times New Roman;sans-serif"/>
          <w:b w:val="false"/>
          <w:color w:val="000000"/>
          <w:sz w:val="22"/>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Options provided to the Participant through the third-party stock plan administrator’s web portal or otherwise conflicts with any of the terms and conditions of this Option Agreement or the Plan (collectively, the “</w:t>
      </w:r>
      <w:r>
        <w:rPr>
          <w:rFonts w:ascii="Times New Roman;sans-serif" w:hAnsi="Times New Roman;sans-serif"/>
          <w:b w:val="false"/>
          <w:color w:val="000000"/>
          <w:sz w:val="22"/>
          <w:u w:val="single"/>
        </w:rPr>
        <w:t>Option Governing Documents</w:t>
      </w:r>
      <w:r>
        <w:rPr>
          <w:color w:val="000000"/>
        </w:rPr>
        <w:t>”</w:t>
      </w:r>
      <w:r>
        <w:rPr>
          <w:rFonts w:ascii="Times New Roman;sans-serif" w:hAnsi="Times New Roman;sans-serif"/>
          <w:b w:val="false"/>
          <w:color w:val="000000"/>
          <w:sz w:val="22"/>
        </w:rPr>
        <w:t>), the Option Governing Documents shall control.</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xml:space="preserve">. The Option Governing Documents constitute the entire agreement of the parties hereto in respect of the subject matter contained herein and supersede all prior agreements and understandings of the parties, oral and written, with respect to such subject matter. </w:t>
      </w:r>
    </w:p>
    <w:p>
      <w:pPr>
        <w:pStyle w:val="TextBody"/>
        <w:bidi w:val="0"/>
        <w:spacing w:before="0" w:after="0"/>
        <w:ind w:left="0" w:right="0" w:firstLine="1440"/>
        <w:jc w:val="both"/>
        <w:rPr/>
      </w:pPr>
      <w:r>
        <w:rPr/>
      </w:r>
    </w:p>
    <w:p>
      <w:pPr>
        <w:pStyle w:val="TextBody"/>
        <w:bidi w:val="0"/>
        <w:spacing w:before="0" w:after="0"/>
        <w:jc w:val="both"/>
        <w:rPr/>
      </w:pPr>
      <w:r>
        <w:rPr/>
      </w:r>
    </w:p>
    <w:p>
      <w:pPr>
        <w:pStyle w:val="TextBody"/>
        <w:bidi w:val="0"/>
        <w:spacing w:before="0" w:after="0"/>
        <w:ind w:left="0" w:right="0" w:firstLine="144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10.5</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06705"/>
                <wp:effectExtent l="0" t="0" r="0" b="0"/>
                <wp:wrapNone/>
                <wp:docPr id="220" name="Frame21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1021760.2</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CEO – 2023 Performance RSU</w:t>
      </w:r>
    </w:p>
    <w:p>
      <w:pPr>
        <w:pStyle w:val="TextBody"/>
        <w:bidi w:val="0"/>
        <w:spacing w:before="0" w:after="24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br/>
        <w:t>UNDER THE</w:t>
        <w:br/>
        <w:t xml:space="preserve">ACADEMY SPORTS AND OUTDOORS, INC. </w:t>
        <w:br/>
        <w:t>2020 OMNIBUS INCENTIVE PLAN</w:t>
      </w:r>
    </w:p>
    <w:p>
      <w:pPr>
        <w:pStyle w:val="TextBody"/>
        <w:bidi w:val="0"/>
        <w:spacing w:before="0" w:after="24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Restricted Stock Units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both"/>
        <w:rPr/>
      </w:pPr>
      <w:r>
        <w:rPr>
          <w:rFonts w:ascii="Times New Roman;sans-serif" w:hAnsi="Times New Roman;sans-serif"/>
          <w:b/>
          <w:color w:val="000000"/>
          <w:sz w:val="22"/>
        </w:rPr>
        <w:t>Participant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i/>
          <w:color w:val="000000"/>
          <w:sz w:val="22"/>
        </w:rPr>
        <w:t>[First Name] [Last Name]</w:t>
      </w:r>
    </w:p>
    <w:p>
      <w:pPr>
        <w:pStyle w:val="TextBody"/>
        <w:bidi w:val="0"/>
        <w:spacing w:lineRule="auto" w:line="240" w:before="0" w:after="240"/>
        <w:ind w:left="0" w:right="0" w:hanging="3600"/>
        <w:jc w:val="both"/>
        <w:rPr/>
      </w:pPr>
      <w:r>
        <w:rPr>
          <w:rFonts w:ascii="Times New Roman;sans-serif" w:hAnsi="Times New Roman;sans-serif"/>
          <w:b/>
          <w:color w:val="000000"/>
          <w:sz w:val="22"/>
        </w:rPr>
        <w:t>Date of Grant</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i/>
          <w:color w:val="000000"/>
          <w:sz w:val="22"/>
        </w:rPr>
        <w:t>[Date of Grant]</w:t>
      </w:r>
    </w:p>
    <w:p>
      <w:pPr>
        <w:pStyle w:val="TextBody"/>
        <w:bidi w:val="0"/>
        <w:spacing w:lineRule="auto" w:line="240" w:before="0" w:after="0"/>
        <w:ind w:left="0" w:right="0" w:hanging="3600"/>
        <w:jc w:val="both"/>
        <w:rPr>
          <w:rFonts w:ascii="Times New Roman;sans-serif" w:hAnsi="Times New Roman;sans-serif"/>
          <w:b/>
          <w:color w:val="000000"/>
          <w:sz w:val="22"/>
        </w:rPr>
      </w:pPr>
      <w:r>
        <w:rPr>
          <w:rFonts w:ascii="Times New Roman;sans-serif" w:hAnsi="Times New Roman;sans-serif"/>
          <w:b/>
          <w:color w:val="000000"/>
          <w:sz w:val="22"/>
        </w:rPr>
        <w:t xml:space="preserve">Target Number of </w:t>
      </w:r>
    </w:p>
    <w:p>
      <w:pPr>
        <w:pStyle w:val="TextBody"/>
        <w:bidi w:val="0"/>
        <w:spacing w:lineRule="auto" w:line="240" w:before="0" w:after="0"/>
        <w:ind w:left="0" w:right="0" w:hanging="3600"/>
        <w:jc w:val="both"/>
        <w:rPr/>
      </w:pPr>
      <w:r>
        <w:rPr>
          <w:rFonts w:ascii="Times New Roman;sans-serif" w:hAnsi="Times New Roman;sans-serif"/>
          <w:b/>
          <w:color w:val="000000"/>
          <w:sz w:val="22"/>
        </w:rPr>
        <w:t>Restricted Stock Units</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Insert Target Number of Restricted Stock Units Granted</w:t>
      </w:r>
      <w:r>
        <w:rPr>
          <w:rFonts w:ascii="Times New Roman;sans-serif" w:hAnsi="Times New Roman;sans-serif"/>
          <w:b w:val="false"/>
          <w:color w:val="000000"/>
          <w:sz w:val="22"/>
        </w:rPr>
        <w:t>]</w:t>
      </w:r>
    </w:p>
    <w:p>
      <w:pPr>
        <w:pStyle w:val="TextBody"/>
        <w:bidi w:val="0"/>
        <w:spacing w:before="0" w:after="0"/>
        <w:ind w:left="0" w:right="0" w:hanging="3600"/>
        <w:jc w:val="both"/>
        <w:rPr/>
      </w:pPr>
      <w:r>
        <w:rPr/>
      </w:r>
    </w:p>
    <w:p>
      <w:pPr>
        <w:pStyle w:val="TextBody"/>
        <w:bidi w:val="0"/>
        <w:spacing w:lineRule="auto" w:line="240" w:before="0" w:after="240"/>
        <w:jc w:val="both"/>
        <w:rPr/>
      </w:pPr>
      <w:r>
        <w:rPr>
          <w:rFonts w:ascii="Times New Roman;sans-serif" w:hAnsi="Times New Roman;sans-serif"/>
          <w:b/>
          <w:color w:val="000000"/>
          <w:sz w:val="22"/>
        </w:rPr>
        <w:t>Performance Period</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January 29, 2023 through January 31, 2026</w:t>
      </w:r>
    </w:p>
    <w:p>
      <w:pPr>
        <w:pStyle w:val="TextBody"/>
        <w:bidi w:val="0"/>
        <w:spacing w:lineRule="auto" w:line="240" w:before="0" w:after="240"/>
        <w:jc w:val="both"/>
        <w:rPr/>
      </w:pPr>
      <w:r>
        <w:rPr>
          <w:rFonts w:ascii="Times New Roman;sans-serif" w:hAnsi="Times New Roman;sans-serif"/>
          <w:b/>
          <w:color w:val="000000"/>
          <w:sz w:val="22"/>
        </w:rPr>
        <w:t>Vesting Criteria:</w:t>
      </w:r>
      <w:r>
        <w:rPr>
          <w:color w:val="000000"/>
        </w:rPr>
        <w:t>            </w:t>
      </w: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jc w:val="both"/>
        <w:rPr/>
      </w:pPr>
      <w:r>
        <w:rPr/>
      </w:r>
    </w:p>
    <w:p>
      <w:pPr>
        <w:pStyle w:val="TextBody"/>
        <w:bidi w:val="0"/>
        <w:spacing w:lineRule="auto" w:line="240" w:before="240" w:after="283"/>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06705"/>
                <wp:effectExtent l="0" t="0" r="0" b="0"/>
                <wp:wrapNone/>
                <wp:docPr id="221" name="Frame22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RESTRICTED STOCK UNIT AGREEMENT</w:t>
        <w:br/>
        <w:t>UNDER THE</w:t>
        <w:br/>
        <w:t>ACADEMY SPORTS AND OUTDOORS, INC.</w:t>
        <w:br/>
        <w:t>2020 OMNIBUS INCENTIVE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Restricted Stock Unit Agreement (this “</w:t>
      </w:r>
      <w:r>
        <w:rPr>
          <w:rFonts w:ascii="Times New Roman;sans-serif" w:hAnsi="Times New Roman;sans-serif"/>
          <w:b w:val="false"/>
          <w:color w:val="000000"/>
          <w:sz w:val="22"/>
          <w:u w:val="single"/>
        </w:rPr>
        <w:t>Restricted Stock Unit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Restricted Stock Units</w:t>
      </w:r>
      <w:r>
        <w:rPr>
          <w:rFonts w:ascii="Times New Roman;sans-serif" w:hAnsi="Times New Roman;sans-serif"/>
          <w:b w:val="false"/>
          <w:color w:val="000000"/>
          <w:sz w:val="22"/>
        </w:rPr>
        <w:t xml:space="preserve">. Each Restricted Stock Unit granted to the Participant pursuant to the Grant Notice 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Vested Restricted Stock Units</w:t>
      </w:r>
      <w:r>
        <w:rPr>
          <w:rFonts w:ascii="Times New Roman;sans-serif" w:hAnsi="Times New Roman;sans-serif"/>
          <w:b w:val="false"/>
          <w:color w:val="000000"/>
          <w:sz w:val="22"/>
        </w:rPr>
        <w:t xml:space="preserve">. Upon the vesting of a Restricted Stock Unit hereunder, and subject to any election by the Committee pursuant to Section 9(d)(ii) of the Plan, the Company will deliver one share of Common Stock for each vested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Restricted Stock Units Upon Termination</w:t>
      </w:r>
      <w:r>
        <w:rPr>
          <w:rFonts w:ascii="Times New Roman;sans-serif" w:hAnsi="Times New Roman;sans-serif"/>
          <w:b w:val="false"/>
          <w:color w:val="000000"/>
          <w:sz w:val="22"/>
        </w:rPr>
        <w:t xml:space="preserve">. Except as otherwise provided in the Grant Notice or as 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Restricted Stock Units as may otherwise be required by applicable law; and (iii)</w:t>
      </w:r>
      <w:r>
        <w:rPr>
          <w:color w:val="000000"/>
        </w:rPr>
        <w:t xml:space="preserve"> </w:t>
      </w:r>
      <w:r>
        <w:rPr>
          <w:rFonts w:ascii="Times New Roman;sans-serif" w:hAnsi="Times New Roman;sans-serif"/>
          <w:b w:val="false"/>
          <w:color w:val="000000"/>
          <w:sz w:val="22"/>
        </w:rPr>
        <w:t>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481965"/>
                <wp:effectExtent l="0" t="0" r="0" b="0"/>
                <wp:wrapNone/>
                <wp:docPr id="222" name="Frame221"/>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The Restricted Stock Units are not transferable by the Participant except to Permitted 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The Participant must pay to the Company any amount that the Company determines it is required to withhold under applicable federal, state or local or foreign tax laws in respect of the vesting and settlement of the shares of Common Stock underlying the Restricted Stock Units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under the Restricted Stock Units;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Restricted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Restricted Stock Unit Agreement does not confer upon the Participant any right to continue as an employee or other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06705"/>
                <wp:effectExtent l="0" t="0" r="0" b="0"/>
                <wp:wrapNone/>
                <wp:docPr id="223" name="Frame22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Restricted Stock Unit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The Restricted Stock Units granted hereunder, and the shares of Common Stock issued to the 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xml:space="preserve">.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06705"/>
                <wp:effectExtent l="0" t="0" r="0" b="0"/>
                <wp:wrapNone/>
                <wp:docPr id="224" name="Frame22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color w:val="000000"/>
          <w:sz w:val="22"/>
          <w:u w:val="single"/>
        </w:rPr>
        <w:t>Transmission Acknowledgement</w:t>
      </w:r>
      <w:r>
        <w:rPr>
          <w:rFonts w:ascii="Times New Roman;sans-serif" w:hAnsi="Times New Roman;sans-serif"/>
          <w:b w:val="false"/>
          <w:color w:val="000000"/>
          <w:sz w:val="22"/>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sans-serif" w:hAnsi="Times New Roman;sans-serif"/>
          <w:b w:val="false"/>
          <w:color w:val="000000"/>
          <w:sz w:val="22"/>
          <w:u w:val="single"/>
        </w:rPr>
        <w:t>Restricted Stock Unit Governing Documents</w:t>
      </w:r>
      <w:r>
        <w:rPr>
          <w:color w:val="000000"/>
        </w:rPr>
        <w:t>”</w:t>
      </w:r>
      <w:r>
        <w:rPr>
          <w:rFonts w:ascii="Times New Roman;sans-serif" w:hAnsi="Times New Roman;sans-serif"/>
          <w:b w:val="false"/>
          <w:color w:val="000000"/>
          <w:sz w:val="22"/>
        </w:rPr>
        <w:t>), the Restricted Stock Unit Governing Documents shall control.</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xml:space="preserve">. The Grant Notice and the Restricted Stock Unit Governing Documents constitute the entire agreement of the parties hereto in respect of the subject matter contained herein and supersede all prior agreements and understandings of the parties, oral and written, with respect to such subject matter (including, for the avoidance of doubt, the terms set forth in that certain section of the CEO’s Employment Agreement pertaining to “Equity Grants”). </w:t>
      </w:r>
    </w:p>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10.6</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06705"/>
                <wp:effectExtent l="0" t="0" r="0" b="0"/>
                <wp:wrapNone/>
                <wp:docPr id="225" name="Frame22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1018342.2</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CEO – 2023 Time-Based RSU Agreement</w:t>
      </w:r>
    </w:p>
    <w:p>
      <w:pPr>
        <w:pStyle w:val="TextBody"/>
        <w:bidi w:val="0"/>
        <w:spacing w:before="0" w:after="24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br/>
        <w:t>UNDER THE</w:t>
        <w:br/>
        <w:t xml:space="preserve">ACADEMY SPORTS AND OUTDOORS, INC. </w:t>
        <w:br/>
        <w:t>2020 OMNIBUS INCENTIVE PLAN</w:t>
      </w:r>
    </w:p>
    <w:p>
      <w:pPr>
        <w:pStyle w:val="TextBody"/>
        <w:bidi w:val="0"/>
        <w:spacing w:before="0" w:after="24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Restricted Stock Units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both"/>
        <w:rPr/>
      </w:pPr>
      <w:r>
        <w:rPr>
          <w:rFonts w:ascii="Times New Roman;sans-serif" w:hAnsi="Times New Roman;sans-serif"/>
          <w:b/>
          <w:color w:val="000000"/>
          <w:sz w:val="22"/>
        </w:rPr>
        <w:t>Participant</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First Name</w:t>
      </w:r>
      <w:r>
        <w:rPr>
          <w:rFonts w:ascii="Times New Roman;sans-serif" w:hAnsi="Times New Roman;sans-serif"/>
          <w:b w:val="false"/>
          <w:color w:val="000000"/>
          <w:sz w:val="22"/>
        </w:rPr>
        <w:t>] [</w:t>
      </w:r>
      <w:r>
        <w:rPr>
          <w:rFonts w:ascii="Times New Roman;sans-serif" w:hAnsi="Times New Roman;sans-serif"/>
          <w:b w:val="false"/>
          <w:i/>
          <w:color w:val="000000"/>
          <w:sz w:val="22"/>
        </w:rPr>
        <w:t>Last Name</w:t>
      </w:r>
      <w:r>
        <w:rPr>
          <w:rFonts w:ascii="Times New Roman;sans-serif" w:hAnsi="Times New Roman;sans-serif"/>
          <w:b w:val="false"/>
          <w:color w:val="000000"/>
          <w:sz w:val="22"/>
        </w:rPr>
        <w:t>]</w:t>
      </w:r>
    </w:p>
    <w:p>
      <w:pPr>
        <w:pStyle w:val="TextBody"/>
        <w:bidi w:val="0"/>
        <w:spacing w:lineRule="auto" w:line="240" w:before="0" w:after="240"/>
        <w:ind w:left="0" w:right="0" w:hanging="3600"/>
        <w:jc w:val="both"/>
        <w:rPr/>
      </w:pPr>
      <w:r>
        <w:rPr>
          <w:rFonts w:ascii="Times New Roman;sans-serif" w:hAnsi="Times New Roman;sans-serif"/>
          <w:b/>
          <w:color w:val="000000"/>
          <w:sz w:val="22"/>
        </w:rPr>
        <w:t>Date of Grant</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Date of Grant</w:t>
      </w:r>
      <w:r>
        <w:rPr>
          <w:rFonts w:ascii="Times New Roman;sans-serif" w:hAnsi="Times New Roman;sans-serif"/>
          <w:b w:val="false"/>
          <w:color w:val="000000"/>
          <w:sz w:val="22"/>
        </w:rPr>
        <w:t>]</w:t>
      </w:r>
    </w:p>
    <w:p>
      <w:pPr>
        <w:pStyle w:val="TextBody"/>
        <w:bidi w:val="0"/>
        <w:spacing w:lineRule="auto" w:line="240" w:before="0" w:after="0"/>
        <w:ind w:left="0" w:right="0" w:hanging="3600"/>
        <w:jc w:val="both"/>
        <w:rPr>
          <w:rFonts w:ascii="Times New Roman;sans-serif" w:hAnsi="Times New Roman;sans-serif"/>
          <w:b/>
          <w:color w:val="000000"/>
          <w:sz w:val="22"/>
        </w:rPr>
      </w:pPr>
      <w:r>
        <w:rPr>
          <w:rFonts w:ascii="Times New Roman;sans-serif" w:hAnsi="Times New Roman;sans-serif"/>
          <w:b/>
          <w:color w:val="000000"/>
          <w:sz w:val="22"/>
        </w:rPr>
        <w:t xml:space="preserve">Number of </w:t>
      </w:r>
    </w:p>
    <w:p>
      <w:pPr>
        <w:pStyle w:val="TextBody"/>
        <w:bidi w:val="0"/>
        <w:spacing w:lineRule="auto" w:line="240" w:before="0" w:after="0"/>
        <w:ind w:left="0" w:right="0" w:hanging="3600"/>
        <w:jc w:val="both"/>
        <w:rPr/>
      </w:pPr>
      <w:r>
        <w:rPr>
          <w:rFonts w:ascii="Times New Roman;sans-serif" w:hAnsi="Times New Roman;sans-serif"/>
          <w:b/>
          <w:color w:val="000000"/>
          <w:sz w:val="22"/>
        </w:rPr>
        <w:t>Restricted Stock Units</w:t>
      </w:r>
      <w:r>
        <w:rPr>
          <w:rFonts w:ascii="Times New Roman;sans-serif" w:hAnsi="Times New Roman;sans-serif"/>
          <w:b w:val="false"/>
          <w:color w:val="000000"/>
          <w:sz w:val="22"/>
        </w:rPr>
        <w:t xml:space="preserve">: </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Insert Number of Restricted Stock Units Granted</w:t>
      </w:r>
      <w:r>
        <w:rPr>
          <w:rFonts w:ascii="Times New Roman;sans-serif" w:hAnsi="Times New Roman;sans-serif"/>
          <w:b w:val="false"/>
          <w:color w:val="000000"/>
          <w:sz w:val="22"/>
        </w:rPr>
        <w:t>]</w:t>
      </w:r>
    </w:p>
    <w:p>
      <w:pPr>
        <w:pStyle w:val="TextBody"/>
        <w:bidi w:val="0"/>
        <w:spacing w:before="0" w:after="0"/>
        <w:ind w:left="0" w:right="0" w:hanging="3600"/>
        <w:jc w:val="both"/>
        <w:rPr/>
      </w:pPr>
      <w:r>
        <w:rPr/>
      </w:r>
    </w:p>
    <w:p>
      <w:pPr>
        <w:pStyle w:val="TextBody"/>
        <w:bidi w:val="0"/>
        <w:spacing w:lineRule="auto" w:line="240" w:before="0" w:after="0"/>
        <w:jc w:val="left"/>
        <w:rPr/>
      </w:pPr>
      <w:r>
        <w:rPr>
          <w:rFonts w:ascii="Times New Roman;sans-serif" w:hAnsi="Times New Roman;sans-serif"/>
          <w:b/>
          <w:color w:val="000000"/>
          <w:sz w:val="22"/>
        </w:rPr>
        <w:t>Vesting Schedule</w:t>
      </w:r>
      <w:r>
        <w:rPr>
          <w:rFonts w:ascii="Times New Roman;sans-serif" w:hAnsi="Times New Roman;sans-serif"/>
          <w:b w:val="false"/>
          <w:color w:val="000000"/>
          <w:sz w:val="22"/>
        </w:rPr>
        <w:t>:</w:t>
      </w:r>
      <w:r>
        <w:rPr>
          <w:color w:val="000000"/>
        </w:rPr>
        <w:t>            </w:t>
      </w: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jc w:val="center"/>
        <w:rPr/>
      </w:pPr>
      <w:r>
        <w:rPr/>
      </w:r>
    </w:p>
    <w:p>
      <w:pPr>
        <w:pStyle w:val="TextBody"/>
        <w:bidi w:val="0"/>
        <w:spacing w:lineRule="auto" w:line="240" w:before="240" w:after="283"/>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06705"/>
                <wp:effectExtent l="0" t="0" r="0" b="0"/>
                <wp:wrapNone/>
                <wp:docPr id="226" name="Frame22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RESTRICTED STOCK UNIT AGREEMENT</w:t>
        <w:br/>
        <w:t>UNDER THE</w:t>
        <w:br/>
        <w:t>ACADEMY SPORTS AND OUTDOORS, INC.</w:t>
        <w:br/>
        <w:t>2020 OMNIBUS INCENTIVE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Restricted Stock Unit Agreement (this “</w:t>
      </w:r>
      <w:r>
        <w:rPr>
          <w:rFonts w:ascii="Times New Roman;sans-serif" w:hAnsi="Times New Roman;sans-serif"/>
          <w:b w:val="false"/>
          <w:color w:val="000000"/>
          <w:sz w:val="22"/>
          <w:u w:val="single"/>
        </w:rPr>
        <w:t>Restricted Stock Unit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Restricted Stock Units</w:t>
      </w:r>
      <w:r>
        <w:rPr>
          <w:rFonts w:ascii="Times New Roman;sans-serif" w:hAnsi="Times New Roman;sans-serif"/>
          <w:b w:val="false"/>
          <w:color w:val="000000"/>
          <w:sz w:val="22"/>
        </w:rPr>
        <w:t xml:space="preserve">. Each Restricted Stock Unit granted to the Participant pursuant to the Grant Notice 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Restricted Stock Units</w:t>
      </w:r>
      <w:r>
        <w:rPr>
          <w:rFonts w:ascii="Times New Roman;sans-serif" w:hAnsi="Times New Roman;sans-serif"/>
          <w:b w:val="false"/>
          <w:color w:val="000000"/>
          <w:sz w:val="22"/>
        </w:rPr>
        <w:t xml:space="preserve">. Upon the vesting of a Restricted Stock Unit hereunder, and subject to any election by the Committee pursuant to Section 9(d)(ii) of the Plan, the Company will deliver one share of Common Stock for each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Restricted Stock Units Upon Termination</w:t>
      </w:r>
      <w:r>
        <w:rPr>
          <w:rFonts w:ascii="Times New Roman;sans-serif" w:hAnsi="Times New Roman;sans-serif"/>
          <w:b w:val="false"/>
          <w:color w:val="000000"/>
          <w:sz w:val="22"/>
        </w:rPr>
        <w:t xml:space="preserve">. Except as otherwise provided in the Grant Notice or as 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vested Restricted Stock Units as may otherwise be required by applicable law; and (iii)</w:t>
      </w:r>
      <w:r>
        <w:rPr>
          <w:color w:val="000000"/>
        </w:rPr>
        <w:t xml:space="preserve"> </w:t>
      </w:r>
      <w:r>
        <w:rPr>
          <w:rFonts w:ascii="Times New Roman;sans-serif" w:hAnsi="Times New Roman;sans-serif"/>
          <w:b w:val="false"/>
          <w:color w:val="000000"/>
          <w:sz w:val="22"/>
        </w:rPr>
        <w:t>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481965"/>
                <wp:effectExtent l="0" t="0" r="0" b="0"/>
                <wp:wrapNone/>
                <wp:docPr id="227" name="Frame226"/>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6.</w:t>
      </w:r>
      <w:r>
        <w:rPr>
          <w:color w:val="000000"/>
        </w:rPr>
        <w:t xml:space="preserve">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The Restricted Stock Units are not transferable by the Participant except to Permitted 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lineRule="auto" w:line="240" w:before="24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The Participant must pay to the Company any amount that the Company determines it is required to withhold under applicable federal, state or local or foreign tax laws in respect of the vesting and settlement of the shares of Common Stock underlying the Restricted Stock Units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under the Restricted Stock Units;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Restricted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Restricted Stock Unit Agreement does not confer upon the Participant any right to continue as an employee or other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06705"/>
                <wp:effectExtent l="0" t="0" r="0" b="0"/>
                <wp:wrapNone/>
                <wp:docPr id="228" name="Frame22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Restricted Stock Unit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The Restricted Stock Units granted hereunder, and the shares of Common Stock issued to the 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xml:space="preserve">. Notwithstanding any provision in this Restricted Stock Unit Agreement to the contrary, this Restricted Stock Unit Agreement will be interpreted and applied so that the Restricted Stock Unit Agreement does not fail to meet, and is operated in accordance with, the requirements of Section 409A of the Code. The Company reserves the right to change the terms of this Restricted Stock Unit Agreement and the Plan without the Participant’s consent to the extent necessary or desirable to comply with the requirements of Section 409A of the Code. Further, in accordance with the restrictions provided by Treasury Regulation Section 1.409A-3(j)(2), any subsequent amendments to this Restricted Stock Unit Agreement or any other agreement, or the entering into or termination of any other agreement, affecting the Restricted Stock Units provided by this Restricted Stock Unit Agreement shall not modify the time or form of issuance of the Restricted Stock Units set forth in this Restricted Stock Unit Agreement. In addition, if the Participant is a “specified employee” within the meaning of Section 409A of the Code, as determined by the Company, any payment made in connection with the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06705"/>
                <wp:effectExtent l="0" t="0" r="0" b="0"/>
                <wp:wrapNone/>
                <wp:docPr id="229" name="Frame22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Participant’s separation from service shall not be made earlier than six (6) months and one day after the date of such separation from service to the extent required by Section 409A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color w:val="000000"/>
          <w:sz w:val="22"/>
          <w:u w:val="single"/>
        </w:rPr>
        <w:t>Transmission</w:t>
      </w:r>
      <w:r>
        <w:rPr>
          <w:color w:val="000000"/>
          <w:u w:val="single"/>
        </w:rPr>
        <w:t xml:space="preserve"> </w:t>
      </w:r>
      <w:r>
        <w:rPr>
          <w:rFonts w:ascii="Times New Roman;sans-serif" w:hAnsi="Times New Roman;sans-serif"/>
          <w:b/>
          <w:color w:val="000000"/>
          <w:sz w:val="22"/>
          <w:u w:val="single"/>
        </w:rPr>
        <w:t>Acknowledgement</w:t>
      </w:r>
      <w:r>
        <w:rPr>
          <w:rFonts w:ascii="Times New Roman;sans-serif" w:hAnsi="Times New Roman;sans-serif"/>
          <w:b w:val="false"/>
          <w:color w:val="000000"/>
          <w:sz w:val="22"/>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sans-serif" w:hAnsi="Times New Roman;sans-serif"/>
          <w:b w:val="false"/>
          <w:color w:val="000000"/>
          <w:sz w:val="22"/>
          <w:u w:val="single"/>
        </w:rPr>
        <w:t>Restricted Stock Unit Governing Documents</w:t>
      </w:r>
      <w:r>
        <w:rPr>
          <w:color w:val="000000"/>
        </w:rPr>
        <w:t>”</w:t>
      </w:r>
      <w:r>
        <w:rPr>
          <w:rFonts w:ascii="Times New Roman;sans-serif" w:hAnsi="Times New Roman;sans-serif"/>
          <w:b w:val="false"/>
          <w:color w:val="000000"/>
          <w:sz w:val="22"/>
        </w:rPr>
        <w:t>), the Restricted Stock Unit Governing Documents shall control.</w:t>
      </w:r>
    </w:p>
    <w:p>
      <w:pPr>
        <w:pStyle w:val="TextBody"/>
        <w:bidi w:val="0"/>
        <w:spacing w:before="0" w:after="0"/>
        <w:ind w:left="0" w:right="0" w:firstLine="144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The Grant Notice and the Restricted Stock Unit Governing Documents constitute the entire agreement of the parties hereto in respect of the subject matter contained herein and supersede all prior agreements and understandings of the parties, oral and written, with respect to such subject matter (including, for the avoidance of doubt, the terms set forth in that certain section of the CEO’s Employment Agreement pertaining to “Equity Grants”).</w:t>
      </w:r>
    </w:p>
    <w:p>
      <w:pPr>
        <w:pStyle w:val="TextBody"/>
        <w:bidi w:val="0"/>
        <w:spacing w:before="0" w:after="0"/>
        <w:ind w:left="0" w:right="0" w:firstLine="1440"/>
        <w:jc w:val="both"/>
        <w:rPr/>
      </w:pPr>
      <w:r>
        <w:rPr/>
      </w:r>
    </w:p>
    <w:p>
      <w:pPr>
        <w:pStyle w:val="TextBody"/>
        <w:bidi w:val="0"/>
        <w:ind w:left="0" w:right="0" w:firstLine="14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06705"/>
                <wp:effectExtent l="0" t="0" r="0" b="0"/>
                <wp:wrapNone/>
                <wp:docPr id="230" name="Frame22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1018349.2</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CEO – 2023 Time Option</w: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OPTION GRANT NOTICE</w:t>
        <w:br/>
        <w:t>UNDER THE</w:t>
        <w:br/>
        <w:t>ACADEMY SPORTS AND OUTDOORS, INC.</w:t>
        <w:br/>
        <w:t>2020 OMNIBUS INCENTIVE PLAN</w:t>
      </w:r>
    </w:p>
    <w:p>
      <w:pPr>
        <w:pStyle w:val="TextBody"/>
        <w:bidi w:val="0"/>
        <w:spacing w:before="0" w:after="240"/>
        <w:ind w:left="0" w:right="0" w:firstLine="144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Participant set forth below the number of Options set forth below at an Exercise Price per share as set forth below pursuant to its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The Options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shall have the meanings set forth in the Plan. </w:t>
      </w:r>
    </w:p>
    <w:p>
      <w:pPr>
        <w:pStyle w:val="TextBody"/>
        <w:bidi w:val="0"/>
        <w:spacing w:lineRule="auto" w:line="240" w:before="0" w:after="240"/>
        <w:ind w:left="0" w:right="0" w:hanging="3600"/>
        <w:jc w:val="left"/>
        <w:rPr/>
      </w:pPr>
      <w:r>
        <w:rPr>
          <w:rFonts w:ascii="Times New Roman;sans-serif" w:hAnsi="Times New Roman;sans-serif"/>
          <w:b/>
          <w:color w:val="000000"/>
          <w:sz w:val="22"/>
        </w:rPr>
        <w:t>Participant</w:t>
      </w:r>
      <w:r>
        <w:rPr>
          <w:rFonts w:ascii="Times New Roman;sans-serif" w:hAnsi="Times New Roman;sans-serif"/>
          <w:b w:val="false"/>
          <w:color w:val="000000"/>
          <w:sz w:val="22"/>
        </w:rPr>
        <w:t>:    [</w:t>
      </w:r>
      <w:r>
        <w:rPr>
          <w:rFonts w:ascii="Times New Roman;sans-serif" w:hAnsi="Times New Roman;sans-serif"/>
          <w:b w:val="false"/>
          <w:i/>
          <w:color w:val="000000"/>
          <w:sz w:val="22"/>
        </w:rPr>
        <w:t>First Name</w:t>
      </w:r>
      <w:r>
        <w:rPr>
          <w:rFonts w:ascii="Times New Roman;sans-serif" w:hAnsi="Times New Roman;sans-serif"/>
          <w:b w:val="false"/>
          <w:color w:val="000000"/>
          <w:sz w:val="22"/>
        </w:rPr>
        <w:t>] [</w:t>
      </w:r>
      <w:r>
        <w:rPr>
          <w:rFonts w:ascii="Times New Roman;sans-serif" w:hAnsi="Times New Roman;sans-serif"/>
          <w:b w:val="false"/>
          <w:i/>
          <w:color w:val="000000"/>
          <w:sz w:val="22"/>
        </w:rPr>
        <w:t>Last Name</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Date of Grant</w:t>
      </w:r>
      <w:r>
        <w:rPr>
          <w:rFonts w:ascii="Times New Roman;sans-serif" w:hAnsi="Times New Roman;sans-serif"/>
          <w:b w:val="false"/>
          <w:color w:val="000000"/>
          <w:sz w:val="22"/>
        </w:rPr>
        <w:t>:     [</w:t>
      </w:r>
      <w:r>
        <w:rPr>
          <w:rFonts w:ascii="Times New Roman;sans-serif" w:hAnsi="Times New Roman;sans-serif"/>
          <w:b w:val="false"/>
          <w:i/>
          <w:color w:val="000000"/>
          <w:sz w:val="22"/>
        </w:rPr>
        <w:t>Date of Grant</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Number of Options</w:t>
      </w:r>
      <w:r>
        <w:rPr>
          <w:rFonts w:ascii="Times New Roman;sans-serif" w:hAnsi="Times New Roman;sans-serif"/>
          <w:b w:val="false"/>
          <w:color w:val="000000"/>
          <w:sz w:val="22"/>
        </w:rPr>
        <w:t>:     [</w:t>
      </w:r>
      <w:r>
        <w:rPr>
          <w:rFonts w:ascii="Times New Roman;sans-serif" w:hAnsi="Times New Roman;sans-serif"/>
          <w:b w:val="false"/>
          <w:i/>
          <w:color w:val="000000"/>
          <w:sz w:val="22"/>
        </w:rPr>
        <w:t>Number of Options Granted</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Exercise Price per Share</w:t>
      </w:r>
      <w:r>
        <w:rPr>
          <w:rFonts w:ascii="Times New Roman;sans-serif" w:hAnsi="Times New Roman;sans-serif"/>
          <w:b w:val="false"/>
          <w:color w:val="000000"/>
          <w:sz w:val="22"/>
        </w:rPr>
        <w:t>:     [</w:t>
      </w:r>
      <w:r>
        <w:rPr>
          <w:rFonts w:ascii="Times New Roman;sans-serif" w:hAnsi="Times New Roman;sans-serif"/>
          <w:b w:val="false"/>
          <w:i/>
          <w:color w:val="000000"/>
          <w:sz w:val="22"/>
        </w:rPr>
        <w:t>Closing stock price on date of grant</w:t>
      </w:r>
      <w:r>
        <w:rPr>
          <w:rFonts w:ascii="Times New Roman;sans-serif" w:hAnsi="Times New Roman;sans-serif"/>
          <w:b w:val="false"/>
          <w:color w:val="000000"/>
          <w:sz w:val="22"/>
        </w:rPr>
        <w:t>]</w:t>
      </w:r>
    </w:p>
    <w:p>
      <w:pPr>
        <w:pStyle w:val="TextBody"/>
        <w:bidi w:val="0"/>
        <w:spacing w:lineRule="auto" w:line="240" w:before="0" w:after="240"/>
        <w:ind w:left="0" w:right="0" w:hanging="3600"/>
        <w:jc w:val="left"/>
        <w:rPr/>
      </w:pPr>
      <w:r>
        <w:rPr>
          <w:rFonts w:ascii="Times New Roman;sans-serif" w:hAnsi="Times New Roman;sans-serif"/>
          <w:b/>
          <w:color w:val="000000"/>
          <w:sz w:val="22"/>
        </w:rPr>
        <w:t>Option Period Expiration Date</w:t>
      </w:r>
      <w:r>
        <w:rPr>
          <w:rFonts w:ascii="Times New Roman;sans-serif" w:hAnsi="Times New Roman;sans-serif"/>
          <w:b w:val="false"/>
          <w:color w:val="000000"/>
          <w:sz w:val="22"/>
        </w:rPr>
        <w:t>:     10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anniversary of Date of Grant</w:t>
      </w:r>
    </w:p>
    <w:p>
      <w:pPr>
        <w:pStyle w:val="TextBody"/>
        <w:bidi w:val="0"/>
        <w:spacing w:lineRule="auto" w:line="240" w:before="0" w:after="240"/>
        <w:ind w:left="0" w:right="0" w:hanging="3600"/>
        <w:jc w:val="left"/>
        <w:rPr/>
      </w:pPr>
      <w:r>
        <w:rPr>
          <w:rFonts w:ascii="Times New Roman;sans-serif" w:hAnsi="Times New Roman;sans-serif"/>
          <w:b/>
          <w:color w:val="000000"/>
          <w:sz w:val="22"/>
        </w:rPr>
        <w:t>Type of Option</w:t>
      </w:r>
      <w:r>
        <w:rPr>
          <w:rFonts w:ascii="Times New Roman;sans-serif" w:hAnsi="Times New Roman;sans-serif"/>
          <w:b w:val="false"/>
          <w:color w:val="000000"/>
          <w:sz w:val="22"/>
        </w:rPr>
        <w:t>:     Nonqualified Stock Option</w:t>
      </w:r>
    </w:p>
    <w:p>
      <w:pPr>
        <w:pStyle w:val="TextBody"/>
        <w:bidi w:val="0"/>
        <w:spacing w:lineRule="auto" w:line="240" w:before="0" w:after="240"/>
        <w:ind w:left="0" w:right="0" w:hanging="3600"/>
        <w:jc w:val="both"/>
        <w:rPr/>
      </w:pPr>
      <w:r>
        <w:rPr>
          <w:rFonts w:ascii="Times New Roman;sans-serif" w:hAnsi="Times New Roman;sans-serif"/>
          <w:b/>
          <w:color w:val="000000"/>
          <w:sz w:val="22"/>
        </w:rPr>
        <w:t>Vesting Schedule</w:t>
      </w:r>
      <w:r>
        <w:rPr>
          <w:rFonts w:ascii="Times New Roman;sans-serif" w:hAnsi="Times New Roman;sans-serif"/>
          <w:b w:val="false"/>
          <w:color w:val="000000"/>
          <w:sz w:val="22"/>
        </w:rPr>
        <w:t xml:space="preserve">:    Set forth on </w:t>
      </w:r>
      <w:r>
        <w:rPr>
          <w:rFonts w:ascii="Times New Roman;sans-serif" w:hAnsi="Times New Roman;sans-serif"/>
          <w:b w:val="false"/>
          <w:color w:val="000000"/>
          <w:sz w:val="22"/>
          <w:u w:val="single"/>
        </w:rPr>
        <w:t>Appendix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240"/>
        <w:jc w:val="center"/>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IN CONNECTION WITH THIS GRANT, AND IN ADDITION TO THIS GRANT NOTICE, PARTICIPANT HAS RECEIVED A COPY OF THE PLAN AND THE OPTION AGREEMENT. PARTICIPANT MAY REJECT THIS AWARD OF OPTIONS BY NOTIFYING THE COMPANY NO LATER THAN THE FIFTH BUSINESS DAY FOLLOWING RECEIPT OF THIS AWARD DOCUMENT. FAILURE TO REJECT THIS AWARD OF OPTIONS WITHIN SUCH 5-DAY PERIOD SHALL BE DEEMED ACCEPTANCE OF THIS AWARD OF OPTIONS AND THE TERMS AND CONDITIONS OF THIS AWARD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481965"/>
                <wp:effectExtent l="0" t="0" r="0" b="0"/>
                <wp:wrapNone/>
                <wp:docPr id="231" name="Frame230"/>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OPTION AGREEMENT</w:t>
        <w:br/>
        <w:t>UNDER THE</w:t>
        <w:br/>
        <w:t>ACADEMY SPORTS AND OUTDOORS, INC.</w:t>
        <w:br/>
        <w:t>2020 OMNIBUS INCENTIVE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Pursuant to the Option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Option Agreement (this “</w:t>
      </w:r>
      <w:r>
        <w:rPr>
          <w:rFonts w:ascii="Times New Roman;sans-serif" w:hAnsi="Times New Roman;sans-serif"/>
          <w:b w:val="false"/>
          <w:color w:val="000000"/>
          <w:sz w:val="22"/>
          <w:u w:val="single"/>
        </w:rPr>
        <w:t>Option Agreement</w:t>
      </w:r>
      <w:r>
        <w:rPr>
          <w:color w:val="000000"/>
        </w:rPr>
        <w:t>”</w:t>
      </w:r>
      <w:r>
        <w:rPr>
          <w:rFonts w:ascii="Times New Roman;sans-serif" w:hAnsi="Times New Roman;sans-serif"/>
          <w:b w:val="false"/>
          <w:color w:val="000000"/>
          <w:sz w:val="22"/>
        </w:rPr>
        <w:t>) and the Academy Sports and Outdoors, Inc. 2020 Omnibus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Academy Sports and Outdoors,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Option</w:t>
      </w:r>
      <w:r>
        <w:rPr>
          <w:rFonts w:ascii="Times New Roman;sans-serif" w:hAnsi="Times New Roman;sans-serif"/>
          <w:b w:val="false"/>
          <w:color w:val="000000"/>
          <w:sz w:val="22"/>
        </w:rPr>
        <w:t xml:space="preserve">. Each Option granted to the Participant pursuant to the Grant Notice represents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 </w:t>
      </w:r>
    </w:p>
    <w:p>
      <w:pPr>
        <w:pStyle w:val="TextBody"/>
        <w:bidi w:val="0"/>
        <w:spacing w:lineRule="auto" w:line="240" w:before="0" w:after="240"/>
        <w:ind w:left="0" w:right="0" w:firstLine="1440"/>
        <w:jc w:val="left"/>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Options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Exercise of Options Following Termination</w:t>
      </w:r>
      <w:r>
        <w:rPr>
          <w:rFonts w:ascii="Times New Roman;sans-serif" w:hAnsi="Times New Roman;sans-serif"/>
          <w:b w:val="false"/>
          <w:color w:val="000000"/>
          <w:sz w:val="22"/>
        </w:rPr>
        <w:t xml:space="preserve">. Except as otherwise provided in the Grant Notice or as otherwise may be provided by the Committee,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(D) a Participant’s Termination by reason of Retirement, each outstanding Option shall remain outstanding and exercisable until one (1) year after the final vesting date applicable to such Option (but in no event beyond the expiration of the Option Period); and (E) a Participant’s Termination for any other reason (including, for the avoidance of doubt, termination by the Service Recipient without Cause or by the Participant for Good Reason), each outstanding unvested Option granted to such Participant shall immediately terminate and expire, and each outstanding vested Option shall remain exercisable for one hundred eighty (180) days thereafter (but in no event beyond the expiration of the Option Period).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Method of Exercising Options</w:t>
      </w:r>
      <w:r>
        <w:rPr>
          <w:rFonts w:ascii="Times New Roman;sans-serif" w:hAnsi="Times New Roman;sans-serif"/>
          <w:b w:val="false"/>
          <w:color w:val="000000"/>
          <w:sz w:val="22"/>
        </w:rPr>
        <w:t xml:space="preserve">. The Options may be exercised by the delivery of notice of the number of Options that 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Participant shall obtain written consent from the Committee prior to the use of the method described in Section 7(d)(ii)(A) of the Plan.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481965"/>
                <wp:effectExtent l="0" t="0" r="0" b="0"/>
                <wp:wrapNone/>
                <wp:docPr id="232" name="Frame231"/>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1018345.2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Issuance of Shares of Common Stock</w:t>
      </w:r>
      <w:r>
        <w:rPr>
          <w:rFonts w:ascii="Times New Roman;sans-serif" w:hAnsi="Times New Roman;sans-serif"/>
          <w:b w:val="false"/>
          <w:color w:val="000000"/>
          <w:sz w:val="22"/>
        </w:rPr>
        <w:t xml:space="preserve">. Following the exercise of an Option hereunder, as promptly as practical after receipt of such notification and full payment of such Exercise Price and any required income or other tax withholding amount (as provided in Section 10 hereof), the Company shall issue or transfer, or cause such issue or transfer, to the Participant the number of shares of Common Stock with respect to which the Options have been so exercised, and shall either (a) deliver, or cause to be delivered, to the Participant a certificate or certificates therefor, registered in the Participant’s name or (b) cause such shares of Common Stock to be credited to the Participant’s account at the third-party plan administrator.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Conditions to Issuance of Common Stock</w:t>
      </w:r>
      <w:r>
        <w:rPr>
          <w:rFonts w:ascii="Times New Roman;sans-serif" w:hAnsi="Times New Roman;sans-serif"/>
          <w:b w:val="false"/>
          <w:color w:val="000000"/>
          <w:sz w:val="22"/>
        </w:rPr>
        <w:t>. The Company shall not be required to record the ownership by the Participant of shares of Common Stock purchased upon the exercise of the Options or portion therefore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exercise of the Option as may otherwise be required by applicable law; and (iii) the execution and delivery to the Company, to the extent not so previously executed and delivered, of such other documents and instruments as may be reasonably required by the Committee.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Participant</w:t>
      </w:r>
      <w:r>
        <w:rPr>
          <w:rFonts w:ascii="Times New Roman;sans-serif" w:hAnsi="Times New Roman;sans-serif"/>
          <w:b w:val="false"/>
          <w:color w:val="000000"/>
          <w:sz w:val="22"/>
        </w:rPr>
        <w:t xml:space="preserve">. Whenever the word “Participant” is used in any provision of this Option Agreement under circumstances where the provision should logically be construed to apply to the executors, the administrators, or the person or persons to whom the Options may be transferred in accordance with Section 14(b) of the Plan, the word “Participant” shall be deemed to include such person or persons. </w:t>
      </w:r>
    </w:p>
    <w:p>
      <w:pPr>
        <w:pStyle w:val="TextBody"/>
        <w:bidi w:val="0"/>
        <w:spacing w:lineRule="auto" w:line="240" w:before="24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xml:space="preserve">. The Options are not transferable by the Participant;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to the extent permitted by the Committee in 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xml:space="preserve">. The Participant shall have no rights as a shareholder with respect to any share of Common Stock covered by an 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Concurrently with the exercise of an Option, the Participant must pay to the Company any amount that the Company determines it is required to withhold under applicable federal, state or local or foreign tax laws in respect of the exercise or the transfer of the shares of Common Stock in connection therewith (“</w:t>
      </w:r>
      <w:r>
        <w:rPr>
          <w:rFonts w:ascii="Times New Roman;sans-serif" w:hAnsi="Times New Roman;sans-serif"/>
          <w:b w:val="false"/>
          <w:color w:val="000000"/>
          <w:sz w:val="22"/>
          <w:u w:val="single"/>
        </w:rPr>
        <w:t>Withholding Taxes</w:t>
      </w:r>
      <w:r>
        <w:rPr>
          <w:color w:val="000000"/>
        </w:rPr>
        <w:t>”</w:t>
      </w:r>
      <w:r>
        <w:rPr>
          <w:rFonts w:ascii="Times New Roman;sans-serif" w:hAnsi="Times New Roman;sans-serif"/>
          <w:b w:val="false"/>
          <w:color w:val="000000"/>
          <w:sz w:val="22"/>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payment of such proceeds is then made to the Company upon settlement of such sale, or (iii) through withholding a number of shares of Common Stock issuable upon exercise of the Option;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Committee may, in its sole discretion, direct that such withholding obligation be satisfied by any other method described in Section 14 of the Plan.</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467360"/>
                <wp:effectExtent l="0" t="0" r="0" b="0"/>
                <wp:wrapNone/>
                <wp:docPr id="233" name="Frame232"/>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1018245.2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1018245.2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Option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Option Agreement does not confer upon the Participant any right to continue as an employee or service provider to the Company or any of its Subsidiaries.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Option Agreement shall be binding upon the heirs, executors, administrators and successors of the parties 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13 of the Plan, any waiver, alteration, amendment or modification of any of the terms of this Option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Clawback; Forfeiture</w:t>
      </w:r>
      <w:r>
        <w:rPr>
          <w:rFonts w:ascii="Times New Roman;sans-serif" w:hAnsi="Times New Roman;sans-serif"/>
          <w:b w:val="false"/>
          <w:color w:val="000000"/>
          <w:sz w:val="22"/>
        </w:rPr>
        <w:t>. Notwithstanding anything to the contrary contained herein or in the Plan, if the Participant has engaged in or engages in any Detrimental Activity, then the Committee may, in its sole discretion, take actions permitted under the Plan, including: (a) canceling the Options, or (b)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offset or recoupment to the extent necessary to comply with applicable law and any Clawback Policy adopted by the Company from time to time. “</w:t>
      </w:r>
      <w:r>
        <w:rPr>
          <w:rFonts w:ascii="Times New Roman;sans-serif" w:hAnsi="Times New Roman;sans-serif"/>
          <w:b w:val="false"/>
          <w:color w:val="000000"/>
          <w:sz w:val="22"/>
          <w:u w:val="single"/>
        </w:rPr>
        <w:t>Detrimental Activity</w:t>
      </w:r>
      <w:r>
        <w:rPr>
          <w:color w:val="000000"/>
        </w:rPr>
        <w:t xml:space="preserve">” </w:t>
      </w:r>
      <w:r>
        <w:rPr>
          <w:rFonts w:ascii="Times New Roman;sans-serif" w:hAnsi="Times New Roman;sans-serif"/>
          <w:b w:val="false"/>
          <w:color w:val="000000"/>
          <w:sz w:val="22"/>
        </w:rPr>
        <w:t>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Governing Law; Venue</w:t>
      </w:r>
      <w:r>
        <w:rPr>
          <w:rFonts w:ascii="Times New Roman;sans-serif" w:hAnsi="Times New Roman;sans-serif"/>
          <w:b w:val="false"/>
          <w:color w:val="000000"/>
          <w:sz w:val="22"/>
        </w:rPr>
        <w:t>. This Option Agreement shall be construed and interpreted in accordance with the laws of the State 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Houston, Texas.</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467360"/>
                <wp:effectExtent l="0" t="0" r="0" b="0"/>
                <wp:wrapNone/>
                <wp:docPr id="234" name="Frame233"/>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1018245.2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1018245.2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Award Subject to Plan</w:t>
      </w:r>
      <w:r>
        <w:rPr>
          <w:rFonts w:ascii="Times New Roman;sans-serif" w:hAnsi="Times New Roman;sans-serif"/>
          <w:b w:val="false"/>
          <w:color w:val="000000"/>
          <w:sz w:val="22"/>
        </w:rPr>
        <w:t xml:space="preserve">. The Options granted hereunder, and the shares of Common Stock issued to the Participant upon exercise of the Options, are subject to the Plan and the terms of the Plan are hereby incorporated into this Option Agreement. By accepting the Options, the Participant acknowledges that the Participant has received and read the Plan and agrees to be bound by the terms, 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Option Agreement shall survive the termination of this Award to the extent consistent with, or necessary to carry out, the purposes thereof.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19.</w:t>
      </w:r>
      <w:r>
        <w:rPr>
          <w:color w:val="000000"/>
        </w:rPr>
        <w:t xml:space="preserve"> </w:t>
      </w:r>
      <w:r>
        <w:rPr>
          <w:rFonts w:ascii="Times New Roman;sans-serif" w:hAnsi="Times New Roman;sans-serif"/>
          <w:b/>
          <w:color w:val="000000"/>
          <w:sz w:val="22"/>
          <w:u w:val="single"/>
        </w:rPr>
        <w:t>Transmission Acknowledgement</w:t>
      </w:r>
      <w:r>
        <w:rPr>
          <w:rFonts w:ascii="Times New Roman;sans-serif" w:hAnsi="Times New Roman;sans-serif"/>
          <w:b w:val="false"/>
          <w:color w:val="000000"/>
          <w:sz w:val="22"/>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Options provided to the Participant through the third-party stock plan administrator’s web portal or otherwise conflicts with any of the terms and conditions of this Option Agreement or the Plan (collectively, the “</w:t>
      </w:r>
      <w:r>
        <w:rPr>
          <w:rFonts w:ascii="Times New Roman;sans-serif" w:hAnsi="Times New Roman;sans-serif"/>
          <w:b w:val="false"/>
          <w:color w:val="000000"/>
          <w:sz w:val="22"/>
          <w:u w:val="single"/>
        </w:rPr>
        <w:t>Option Governing Documents</w:t>
      </w:r>
      <w:r>
        <w:rPr>
          <w:color w:val="000000"/>
        </w:rPr>
        <w:t>”</w:t>
      </w:r>
      <w:r>
        <w:rPr>
          <w:rFonts w:ascii="Times New Roman;sans-serif" w:hAnsi="Times New Roman;sans-serif"/>
          <w:b w:val="false"/>
          <w:color w:val="000000"/>
          <w:sz w:val="22"/>
        </w:rPr>
        <w:t>), the Option Governing Documents shall control.</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xml:space="preserve">. The Grant Notice and the Option Governing Documents constitute the entire agreement of the parties hereto in respect of the subject matter contained herein and supersede all prior agreements and understandings of the parties, oral and written, with respect to such subject matter (including, for the avoidance of doubt, the terms set forth in that certain section of the CEO’s Employment Agreement pertaining to “Equity Grants”).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10.9</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467360"/>
                <wp:effectExtent l="0" t="0" r="0" b="0"/>
                <wp:wrapNone/>
                <wp:docPr id="235" name="Frame234"/>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1018245.2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1018245.2</w:t>
                      </w:r>
                    </w:p>
                  </w:txbxContent>
                </v:textbox>
                <w10:wrap type="none"/>
              </v:rect>
            </w:pict>
          </mc:Fallback>
        </mc:AlternateContent>
      </w:r>
    </w:p>
    <w:p>
      <w:pPr>
        <w:pStyle w:val="TextBody"/>
        <w:bidi w:val="0"/>
        <w:spacing w:before="0" w:after="240"/>
        <w:jc w:val="center"/>
        <w:rPr/>
      </w:pPr>
      <w:r>
        <w:rPr/>
        <w:drawing>
          <wp:inline distT="0" distB="0" distL="0" distR="0">
            <wp:extent cx="2190750" cy="685800"/>
            <wp:effectExtent l="0" t="0" r="0" b="0"/>
            <wp:docPr id="23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 descr=""/>
                    <pic:cNvPicPr>
                      <a:picLocks noChangeAspect="1" noChangeArrowheads="1"/>
                    </pic:cNvPicPr>
                  </pic:nvPicPr>
                  <pic:blipFill>
                    <a:blip r:embed="rId8"/>
                    <a:stretch>
                      <a:fillRect/>
                    </a:stretch>
                  </pic:blipFill>
                  <pic:spPr bwMode="auto">
                    <a:xfrm>
                      <a:off x="0" y="0"/>
                      <a:ext cx="2190750" cy="685800"/>
                    </a:xfrm>
                    <a:prstGeom prst="rect">
                      <a:avLst/>
                    </a:prstGeom>
                  </pic:spPr>
                </pic:pic>
              </a:graphicData>
            </a:graphic>
          </wp:inline>
        </w:drawing>
      </w:r>
    </w:p>
    <w:p>
      <w:pPr>
        <w:pStyle w:val="TextBody"/>
        <w:bidi w:val="0"/>
        <w:spacing w:before="0" w:after="0"/>
        <w:jc w:val="center"/>
        <w:rPr/>
      </w:pPr>
      <w:r>
        <w:rPr/>
      </w:r>
    </w:p>
    <w:p>
      <w:pPr>
        <w:pStyle w:val="TextBody"/>
        <w:bidi w:val="0"/>
        <w:spacing w:before="0" w:after="2"/>
        <w:jc w:val="center"/>
        <w:rPr/>
      </w:pPr>
      <w:r>
        <w:rPr/>
      </w:r>
    </w:p>
    <w:p>
      <w:pPr>
        <w:pStyle w:val="TextBody"/>
        <w:bidi w:val="0"/>
        <w:spacing w:lineRule="auto" w:line="300" w:before="0" w:after="2"/>
        <w:jc w:val="center"/>
        <w:rPr>
          <w:rFonts w:ascii="Arial;sans-serif" w:hAnsi="Arial;sans-serif"/>
          <w:b/>
          <w:color w:val="000000"/>
          <w:sz w:val="22"/>
        </w:rPr>
      </w:pPr>
      <w:r>
        <w:rPr>
          <w:rFonts w:ascii="Arial;sans-serif" w:hAnsi="Arial;sans-serif"/>
          <w:b/>
          <w:color w:val="000000"/>
          <w:sz w:val="22"/>
        </w:rPr>
        <w:t>ACADEMY SPORTS AND OUTDOORS, INC.</w: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Non-Employee Director Compensation Policy</w: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EFFECTIVE DATE: June 1, 2023</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I.    Purpose</w:t>
      </w:r>
    </w:p>
    <w:p>
      <w:pPr>
        <w:pStyle w:val="TextBody"/>
        <w:bidi w:val="0"/>
        <w:spacing w:lineRule="auto" w:line="300" w:before="0" w:after="240"/>
        <w:jc w:val="both"/>
        <w:rPr/>
      </w:pPr>
      <w:r>
        <w:rPr>
          <w:rFonts w:ascii="Arial;sans-serif" w:hAnsi="Arial;sans-serif"/>
          <w:b w:val="false"/>
          <w:color w:val="000000"/>
          <w:sz w:val="22"/>
        </w:rPr>
        <w:t>Each member of the board of directors (the “</w:t>
      </w:r>
      <w:r>
        <w:rPr>
          <w:rFonts w:ascii="Arial;sans-serif" w:hAnsi="Arial;sans-serif"/>
          <w:b/>
          <w:color w:val="000000"/>
          <w:sz w:val="22"/>
        </w:rPr>
        <w:t>Board</w:t>
      </w:r>
      <w:r>
        <w:rPr>
          <w:color w:val="000000"/>
        </w:rPr>
        <w:t>”</w:t>
      </w:r>
      <w:r>
        <w:rPr>
          <w:rFonts w:ascii="Arial;sans-serif" w:hAnsi="Arial;sans-serif"/>
          <w:b w:val="false"/>
          <w:color w:val="000000"/>
          <w:sz w:val="22"/>
        </w:rPr>
        <w:t>) of Academy Sports and Outdoors, Inc., a Delaware corporation (the “</w:t>
      </w:r>
      <w:r>
        <w:rPr>
          <w:rFonts w:ascii="Arial;sans-serif" w:hAnsi="Arial;sans-serif"/>
          <w:b/>
          <w:color w:val="000000"/>
          <w:sz w:val="22"/>
        </w:rPr>
        <w:t>Company</w:t>
      </w:r>
      <w:r>
        <w:rPr>
          <w:color w:val="000000"/>
        </w:rPr>
        <w:t>”</w:t>
      </w:r>
      <w:r>
        <w:rPr>
          <w:rFonts w:ascii="Arial;sans-serif" w:hAnsi="Arial;sans-serif"/>
          <w:b w:val="false"/>
          <w:color w:val="000000"/>
          <w:sz w:val="22"/>
        </w:rPr>
        <w:t>), who is not an employee of the Company (or any parent or subsidiary of the Company) (each, a “</w:t>
      </w:r>
      <w:r>
        <w:rPr>
          <w:rFonts w:ascii="Arial;sans-serif" w:hAnsi="Arial;sans-serif"/>
          <w:b/>
          <w:color w:val="000000"/>
          <w:sz w:val="22"/>
        </w:rPr>
        <w:t>Director</w:t>
      </w:r>
      <w:r>
        <w:rPr>
          <w:color w:val="000000"/>
        </w:rPr>
        <w:t>”</w:t>
      </w:r>
      <w:r>
        <w:rPr>
          <w:rFonts w:ascii="Arial;sans-serif" w:hAnsi="Arial;sans-serif"/>
          <w:b w:val="false"/>
          <w:color w:val="000000"/>
          <w:sz w:val="22"/>
        </w:rPr>
        <w:t>) shall be eligible to receive cash and equity compensation for their service on the Board and any committee thereof in accordance with this Non-Employee Director Compensation Policy (this “</w:t>
      </w:r>
      <w:r>
        <w:rPr>
          <w:rFonts w:ascii="Arial;sans-serif" w:hAnsi="Arial;sans-serif"/>
          <w:b/>
          <w:color w:val="000000"/>
          <w:sz w:val="22"/>
        </w:rPr>
        <w:t>Policy</w:t>
      </w:r>
      <w:r>
        <w:rPr>
          <w:color w:val="000000"/>
        </w:rPr>
        <w:t>”</w:t>
      </w:r>
      <w:r>
        <w:rPr>
          <w:rFonts w:ascii="Arial;sans-serif" w:hAnsi="Arial;sans-serif"/>
          <w:b w:val="false"/>
          <w:color w:val="000000"/>
          <w:sz w:val="22"/>
        </w:rPr>
        <w:t>). For the avoidance of doubt, this Policy shall not apply to members of the Board who are employees of the Company (or any parent or subsidiary of the Company). This Policy shall be reviewed annually by the Compensation Committee of the Board and remain in effect until it is amended or rescinded by further action of the Board.</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II.    Cash Compensation</w:t>
      </w:r>
    </w:p>
    <w:tbl>
      <w:tblPr>
        <w:tblW w:w="8428" w:type="dxa"/>
        <w:jc w:val="left"/>
        <w:tblInd w:w="0" w:type="dxa"/>
        <w:tblLayout w:type="fixed"/>
        <w:tblCellMar>
          <w:top w:w="28" w:type="dxa"/>
          <w:left w:w="28" w:type="dxa"/>
          <w:bottom w:w="28" w:type="dxa"/>
          <w:right w:w="28" w:type="dxa"/>
        </w:tblCellMar>
      </w:tblPr>
      <w:tblGrid>
        <w:gridCol w:w="2255"/>
        <w:gridCol w:w="1978"/>
        <w:gridCol w:w="1991"/>
        <w:gridCol w:w="645"/>
        <w:gridCol w:w="645"/>
        <w:gridCol w:w="914"/>
      </w:tblGrid>
      <w:tr>
        <w:trPr/>
        <w:tc>
          <w:tcPr>
            <w:tcW w:w="2255"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color w:val="000000"/>
                <w:sz w:val="22"/>
              </w:rPr>
            </w:pPr>
            <w:r>
              <w:rPr>
                <w:rFonts w:ascii="Arial;sans-serif" w:hAnsi="Arial;sans-serif"/>
                <w:b/>
                <w:color w:val="000000"/>
                <w:sz w:val="22"/>
              </w:rPr>
              <w:t>Position</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color w:val="000000"/>
                <w:sz w:val="22"/>
              </w:rPr>
            </w:pPr>
            <w:r>
              <w:rPr>
                <w:rFonts w:ascii="Arial;sans-serif" w:hAnsi="Arial;sans-serif"/>
                <w:b/>
                <w:color w:val="000000"/>
                <w:sz w:val="22"/>
              </w:rPr>
              <w:t>Fiscal Year Amount</w:t>
            </w:r>
          </w:p>
        </w:tc>
      </w:tr>
      <w:tr>
        <w:trPr/>
        <w:tc>
          <w:tcPr>
            <w:tcW w:w="62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Board Member Annual Retainer</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$100,000</w:t>
            </w:r>
          </w:p>
        </w:tc>
      </w:tr>
      <w:tr>
        <w:trPr/>
        <w:tc>
          <w:tcPr>
            <w:tcW w:w="62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Lead (independent) Director Annual Retainer</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$40,000</w:t>
            </w:r>
          </w:p>
        </w:tc>
      </w:tr>
      <w:tr>
        <w:trPr/>
        <w:tc>
          <w:tcPr>
            <w:tcW w:w="62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Audit Committee Chair Annual Retainer</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$30,000</w:t>
            </w:r>
          </w:p>
        </w:tc>
      </w:tr>
      <w:tr>
        <w:trPr/>
        <w:tc>
          <w:tcPr>
            <w:tcW w:w="62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Compensation Committee Chair Annual Retainer</w:t>
            </w:r>
          </w:p>
        </w:tc>
        <w:tc>
          <w:tcPr>
            <w:tcW w:w="22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$25,000</w:t>
            </w:r>
          </w:p>
        </w:tc>
      </w:tr>
      <w:tr>
        <w:trPr/>
        <w:tc>
          <w:tcPr>
            <w:tcW w:w="62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both"/>
              <w:rPr>
                <w:rFonts w:ascii="Arial;sans-serif" w:hAnsi="Arial;sans-serif"/>
                <w:b w:val="false"/>
                <w:color w:val="000000"/>
                <w:sz w:val="22"/>
              </w:rPr>
            </w:pPr>
            <w:r>
              <w:rPr>
                <w:rFonts w:ascii="Arial;sans-serif" w:hAnsi="Arial;sans-serif"/>
                <w:b w:val="false"/>
                <w:color w:val="000000"/>
                <w:sz w:val="22"/>
              </w:rPr>
              <w:t>Nominating and Governance Committee Chair Annual Retainer</w:t>
            </w:r>
          </w:p>
        </w:tc>
        <w:tc>
          <w:tcPr>
            <w:tcW w:w="22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Arial;sans-serif" w:hAnsi="Arial;sans-serif"/>
                <w:b w:val="false"/>
                <w:color w:val="000000"/>
                <w:sz w:val="22"/>
              </w:rPr>
            </w:pPr>
            <w:r>
              <w:rPr>
                <w:rFonts w:ascii="Arial;sans-serif" w:hAnsi="Arial;sans-serif"/>
                <w:b w:val="false"/>
                <w:color w:val="000000"/>
                <w:sz w:val="22"/>
              </w:rPr>
              <w:t>$20,000</w:t>
            </w:r>
          </w:p>
        </w:tc>
      </w:tr>
    </w:tbl>
    <w:p>
      <w:pPr>
        <w:pStyle w:val="TextBody"/>
        <w:bidi w:val="0"/>
        <w:spacing w:before="0" w:after="0"/>
        <w:jc w:val="both"/>
        <w:rPr/>
      </w:pPr>
      <w:r>
        <w:rPr/>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A.    All cash compensation is earned on a fiscal year basis and 25% of the Fiscal Year Amount is paid in arrears at the end of each fiscal quarter for completing a full fiscal quarter of service.</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B.    Directors who commence, or terminate, service during the fiscal quarter will receive pro-rated retainers based on the number of calendar days of service in the fiscal quarter divided by the total number of calendar days in the fiscal quarter.</w:t>
      </w:r>
    </w:p>
    <w:p>
      <w:pPr>
        <w:pStyle w:val="TextBody"/>
        <w:bidi w:val="0"/>
        <w:spacing w:before="0" w:after="240"/>
        <w:jc w:val="center"/>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41630"/>
                <wp:effectExtent l="0" t="0" r="0" b="0"/>
                <wp:wrapNone/>
                <wp:docPr id="237" name="Frame235"/>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r>
                              <w:br w:type="page"/>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424826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424826</w:t>
                      </w:r>
                    </w:p>
                  </w:txbxContent>
                </v:textbox>
                <w10:wrap type="none"/>
              </v:rect>
            </w:pict>
          </mc:Fallback>
        </mc:AlternateContent>
      </w:r>
    </w:p>
    <w:p>
      <w:pPr>
        <w:pStyle w:val="TextBody"/>
        <w:bidi w:val="0"/>
        <w:spacing w:lineRule="auto" w:line="300" w:before="0" w:after="240"/>
        <w:ind w:left="0" w:right="0" w:hanging="360"/>
        <w:jc w:val="both"/>
        <w:rPr/>
      </w:pPr>
      <w:r>
        <w:rPr>
          <w:rFonts w:ascii="Arial;sans-serif" w:hAnsi="Arial;sans-serif"/>
          <w:b w:val="false"/>
          <w:color w:val="000000"/>
          <w:sz w:val="22"/>
        </w:rPr>
        <w:t>C.    If the adoption of this Policy increases the value of any Director’s current cash compensation or if the Fiscal Year Amount is subsequently increased by the Board at any time before or after an Annual Stockholders Meeting, then the increase in cash compensation will be paid going forward from its adoption date. To the extent that any increase in Directors cash compensation is adopted</w:t>
      </w:r>
      <w:r>
        <w:rPr>
          <w:color w:val="000000"/>
        </w:rPr>
        <w:t xml:space="preserve"> </w:t>
      </w:r>
      <w:r>
        <w:rPr>
          <w:rFonts w:ascii="Arial;sans-serif" w:hAnsi="Arial;sans-serif"/>
          <w:b w:val="false"/>
          <w:color w:val="000000"/>
          <w:sz w:val="22"/>
        </w:rPr>
        <w:t>mid-quarter, the increased amount will be pro-rated based on the number of calendar days in the fiscal quarter on and after its adoption date divided by the total number of calendar days in the fiscal quarter; the calendar days in the fiscal quarter prior to such adoption date will be compensated based on the prior Directors cash compensation.</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III.    Equity Compensation</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A.    New Director Equity Award</w:t>
      </w:r>
    </w:p>
    <w:p>
      <w:pPr>
        <w:pStyle w:val="TextBody"/>
        <w:bidi w:val="0"/>
        <w:spacing w:lineRule="auto" w:line="300" w:before="0" w:after="240"/>
        <w:jc w:val="both"/>
        <w:rPr/>
      </w:pPr>
      <w:r>
        <w:rPr>
          <w:rFonts w:ascii="Arial;sans-serif" w:hAnsi="Arial;sans-serif"/>
          <w:b w:val="false"/>
          <w:color w:val="000000"/>
          <w:sz w:val="22"/>
        </w:rPr>
        <w:t>A restricted stock unit award (“</w:t>
      </w:r>
      <w:r>
        <w:rPr>
          <w:rFonts w:ascii="Arial;sans-serif" w:hAnsi="Arial;sans-serif"/>
          <w:b/>
          <w:color w:val="000000"/>
          <w:sz w:val="22"/>
        </w:rPr>
        <w:t>RSU</w:t>
      </w:r>
      <w:r>
        <w:rPr>
          <w:color w:val="000000"/>
        </w:rPr>
        <w:t>”</w:t>
      </w:r>
      <w:r>
        <w:rPr>
          <w:rFonts w:ascii="Arial;sans-serif" w:hAnsi="Arial;sans-serif"/>
          <w:b w:val="false"/>
          <w:color w:val="000000"/>
          <w:sz w:val="22"/>
        </w:rPr>
        <w:t>) will be granted automatically under the 2020 Omnibus Incentive Plan or its successor (the “</w:t>
      </w:r>
      <w:r>
        <w:rPr>
          <w:rFonts w:ascii="Arial;sans-serif" w:hAnsi="Arial;sans-serif"/>
          <w:b/>
          <w:color w:val="000000"/>
          <w:sz w:val="22"/>
        </w:rPr>
        <w:t>Plan</w:t>
      </w:r>
      <w:r>
        <w:rPr>
          <w:color w:val="000000"/>
        </w:rPr>
        <w:t>”</w:t>
      </w:r>
      <w:r>
        <w:rPr>
          <w:rFonts w:ascii="Arial;sans-serif" w:hAnsi="Arial;sans-serif"/>
          <w:b w:val="false"/>
          <w:color w:val="000000"/>
          <w:sz w:val="22"/>
        </w:rPr>
        <w:t>) to each new Director on the date the new Director is appointed to the Board based on the following conditions:</w:t>
      </w:r>
    </w:p>
    <w:p>
      <w:pPr>
        <w:pStyle w:val="TextBody"/>
        <w:bidi w:val="0"/>
        <w:spacing w:lineRule="auto" w:line="300" w:before="0" w:after="240"/>
        <w:ind w:left="0" w:right="0" w:hanging="360"/>
        <w:jc w:val="both"/>
        <w:rPr/>
      </w:pPr>
      <w:r>
        <w:rPr>
          <w:rFonts w:ascii="Arial;sans-serif" w:hAnsi="Arial;sans-serif"/>
          <w:b w:val="false"/>
          <w:color w:val="000000"/>
          <w:sz w:val="22"/>
        </w:rPr>
        <w:t>1.    The award will be based upon an annualized grant value of $160,000 (the “</w:t>
      </w:r>
      <w:r>
        <w:rPr>
          <w:rFonts w:ascii="Arial;sans-serif" w:hAnsi="Arial;sans-serif"/>
          <w:b/>
          <w:color w:val="000000"/>
          <w:sz w:val="22"/>
        </w:rPr>
        <w:t>Maximum Value</w:t>
      </w:r>
      <w:r>
        <w:rPr>
          <w:color w:val="000000"/>
        </w:rPr>
        <w:t>”</w:t>
      </w:r>
      <w:r>
        <w:rPr>
          <w:rFonts w:ascii="Arial;sans-serif" w:hAnsi="Arial;sans-serif"/>
          <w:b w:val="false"/>
          <w:color w:val="000000"/>
          <w:sz w:val="22"/>
        </w:rPr>
        <w:t>).</w:t>
      </w:r>
    </w:p>
    <w:p>
      <w:pPr>
        <w:pStyle w:val="TextBody"/>
        <w:bidi w:val="0"/>
        <w:spacing w:lineRule="auto" w:line="300" w:before="0" w:after="240"/>
        <w:ind w:left="0" w:right="0" w:hanging="360"/>
        <w:jc w:val="both"/>
        <w:rPr/>
      </w:pPr>
      <w:r>
        <w:rPr>
          <w:rFonts w:ascii="Arial;sans-serif" w:hAnsi="Arial;sans-serif"/>
          <w:b w:val="false"/>
          <w:color w:val="000000"/>
          <w:sz w:val="22"/>
        </w:rPr>
        <w:t>2.    The actual target grant value (“</w:t>
      </w:r>
      <w:r>
        <w:rPr>
          <w:rFonts w:ascii="Arial;sans-serif" w:hAnsi="Arial;sans-serif"/>
          <w:b/>
          <w:color w:val="000000"/>
          <w:sz w:val="22"/>
        </w:rPr>
        <w:t>Award Value</w:t>
      </w:r>
      <w:r>
        <w:rPr>
          <w:color w:val="000000"/>
        </w:rPr>
        <w:t>”</w:t>
      </w:r>
      <w:r>
        <w:rPr>
          <w:rFonts w:ascii="Arial;sans-serif" w:hAnsi="Arial;sans-serif"/>
          <w:b w:val="false"/>
          <w:color w:val="000000"/>
          <w:sz w:val="22"/>
        </w:rPr>
        <w:t>) will be calculated by pro-rating the Maximum Value based on the number of calendar days remaining from the date the new Director is appointed to the Board until (a) the next Annual Stockholders Meeting, if scheduled, or (b) the date of the first anniversary of the last Annual Stockholders Meeting, if the next Annual Shareholder Meeting has not been scheduled, divided by (x) the number of calendar days between the last and next scheduled Annual Stockholders Meeting, or (y) 365, if the next Annual Stockholders Meeting date does not exist.</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3.    The Award Value (as calculated directly above) will be converted into RSUs based on the prior 30 calendar days average closing stock price as of the date of appointment to the Board (rounded down to the next whole share).</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4.    Subject to the Director’s continued service with the Company on each applicable vesting date, 100% of the RSUs shall vest on the earliest of (i) the first anniversary of the date of grant, or, if earlier, the date which is the business day immediately preceding the date of the next Annual Stockholders Meeting, (ii) the Director’s termination due to death or Disability (as defined in the Plan) or (iii) a Change in Control (as defined in the Plan).</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 xml:space="preserve">5.    If the Director is appointed 60 days or less prior to the Annual Stockholders Meeting, no equity award will be granted to the new Director on the date of appointment to the Board, and an annual equity grant will be made in accordance with Section III(B) below. </w:t>
      </w:r>
    </w:p>
    <w:p>
      <w:pPr>
        <w:pStyle w:val="TextBody"/>
        <w:bidi w:val="0"/>
        <w:spacing w:before="0" w:after="240"/>
        <w:jc w:val="center"/>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46075"/>
                <wp:effectExtent l="0" t="0" r="0" b="0"/>
                <wp:wrapNone/>
                <wp:docPr id="238" name="Frame23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B.    Annual Director Equity Award</w:t>
      </w:r>
    </w:p>
    <w:p>
      <w:pPr>
        <w:pStyle w:val="TextBody"/>
        <w:bidi w:val="0"/>
        <w:spacing w:lineRule="auto" w:line="300" w:before="0" w:after="240"/>
        <w:jc w:val="both"/>
        <w:rPr/>
      </w:pPr>
      <w:r>
        <w:rPr>
          <w:rFonts w:ascii="Arial;sans-serif" w:hAnsi="Arial;sans-serif"/>
          <w:b w:val="false"/>
          <w:color w:val="000000"/>
          <w:sz w:val="22"/>
        </w:rPr>
        <w:t>An annual RSU award (“</w:t>
      </w:r>
      <w:r>
        <w:rPr>
          <w:rFonts w:ascii="Arial;sans-serif" w:hAnsi="Arial;sans-serif"/>
          <w:b/>
          <w:color w:val="000000"/>
          <w:sz w:val="22"/>
        </w:rPr>
        <w:t>Annual Award</w:t>
      </w:r>
      <w:r>
        <w:rPr>
          <w:color w:val="000000"/>
        </w:rPr>
        <w:t>”</w:t>
      </w:r>
      <w:r>
        <w:rPr>
          <w:rFonts w:ascii="Arial;sans-serif" w:hAnsi="Arial;sans-serif"/>
          <w:b w:val="false"/>
          <w:color w:val="000000"/>
          <w:sz w:val="22"/>
        </w:rPr>
        <w:t xml:space="preserve">) will be granted automatically under the Plan to each active Director on the business day immediately following the date of the Annual Stockholders Meeting based on the following conditions: </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1.    The Annual Award will have a target grant value equal to the Maximum Value.</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2.    The Annual Award will be converted into RSUs based on the prior 30 calendar days average closing stock price as of the date of the grant (rounded down to the next whole share).</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3.    Subject to the Director’s continued service with the Company on each applicable vesting date, 100% of the RSUs shall vest on the earliest of (i) the first anniversary of the date of grant, or, if earlier, the date which is the business day immediately preceding the date of the next Annual Stockholders Meeting, (ii) the Director’s termination due to death or Disability or (iii) a Change in Control.</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C.    Changes in Maximum Value Outside of the Annual Stockholders Meeting</w:t>
      </w:r>
    </w:p>
    <w:p>
      <w:pPr>
        <w:pStyle w:val="TextBody"/>
        <w:bidi w:val="0"/>
        <w:spacing w:lineRule="auto" w:line="300" w:before="0" w:after="240"/>
        <w:jc w:val="both"/>
        <w:rPr>
          <w:rFonts w:ascii="Arial;sans-serif" w:hAnsi="Arial;sans-serif"/>
          <w:b w:val="false"/>
          <w:color w:val="000000"/>
          <w:sz w:val="22"/>
        </w:rPr>
      </w:pPr>
      <w:r>
        <w:rPr>
          <w:rFonts w:ascii="Arial;sans-serif" w:hAnsi="Arial;sans-serif"/>
          <w:b w:val="false"/>
          <w:color w:val="000000"/>
          <w:sz w:val="22"/>
        </w:rPr>
        <w:t>If the Maximum Value is subsequently increased by the Board at any time before or after an Annual Stockholders Meeting, then the increase in the Maximum Value will be prorated and granted under the Plan as follows:</w:t>
      </w:r>
    </w:p>
    <w:p>
      <w:pPr>
        <w:pStyle w:val="TextBody"/>
        <w:bidi w:val="0"/>
        <w:spacing w:lineRule="auto" w:line="300" w:before="0" w:after="240"/>
        <w:ind w:left="0" w:right="0" w:hanging="360"/>
        <w:jc w:val="both"/>
        <w:rPr/>
      </w:pPr>
      <w:r>
        <w:rPr>
          <w:rFonts w:ascii="Arial;sans-serif" w:hAnsi="Arial;sans-serif"/>
          <w:b w:val="false"/>
          <w:color w:val="000000"/>
          <w:sz w:val="22"/>
        </w:rPr>
        <w:t>1.    The new target grant value (“</w:t>
      </w:r>
      <w:r>
        <w:rPr>
          <w:rFonts w:ascii="Arial;sans-serif" w:hAnsi="Arial;sans-serif"/>
          <w:b/>
          <w:color w:val="000000"/>
          <w:sz w:val="22"/>
        </w:rPr>
        <w:t>Increased Value</w:t>
      </w:r>
      <w:r>
        <w:rPr>
          <w:color w:val="000000"/>
        </w:rPr>
        <w:t>”</w:t>
      </w:r>
      <w:r>
        <w:rPr>
          <w:rFonts w:ascii="Arial;sans-serif" w:hAnsi="Arial;sans-serif"/>
          <w:b w:val="false"/>
          <w:color w:val="000000"/>
          <w:sz w:val="22"/>
        </w:rPr>
        <w:t>) will be calculated by subtracting the new Maximum Value from the prior annual Director equity award value and multiplying the difference by the product of the number of calendar days remaining before (a) the next Annual Stockholders Meeting, if scheduled, or (b) the date of the first anniversary of the last Annual Stockholders Meeting, if the next Annual Stockholders Meeting is not scheduled, divided by (x) the number of calendar days between the last and next scheduled Annual Stockholders Meeting, or (y) 365, if either the last or the next Annual Stockholders Meeting date does not exist.</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2.    The Increased Value (as calculated directly above) will be converted into RSUs based on the prior 30 calendar days average closing stock price as of the date of appointment to the Board (rounded down to the next whole share).</w: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3.    Subject to the Director’s continued service with the Company on each applicable vesting date, 100% of the RSUs shall vest on the earliest of (i) the first anniversary of the date of grant, or, if earlier, the date which is the business day immediately preceding the date of the next Annual Stockholders Meeting, (ii) the Director’s termination due to death or Disability or (iii) a Change in Control.</w:t>
      </w:r>
    </w:p>
    <w:p>
      <w:pPr>
        <w:pStyle w:val="TextBody"/>
        <w:bidi w:val="0"/>
        <w:spacing w:before="0" w:after="240"/>
        <w:jc w:val="center"/>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46075"/>
                <wp:effectExtent l="0" t="0" r="0" b="0"/>
                <wp:wrapNone/>
                <wp:docPr id="239" name="Frame23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hanging="360"/>
        <w:jc w:val="both"/>
        <w:rPr>
          <w:rFonts w:ascii="Arial;sans-serif" w:hAnsi="Arial;sans-serif"/>
          <w:b w:val="false"/>
          <w:color w:val="000000"/>
          <w:sz w:val="22"/>
        </w:rPr>
      </w:pPr>
      <w:r>
        <w:rPr>
          <w:rFonts w:ascii="Arial;sans-serif" w:hAnsi="Arial;sans-serif"/>
          <w:b w:val="false"/>
          <w:color w:val="000000"/>
          <w:sz w:val="22"/>
        </w:rPr>
        <w:t>4.    If the change to the Maximum Value is adopted 60 days or less prior to the Annual Stockholders Meeting, and an annual equity grant will be made at such meeting, no additional equity award grant will be made prior to such meeting to the Director.</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D.    Stock Ownership Guidelines</w:t>
      </w:r>
    </w:p>
    <w:p>
      <w:pPr>
        <w:pStyle w:val="TextBody"/>
        <w:bidi w:val="0"/>
        <w:spacing w:lineRule="auto" w:line="300" w:before="0" w:after="240"/>
        <w:jc w:val="both"/>
        <w:rPr>
          <w:rFonts w:ascii="Arial;sans-serif" w:hAnsi="Arial;sans-serif"/>
          <w:b w:val="false"/>
          <w:color w:val="000000"/>
          <w:sz w:val="22"/>
        </w:rPr>
      </w:pPr>
      <w:r>
        <w:rPr>
          <w:rFonts w:ascii="Arial;sans-serif" w:hAnsi="Arial;sans-serif"/>
          <w:b w:val="false"/>
          <w:color w:val="000000"/>
          <w:sz w:val="22"/>
        </w:rPr>
        <w:t>All equity awards will be made and remain subject to the Company’s Stock Ownership Guidelines.</w:t>
      </w:r>
    </w:p>
    <w:p>
      <w:pPr>
        <w:pStyle w:val="TextBody"/>
        <w:bidi w:val="0"/>
        <w:spacing w:lineRule="auto" w:line="300" w:before="0" w:after="240"/>
        <w:ind w:left="0" w:right="0" w:hanging="360"/>
        <w:jc w:val="both"/>
        <w:rPr>
          <w:rFonts w:ascii="Arial;sans-serif" w:hAnsi="Arial;sans-serif"/>
          <w:b/>
          <w:color w:val="000000"/>
          <w:sz w:val="22"/>
        </w:rPr>
      </w:pPr>
      <w:r>
        <w:rPr>
          <w:rFonts w:ascii="Arial;sans-serif" w:hAnsi="Arial;sans-serif"/>
          <w:b/>
          <w:color w:val="000000"/>
          <w:sz w:val="22"/>
        </w:rPr>
        <w:t>E.    Expense Reimbursement</w:t>
      </w:r>
    </w:p>
    <w:p>
      <w:pPr>
        <w:pStyle w:val="TextBody"/>
        <w:bidi w:val="0"/>
        <w:spacing w:lineRule="auto" w:line="300" w:before="0" w:after="240"/>
        <w:jc w:val="both"/>
        <w:rPr>
          <w:rFonts w:ascii="Arial;sans-serif" w:hAnsi="Arial;sans-serif"/>
          <w:b w:val="false"/>
          <w:color w:val="000000"/>
          <w:sz w:val="22"/>
        </w:rPr>
      </w:pPr>
      <w:r>
        <w:rPr>
          <w:rFonts w:ascii="Arial;sans-serif" w:hAnsi="Arial;sans-serif"/>
          <w:b w:val="false"/>
          <w:color w:val="000000"/>
          <w:sz w:val="22"/>
        </w:rPr>
        <w:t>Non-Employee Directors shall be reimbursed for reasonable and documented out-of-pocket travel and lodging expenses incurred in connection with attending Board and committee meetings or such other Board service to the Company in accordance with Company’s travel policies in effect from time to time. Each Non-Employee Director shall provide the Company with such receipts and other records related to such reimbursable expenses as the Company may reasonably require.</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46075"/>
                <wp:effectExtent l="0" t="0" r="0" b="0"/>
                <wp:wrapNone/>
                <wp:docPr id="240" name="Frame238"/>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Lawrence,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quarterly period ended July 29, 2023 (this “Report”) of Academy Sports and Outdoors, Inc. (the “Registrant”);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4747" w:type="dxa"/>
        <w:jc w:val="left"/>
        <w:tblInd w:w="0" w:type="dxa"/>
        <w:tblLayout w:type="fixed"/>
        <w:tblCellMar>
          <w:top w:w="28" w:type="dxa"/>
          <w:left w:w="28" w:type="dxa"/>
          <w:bottom w:w="28" w:type="dxa"/>
          <w:right w:w="28" w:type="dxa"/>
        </w:tblCellMar>
      </w:tblPr>
      <w:tblGrid>
        <w:gridCol w:w="128"/>
        <w:gridCol w:w="112"/>
        <w:gridCol w:w="112"/>
        <w:gridCol w:w="676"/>
        <w:gridCol w:w="676"/>
        <w:gridCol w:w="678"/>
        <w:gridCol w:w="109"/>
        <w:gridCol w:w="109"/>
        <w:gridCol w:w="109"/>
        <w:gridCol w:w="179"/>
        <w:gridCol w:w="179"/>
        <w:gridCol w:w="181"/>
        <w:gridCol w:w="438"/>
        <w:gridCol w:w="438"/>
        <w:gridCol w:w="623"/>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31, 2023</w:t>
            </w:r>
          </w:p>
        </w:tc>
      </w:tr>
      <w:tr>
        <w:trPr/>
        <w:tc>
          <w:tcPr>
            <w:tcW w:w="2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Earl Carlton Ford, IV,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quarterly period ended July 29, 2023 (this “Report”) of Academy Sports and Outdoors, Inc. (the “Registrant”);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6773" w:type="dxa"/>
        <w:jc w:val="left"/>
        <w:tblInd w:w="0" w:type="dxa"/>
        <w:tblLayout w:type="fixed"/>
        <w:tblCellMar>
          <w:top w:w="28" w:type="dxa"/>
          <w:left w:w="28" w:type="dxa"/>
          <w:bottom w:w="28" w:type="dxa"/>
          <w:right w:w="28" w:type="dxa"/>
        </w:tblCellMar>
      </w:tblPr>
      <w:tblGrid>
        <w:gridCol w:w="198"/>
        <w:gridCol w:w="174"/>
        <w:gridCol w:w="174"/>
        <w:gridCol w:w="1286"/>
        <w:gridCol w:w="1286"/>
        <w:gridCol w:w="1290"/>
        <w:gridCol w:w="109"/>
        <w:gridCol w:w="109"/>
        <w:gridCol w:w="109"/>
        <w:gridCol w:w="179"/>
        <w:gridCol w:w="179"/>
        <w:gridCol w:w="181"/>
        <w:gridCol w:w="438"/>
        <w:gridCol w:w="438"/>
        <w:gridCol w:w="623"/>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31, 2023</w:t>
            </w:r>
          </w:p>
        </w:tc>
      </w:tr>
      <w:tr>
        <w:trPr/>
        <w:tc>
          <w:tcPr>
            <w:tcW w:w="44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Academy Sports and Outdoors, Inc.. (the “Company”) for the quarterly period ended July 29, 2023,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tbl>
      <w:tblPr>
        <w:tblW w:w="4747" w:type="dxa"/>
        <w:jc w:val="left"/>
        <w:tblInd w:w="0" w:type="dxa"/>
        <w:tblLayout w:type="fixed"/>
        <w:tblCellMar>
          <w:top w:w="28" w:type="dxa"/>
          <w:left w:w="28" w:type="dxa"/>
          <w:bottom w:w="28" w:type="dxa"/>
          <w:right w:w="28" w:type="dxa"/>
        </w:tblCellMar>
      </w:tblPr>
      <w:tblGrid>
        <w:gridCol w:w="128"/>
        <w:gridCol w:w="112"/>
        <w:gridCol w:w="112"/>
        <w:gridCol w:w="676"/>
        <w:gridCol w:w="676"/>
        <w:gridCol w:w="678"/>
        <w:gridCol w:w="109"/>
        <w:gridCol w:w="109"/>
        <w:gridCol w:w="109"/>
        <w:gridCol w:w="179"/>
        <w:gridCol w:w="179"/>
        <w:gridCol w:w="181"/>
        <w:gridCol w:w="438"/>
        <w:gridCol w:w="438"/>
        <w:gridCol w:w="623"/>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31, 2023</w:t>
            </w:r>
          </w:p>
        </w:tc>
      </w:tr>
      <w:tr>
        <w:trPr/>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Academy Sports and Outdoors, Inc. (the “Company”) for the quarterly period ended July 29, 2023,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tbl>
      <w:tblPr>
        <w:tblW w:w="6443" w:type="dxa"/>
        <w:jc w:val="left"/>
        <w:tblInd w:w="0" w:type="dxa"/>
        <w:tblLayout w:type="fixed"/>
        <w:tblCellMar>
          <w:top w:w="28" w:type="dxa"/>
          <w:left w:w="28" w:type="dxa"/>
          <w:bottom w:w="28" w:type="dxa"/>
          <w:right w:w="28" w:type="dxa"/>
        </w:tblCellMar>
      </w:tblPr>
      <w:tblGrid>
        <w:gridCol w:w="177"/>
        <w:gridCol w:w="155"/>
        <w:gridCol w:w="155"/>
        <w:gridCol w:w="1150"/>
        <w:gridCol w:w="1150"/>
        <w:gridCol w:w="1153"/>
        <w:gridCol w:w="155"/>
        <w:gridCol w:w="155"/>
        <w:gridCol w:w="155"/>
        <w:gridCol w:w="179"/>
        <w:gridCol w:w="179"/>
        <w:gridCol w:w="181"/>
        <w:gridCol w:w="438"/>
        <w:gridCol w:w="438"/>
        <w:gridCol w:w="623"/>
      </w:tblGrid>
      <w:tr>
        <w:trPr/>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4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31, 2023</w:t>
            </w:r>
          </w:p>
        </w:tc>
      </w:tr>
      <w:tr>
        <w:trPr/>
        <w:tc>
          <w:tcPr>
            <w:tcW w:w="4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Earl Carlton Ford, IV</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ourier New">
    <w:altName w:val="monospace"/>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17358/000119312520264744/d910645dex31.htm" TargetMode="External"/><Relationship Id="rId4" Type="http://schemas.openxmlformats.org/officeDocument/2006/relationships/hyperlink" Target="http://www.sec.gov/Archives/edgar/data/1817358/000181735823000123/ex31toformcertofchangeofre.htm" TargetMode="External"/><Relationship Id="rId5" Type="http://schemas.openxmlformats.org/officeDocument/2006/relationships/hyperlink" Target="http://www.sec.gov/Archives/edgar/data/1817358/000181735822000182/exhibit32-amendedandrestat.htm" TargetMode="External"/><Relationship Id="rId6" Type="http://schemas.openxmlformats.org/officeDocument/2006/relationships/hyperlink" Target="http://www.sec.gov/Archives/edgar/data/1817358/000181735823000175/exhibit101toformfordemploy.htm" TargetMode="External"/><Relationship Id="rId7" Type="http://schemas.openxmlformats.org/officeDocument/2006/relationships/hyperlink" Target="http://www.sec.gov/Archives/edgar/data/1817358/000181735823000123/exhibit101-aromnibusincent.htm" TargetMode="External"/><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206</Pages>
  <Words>147876</Words>
  <Characters>794750</Characters>
  <CharactersWithSpaces>943827</CharactersWithSpaces>
  <Paragraphs>4322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