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139700</wp:posOffset>
            </wp:positionV>
            <wp:extent cx="1688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144145</wp:posOffset>
            </wp:positionV>
            <wp:extent cx="1688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September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145415</wp:posOffset>
            </wp:positionV>
            <wp:extent cx="1688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248285</wp:posOffset>
            </wp:positionV>
            <wp:extent cx="198882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882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140335</wp:posOffset>
            </wp:positionV>
            <wp:extent cx="1688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520" w:space="720"/>
            <w:col w:w="2800" w:space="720"/>
            <w:col w:w="2400"/>
          </w:cols>
          <w:pgMar w:left="340" w:top="743" w:right="3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20" w:space="720"/>
            <w:col w:w="2640" w:space="720"/>
            <w:col w:w="2660"/>
          </w:cols>
          <w:pgMar w:left="340" w:top="743" w:right="39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80" w:space="720"/>
            <w:col w:w="2440" w:space="720"/>
            <w:col w:w="2700"/>
          </w:cols>
          <w:pgMar w:left="340" w:top="743" w:right="39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133350</wp:posOffset>
            </wp:positionV>
            <wp:extent cx="1688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20" w:type="dxa"/>
            <w:vAlign w:val="bottom"/>
            <w:gridSpan w:val="2"/>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96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6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6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9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ASO</w:t>
            </w:r>
          </w:p>
        </w:tc>
        <w:tc>
          <w:tcPr>
            <w:tcW w:w="66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ind w:right="20" w:firstLine="401"/>
        <w:spacing w:after="0" w:line="282" w:lineRule="auto"/>
        <w:rPr>
          <w:sz w:val="20"/>
          <w:szCs w:val="20"/>
          <w:color w:val="auto"/>
        </w:rPr>
      </w:pPr>
      <w:r>
        <w:rPr>
          <w:rFonts w:ascii="Times New Roman" w:cs="Times New Roman" w:eastAsia="Times New Roman" w:hAnsi="Times New Roman"/>
          <w:sz w:val="18"/>
          <w:szCs w:val="18"/>
          <w:color w:val="auto"/>
        </w:rPr>
        <w:t>On September 7, 2022, Academy Sports and Outdoors, Inc. (the “Company”) issued a press release announcing financial results for the quarter ended July 30, 2022. A copy of the press release is furnished herewith as Exhibit 99.1 and incorporated by reference herein.</w:t>
      </w:r>
    </w:p>
    <w:p>
      <w:pPr>
        <w:spacing w:after="0" w:line="175" w:lineRule="exact"/>
        <w:rPr>
          <w:sz w:val="20"/>
          <w:szCs w:val="20"/>
          <w:color w:val="auto"/>
        </w:rPr>
      </w:pPr>
    </w:p>
    <w:p>
      <w:pPr>
        <w:jc w:val="both"/>
        <w:ind w:firstLine="401"/>
        <w:spacing w:after="0" w:line="24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660" w:type="dxa"/>
            <w:vAlign w:val="bottom"/>
          </w:tcPr>
          <w:p>
            <w:pPr>
              <w:spacing w:after="0"/>
              <w:rPr>
                <w:sz w:val="20"/>
                <w:szCs w:val="20"/>
                <w:color w:val="auto"/>
              </w:rPr>
            </w:pPr>
          </w:p>
        </w:tc>
      </w:tr>
      <w:tr>
        <w:trPr>
          <w:trHeight w:val="500"/>
        </w:trPr>
        <w:tc>
          <w:tcPr>
            <w:tcW w:w="180" w:type="dxa"/>
            <w:vAlign w:val="bottom"/>
          </w:tcPr>
          <w:p>
            <w:pPr>
              <w:spacing w:after="0"/>
              <w:rPr>
                <w:sz w:val="24"/>
                <w:szCs w:val="24"/>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243"/>
        </w:trPr>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80" w:type="dxa"/>
            <w:vAlign w:val="bottom"/>
            <w:shd w:val="clear" w:color="auto" w:fill="CCEEFF"/>
          </w:tcPr>
          <w:p>
            <w:pPr>
              <w:spacing w:after="0"/>
              <w:rPr>
                <w:sz w:val="21"/>
                <w:szCs w:val="21"/>
                <w:color w:val="auto"/>
              </w:rPr>
            </w:pPr>
          </w:p>
        </w:tc>
        <w:tc>
          <w:tcPr>
            <w:tcW w:w="9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Academy Sports and Outdoors, Inc. Press Release, dated September 7, 2022.</w:t>
            </w:r>
          </w:p>
        </w:tc>
      </w:tr>
      <w:tr>
        <w:trPr>
          <w:trHeight w:val="243"/>
        </w:trPr>
        <w:tc>
          <w:tcPr>
            <w:tcW w:w="18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96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75"/>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Times New Roman" w:cs="Times New Roman" w:eastAsia="Times New Roman" w:hAnsi="Times New Roman"/>
          <w:sz w:val="18"/>
          <w:szCs w:val="18"/>
          <w:color w:val="auto"/>
        </w:rPr>
        <w:t>Date: September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34290</wp:posOffset>
            </wp:positionV>
            <wp:extent cx="2717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36830</wp:posOffset>
            </wp:positionV>
            <wp:extent cx="1894205" cy="59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420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Academy Sports + Outdoors Reports Second Quarter 2022 Results</w:t>
      </w: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Second Quarter Diluted EPS Increased 11.6% to a Quarterly Record of $2.22, or $2.30 Adjusted EPS</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Comparable Sales Declined 6.0% and Improved Sequentially to the First Quarter</w:t>
      </w: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E-commerce Sales Grew 12.1%; Increased Double Digits for the Fourth Consecutive Quarter</w:t>
      </w:r>
    </w:p>
    <w:p>
      <w:pPr>
        <w:spacing w:after="0" w:line="248" w:lineRule="exact"/>
        <w:rPr>
          <w:sz w:val="20"/>
          <w:szCs w:val="20"/>
          <w:color w:val="auto"/>
        </w:rPr>
      </w:pPr>
    </w:p>
    <w:p>
      <w:pPr>
        <w:ind w:left="3140"/>
        <w:spacing w:after="0"/>
        <w:rPr>
          <w:sz w:val="20"/>
          <w:szCs w:val="20"/>
          <w:color w:val="auto"/>
        </w:rPr>
      </w:pPr>
      <w:r>
        <w:rPr>
          <w:rFonts w:ascii="Arial" w:cs="Arial" w:eastAsia="Arial" w:hAnsi="Arial"/>
          <w:sz w:val="16"/>
          <w:szCs w:val="16"/>
          <w:i w:val="1"/>
          <w:iCs w:val="1"/>
          <w:color w:val="auto"/>
        </w:rPr>
        <w:t>Company Reiterates 2022 Full-Year Net and Comparable Sales Guidance</w:t>
      </w:r>
    </w:p>
    <w:p>
      <w:pPr>
        <w:spacing w:after="0" w:line="241" w:lineRule="exact"/>
        <w:rPr>
          <w:sz w:val="20"/>
          <w:szCs w:val="20"/>
          <w:color w:val="auto"/>
        </w:rPr>
      </w:pPr>
    </w:p>
    <w:p>
      <w:pPr>
        <w:ind w:right="180" w:firstLine="324"/>
        <w:spacing w:after="0" w:line="247" w:lineRule="auto"/>
        <w:rPr>
          <w:sz w:val="20"/>
          <w:szCs w:val="20"/>
          <w:color w:val="auto"/>
        </w:rPr>
      </w:pPr>
      <w:r>
        <w:rPr>
          <w:rFonts w:ascii="Arial" w:cs="Arial" w:eastAsia="Arial" w:hAnsi="Arial"/>
          <w:sz w:val="18"/>
          <w:szCs w:val="18"/>
          <w:b w:val="1"/>
          <w:bCs w:val="1"/>
          <w:color w:val="auto"/>
        </w:rPr>
        <w:t xml:space="preserve">KATY, TEXAS (Globe Newswire — September 7, 2022) </w:t>
      </w:r>
      <w:r>
        <w:rPr>
          <w:rFonts w:ascii="Arial" w:cs="Arial" w:eastAsia="Arial" w:hAnsi="Arial"/>
          <w:sz w:val="18"/>
          <w:szCs w:val="18"/>
          <w:color w:val="auto"/>
        </w:rPr>
        <w:t>– Academy Sports and Outdoors, Inc. (Nasdaq: ASO) ("Academy"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its financial results for the second quarter ended July 30, 2022. Unless otherwise indicated, comparisons are to the same period in the prior fiscal year. Comparisons to 2019 are also provided, where appropriate, to benchmark performance given the impact of the pandemic in 2020 and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2022 Results</w:t>
      </w:r>
    </w:p>
    <w:p>
      <w:pPr>
        <w:jc w:val="both"/>
        <w:spacing w:after="0" w:line="226" w:lineRule="auto"/>
        <w:rPr>
          <w:sz w:val="20"/>
          <w:szCs w:val="20"/>
          <w:color w:val="auto"/>
        </w:rPr>
      </w:pPr>
      <w:r>
        <w:rPr>
          <w:rFonts w:ascii="Arial" w:cs="Arial" w:eastAsia="Arial" w:hAnsi="Arial"/>
          <w:sz w:val="18"/>
          <w:szCs w:val="18"/>
          <w:color w:val="auto"/>
        </w:rPr>
        <w:t>“Our performance this quarter was in line with our expectations as Academy continues to substantially outperform our pre-pandemic levels of sales and profits. We remain confident that the durability of our strong assortments and everyday value model positions us well to deliver</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consistent sales and profitability growth going forward,” stated Ken Hicks, Chairman, President and Chief Executive Officer. “This growth is supported by consistent operational excellence, healthy inventory levels, a strong balance sheet, new store expansion and omnichannel advancement. The Academy team remains focused on executing our priorities while delivering a great experience for our customers and creating value for our stakeholders.”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sales were $1.69 billion, a decrease of 5.8%, compared to $1.79 billion. Comparable sales declined 6.0%. The decline in sales was primarily due to fewer transactions compared to last year partially offset by an increase in average ticket. When compared to the second quarter of 2019, net sales increased 36.3%. Additionally, e-commerce sales grew 12.1% year-over-year and 244.5% compared to 2019.</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$596.1 million, or 35.3% of net sales, compared to gross margin of $642.5 million, or 35.9% of net sales in the prior year quarter. The 60 basis point decline was driven primarily by an increase in e-commerce shipping and higher freight costs, which were partially offset by an increase in merchandise margins. When compared to 2019, the gross margin rate expanded by 420 basis points.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("SG&amp;A") expenses were 20.1% of sales, a 160 basis point decrease, due to non-recurring stock compensation and payroll expenses associated with the accelerated share vesting, which occurred in the second quarter of 2021. Excluding this non-recurring expense of $40.3 million, SG&amp;A expenses increased 70 basis points compared to last year, primarily due to fixed cost deleverage.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second quarter, pre-tax income was $247.0 million compared to $240.9 million. When compared to the second quarter of 2019, pre-tax income increased by more than 400%.</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GAAP net income decreased 0.9% to $188.8 million compared to $190.5 million. Diluted earnings per share increased 11.6% to $2.22 compared to $1.99 per share based on a share count of 84.9 million shares compared to 95.9 million in the prior year quarter.</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net income, which excludes the impact of certain non-cash and extraordinary items, was $195.0 million. Adjusted diluted earnings per share were $2.30 compared to $2.34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Year-to-date 2022 Results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Year-to-date, net sales decreased 6.4% to $3.15 billion, while comparable sales decreased 6.7%. Year-to-date sales grew 36.3% compared to 2019.</w:t>
      </w:r>
    </w:p>
    <w:p>
      <w:pPr>
        <w:spacing w:after="0" w:line="19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Gross margin was $1.1 billion, or 35.4% of net sales, compared to gross margin of $1.2 billion, or 35.8% of net sales. When compared to year-to-date 2019, the gross margin rate expanded by 520 basis points.</w:t>
      </w:r>
    </w:p>
    <w:p>
      <w:pPr>
        <w:spacing w:after="0" w:line="18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Pre-tax income was $442.3 million compared to $465.8 million. When compared to year-to-date 2019 results, pre-tax income increased approximately 490%.</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GAAP net income decreased 8.1% to $338.6 million compared to $368.3 million. Diluted earnings per share were $3.90 compared to $3.82 per share in the prior year to date.</w:t>
      </w:r>
    </w:p>
    <w:p>
      <w:pPr>
        <w:sectPr>
          <w:pgSz w:w="11900" w:h="16838" w:orient="portrait"/>
          <w:cols w:equalWidth="0" w:num="1">
            <w:col w:w="11240"/>
          </w:cols>
          <w:pgMar w:left="320" w:top="441" w:right="3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441" w:right="339" w:bottom="1440" w:gutter="0" w:footer="0" w:header="0"/>
          <w:type w:val="continuous"/>
        </w:sectPr>
      </w:pPr>
    </w:p>
    <w:bookmarkStart w:id="4" w:name="page5"/>
    <w:bookmarkEnd w:id="4"/>
    <w:p>
      <w:pPr>
        <w:ind w:right="240"/>
        <w:spacing w:after="0" w:line="287" w:lineRule="auto"/>
        <w:rPr>
          <w:sz w:val="20"/>
          <w:szCs w:val="20"/>
          <w:color w:val="auto"/>
        </w:rPr>
      </w:pPr>
      <w:r>
        <w:rPr>
          <w:rFonts w:ascii="Arial" w:cs="Arial" w:eastAsia="Arial" w:hAnsi="Arial"/>
          <w:sz w:val="18"/>
          <w:szCs w:val="18"/>
          <w:color w:val="auto"/>
        </w:rPr>
        <w:t>Adjusted net income, which excludes the impact of certain non-cash and extraordinary items, decreased 14.5% to $348.2 million. Adjusted diluted earnings per share were $4.01 compared to $4.22 per share in the prior year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and Capital Allocation Update</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At the end of the second quarter, the Company’s cash and cash equivalents totaled $399.9 million with no borrowings under the $1.0 billion credit facility. During the quarter, net cash provided by operating activities was $161.3 million. Merchandise inventories were $1.3 billion, an increase of 17.0% compared to the second quarter 2021 and 8.4% higher than the second quarter of 2019.</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second quarter, Academy returned $206.4 million in cash to stockholders through a combination of share repurchases and dividends. The Company repurchased 5.6 million shares for $200.1 million. On July 14, 2022, the Company paid a quarterly cash dividend of $0.075 per share, or $6.3 million, to stockholders of record as of the close of business on June 16, 2022. As of July 30, 2022, the Company had approximately $500 million remaining under its share repurchase program.</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Subsequent to the end of the second quarter, on September 1, 2022, Academy announced that its Board of Directors ("Board") declared a quarterly cash dividend with respect to the quarter ended July 30, 2022, of $0.075 per share of common stock. The dividend is payable on October 13, 2022, to stockholders of record as of the close of business on September 15,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Store Openings</w:t>
      </w:r>
    </w:p>
    <w:p>
      <w:pPr>
        <w:jc w:val="both"/>
        <w:spacing w:after="0" w:line="237" w:lineRule="auto"/>
        <w:rPr>
          <w:sz w:val="20"/>
          <w:szCs w:val="20"/>
          <w:color w:val="auto"/>
        </w:rPr>
      </w:pPr>
      <w:r>
        <w:rPr>
          <w:rFonts w:ascii="Arial" w:cs="Arial" w:eastAsia="Arial" w:hAnsi="Arial"/>
          <w:sz w:val="18"/>
          <w:szCs w:val="18"/>
          <w:color w:val="auto"/>
        </w:rPr>
        <w:t>During the second quarter, Academy opened one new store, bringing the total number of stores opened as of July 30, 2022, to two, for a total of 261 stores. The Company expects to open a total of nine new stores this fiscal year and 80 to 100 stores over the next five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Outlook</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313131"/>
        </w:rPr>
        <w:t>“</w:t>
      </w:r>
      <w:r>
        <w:rPr>
          <w:rFonts w:ascii="Arial" w:cs="Arial" w:eastAsia="Arial" w:hAnsi="Arial"/>
          <w:sz w:val="18"/>
          <w:szCs w:val="18"/>
          <w:color w:val="000000"/>
        </w:rPr>
        <w:t>Academy delivered</w:t>
      </w:r>
      <w:r>
        <w:rPr>
          <w:rFonts w:ascii="Arial" w:cs="Arial" w:eastAsia="Arial" w:hAnsi="Arial"/>
          <w:sz w:val="18"/>
          <w:szCs w:val="18"/>
          <w:color w:val="313131"/>
        </w:rPr>
        <w:t xml:space="preserve"> record quarterly earnings per share results, which demonstrates </w:t>
      </w:r>
      <w:r>
        <w:rPr>
          <w:rFonts w:ascii="Arial" w:cs="Arial" w:eastAsia="Arial" w:hAnsi="Arial"/>
          <w:sz w:val="18"/>
          <w:szCs w:val="18"/>
          <w:color w:val="000000"/>
        </w:rPr>
        <w:t>our earnings potential as well as our ability to deliver</w:t>
      </w:r>
      <w:r>
        <w:rPr>
          <w:rFonts w:ascii="Arial" w:cs="Arial" w:eastAsia="Arial" w:hAnsi="Arial"/>
          <w:sz w:val="18"/>
          <w:szCs w:val="18"/>
          <w:color w:val="313131"/>
        </w:rPr>
        <w:t xml:space="preserve"> </w:t>
      </w:r>
      <w:r>
        <w:rPr>
          <w:rFonts w:ascii="Arial" w:cs="Arial" w:eastAsia="Arial" w:hAnsi="Arial"/>
          <w:sz w:val="18"/>
          <w:szCs w:val="18"/>
          <w:color w:val="000000"/>
        </w:rPr>
        <w:t xml:space="preserve">strong results in a challenging environment,” said Michael Mullican, Executive Vice President and Chief Financial Officer. </w:t>
      </w:r>
      <w:r>
        <w:rPr>
          <w:rFonts w:ascii="Arial" w:cs="Arial" w:eastAsia="Arial" w:hAnsi="Arial"/>
          <w:sz w:val="18"/>
          <w:szCs w:val="18"/>
          <w:color w:val="313131"/>
        </w:rPr>
        <w:t>“We also</w:t>
      </w:r>
      <w:r>
        <w:rPr>
          <w:rFonts w:ascii="Arial" w:cs="Arial" w:eastAsia="Arial" w:hAnsi="Arial"/>
          <w:sz w:val="18"/>
          <w:szCs w:val="18"/>
          <w:color w:val="000000"/>
        </w:rPr>
        <w:t xml:space="preserve"> continued our capital allocation strategy of investing in growth and increasing shareholder value by investing in new stores, repurchasing a significant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amount of shares and returning cash to shareholders through our dividend program. Based on our results to date and current trends, including the sequential improvement in comparable sales, we are reiterating our full year sales and comp guidance while updating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forecast to reflect the reduction in our share count."</w:t>
      </w: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Academy is reiterating its net and comparable sales guidance for fiscal 2022 and updating its EPS forecast. The revised guidance is as follows:</w:t>
      </w:r>
    </w:p>
    <w:p>
      <w:pPr>
        <w:spacing w:after="0" w:line="192" w:lineRule="exact"/>
        <w:rPr>
          <w:sz w:val="20"/>
          <w:szCs w:val="20"/>
          <w:color w:val="auto"/>
        </w:rPr>
      </w:pPr>
    </w:p>
    <w:tbl>
      <w:tblPr>
        <w:tblLayout w:type="fixed"/>
        <w:tblInd w:w="390" w:type="dxa"/>
        <w:tblCellMar>
          <w:top w:w="0" w:type="dxa"/>
          <w:left w:w="0" w:type="dxa"/>
          <w:bottom w:w="0" w:type="dxa"/>
          <w:right w:w="0" w:type="dxa"/>
        </w:tblCellMar>
      </w:tblPr>
      <w:tr>
        <w:trPr>
          <w:trHeight w:val="189"/>
        </w:trPr>
        <w:tc>
          <w:tcPr>
            <w:tcW w:w="4040" w:type="dxa"/>
            <w:vAlign w:val="bottom"/>
            <w:tcBorders>
              <w:top w:val="single" w:sz="8" w:color="auto"/>
              <w:left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5"/>
          </w:tcPr>
          <w:p>
            <w:pPr>
              <w:spacing w:after="0" w:line="189" w:lineRule="exact"/>
              <w:rPr>
                <w:sz w:val="20"/>
                <w:szCs w:val="20"/>
                <w:color w:val="auto"/>
              </w:rPr>
            </w:pPr>
            <w:r>
              <w:rPr>
                <w:rFonts w:ascii="Calibri" w:cs="Calibri" w:eastAsia="Calibri" w:hAnsi="Calibri"/>
                <w:sz w:val="16"/>
                <w:szCs w:val="16"/>
                <w:color w:val="auto"/>
                <w:w w:val="99"/>
              </w:rPr>
              <w:t>Previous Guidance</w:t>
            </w:r>
          </w:p>
        </w:tc>
        <w:tc>
          <w:tcPr>
            <w:tcW w:w="1060" w:type="dxa"/>
            <w:vAlign w:val="bottom"/>
            <w:tcBorders>
              <w:top w:val="single" w:sz="8" w:color="auto"/>
            </w:tcBorders>
            <w:gridSpan w:val="2"/>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0" w:type="dxa"/>
            <w:vAlign w:val="bottom"/>
            <w:tcBorders>
              <w:top w:val="single" w:sz="8" w:color="auto"/>
              <w:right w:val="single" w:sz="8" w:color="auto"/>
            </w:tcBorders>
            <w:gridSpan w:val="6"/>
          </w:tcPr>
          <w:p>
            <w:pPr>
              <w:jc w:val="right"/>
              <w:ind w:right="840"/>
              <w:spacing w:after="0" w:line="189" w:lineRule="exact"/>
              <w:rPr>
                <w:sz w:val="20"/>
                <w:szCs w:val="20"/>
                <w:color w:val="auto"/>
              </w:rPr>
            </w:pPr>
            <w:r>
              <w:rPr>
                <w:rFonts w:ascii="Calibri" w:cs="Calibri" w:eastAsia="Calibri" w:hAnsi="Calibri"/>
                <w:sz w:val="16"/>
                <w:szCs w:val="16"/>
                <w:color w:val="auto"/>
                <w:w w:val="99"/>
              </w:rPr>
              <w:t>Current Guidance</w:t>
            </w:r>
          </w:p>
        </w:tc>
      </w:tr>
      <w:tr>
        <w:trPr>
          <w:trHeight w:val="20"/>
        </w:trPr>
        <w:tc>
          <w:tcPr>
            <w:tcW w:w="40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r>
      <w:tr>
        <w:trPr>
          <w:trHeight w:val="223"/>
        </w:trPr>
        <w:tc>
          <w:tcPr>
            <w:tcW w:w="404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(in millions, except per share amounts)</w:t>
            </w:r>
          </w:p>
        </w:tc>
        <w:tc>
          <w:tcPr>
            <w:tcW w:w="800" w:type="dxa"/>
            <w:vAlign w:val="bottom"/>
          </w:tcPr>
          <w:p>
            <w:pPr>
              <w:spacing w:after="0"/>
              <w:rPr>
                <w:sz w:val="19"/>
                <w:szCs w:val="19"/>
                <w:color w:val="auto"/>
              </w:rPr>
            </w:pPr>
          </w:p>
        </w:tc>
        <w:tc>
          <w:tcPr>
            <w:tcW w:w="1020" w:type="dxa"/>
            <w:vAlign w:val="bottom"/>
            <w:gridSpan w:val="3"/>
          </w:tcPr>
          <w:p>
            <w:pPr>
              <w:jc w:val="right"/>
              <w:ind w:right="480"/>
              <w:spacing w:after="0"/>
              <w:rPr>
                <w:sz w:val="20"/>
                <w:szCs w:val="20"/>
                <w:color w:val="auto"/>
              </w:rPr>
            </w:pPr>
            <w:r>
              <w:rPr>
                <w:rFonts w:ascii="Calibri" w:cs="Calibri" w:eastAsia="Calibri" w:hAnsi="Calibri"/>
                <w:sz w:val="16"/>
                <w:szCs w:val="16"/>
                <w:color w:val="auto"/>
                <w:w w:val="94"/>
              </w:rPr>
              <w:t>Low end</w:t>
            </w:r>
          </w:p>
        </w:tc>
        <w:tc>
          <w:tcPr>
            <w:tcW w:w="280" w:type="dxa"/>
            <w:vAlign w:val="bottom"/>
          </w:tcPr>
          <w:p>
            <w:pPr>
              <w:spacing w:after="0"/>
              <w:rPr>
                <w:sz w:val="19"/>
                <w:szCs w:val="19"/>
                <w:color w:val="auto"/>
              </w:rPr>
            </w:pPr>
          </w:p>
        </w:tc>
        <w:tc>
          <w:tcPr>
            <w:tcW w:w="1400" w:type="dxa"/>
            <w:vAlign w:val="bottom"/>
            <w:gridSpan w:val="4"/>
          </w:tcPr>
          <w:p>
            <w:pPr>
              <w:jc w:val="right"/>
              <w:ind w:right="640"/>
              <w:spacing w:after="0"/>
              <w:rPr>
                <w:sz w:val="20"/>
                <w:szCs w:val="20"/>
                <w:color w:val="auto"/>
              </w:rPr>
            </w:pPr>
            <w:r>
              <w:rPr>
                <w:rFonts w:ascii="Calibri" w:cs="Calibri" w:eastAsia="Calibri" w:hAnsi="Calibri"/>
                <w:sz w:val="16"/>
                <w:szCs w:val="16"/>
                <w:color w:val="auto"/>
              </w:rPr>
              <w:t>High end</w:t>
            </w:r>
          </w:p>
        </w:tc>
        <w:tc>
          <w:tcPr>
            <w:tcW w:w="440" w:type="dxa"/>
            <w:vAlign w:val="bottom"/>
          </w:tcPr>
          <w:p>
            <w:pPr>
              <w:spacing w:after="0"/>
              <w:rPr>
                <w:sz w:val="19"/>
                <w:szCs w:val="19"/>
                <w:color w:val="auto"/>
              </w:rPr>
            </w:pPr>
          </w:p>
        </w:tc>
        <w:tc>
          <w:tcPr>
            <w:tcW w:w="1120" w:type="dxa"/>
            <w:vAlign w:val="bottom"/>
            <w:gridSpan w:val="4"/>
          </w:tcPr>
          <w:p>
            <w:pPr>
              <w:ind w:left="160"/>
              <w:spacing w:after="0"/>
              <w:rPr>
                <w:sz w:val="20"/>
                <w:szCs w:val="20"/>
                <w:color w:val="auto"/>
              </w:rPr>
            </w:pPr>
            <w:r>
              <w:rPr>
                <w:rFonts w:ascii="Calibri" w:cs="Calibri" w:eastAsia="Calibri" w:hAnsi="Calibri"/>
                <w:sz w:val="16"/>
                <w:szCs w:val="16"/>
                <w:color w:val="auto"/>
              </w:rPr>
              <w:t>Low end</w:t>
            </w:r>
          </w:p>
        </w:tc>
        <w:tc>
          <w:tcPr>
            <w:tcW w:w="420" w:type="dxa"/>
            <w:vAlign w:val="bottom"/>
          </w:tcPr>
          <w:p>
            <w:pPr>
              <w:spacing w:after="0"/>
              <w:rPr>
                <w:sz w:val="19"/>
                <w:szCs w:val="19"/>
                <w:color w:val="auto"/>
              </w:rPr>
            </w:pPr>
          </w:p>
        </w:tc>
        <w:tc>
          <w:tcPr>
            <w:tcW w:w="1000" w:type="dxa"/>
            <w:vAlign w:val="bottom"/>
            <w:tcBorders>
              <w:right w:val="single" w:sz="8" w:color="auto"/>
            </w:tcBorders>
            <w:gridSpan w:val="3"/>
          </w:tcPr>
          <w:p>
            <w:pPr>
              <w:jc w:val="right"/>
              <w:ind w:right="420"/>
              <w:spacing w:after="0"/>
              <w:rPr>
                <w:sz w:val="20"/>
                <w:szCs w:val="20"/>
                <w:color w:val="auto"/>
              </w:rPr>
            </w:pPr>
            <w:r>
              <w:rPr>
                <w:rFonts w:ascii="Calibri" w:cs="Calibri" w:eastAsia="Calibri" w:hAnsi="Calibri"/>
                <w:sz w:val="16"/>
                <w:szCs w:val="16"/>
                <w:color w:val="auto"/>
                <w:w w:val="96"/>
              </w:rPr>
              <w:t>High end</w:t>
            </w:r>
          </w:p>
        </w:tc>
      </w:tr>
      <w:tr>
        <w:trPr>
          <w:trHeight w:val="20"/>
        </w:trPr>
        <w:tc>
          <w:tcPr>
            <w:tcW w:w="40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r>
      <w:tr>
        <w:trPr>
          <w:trHeight w:val="250"/>
        </w:trPr>
        <w:tc>
          <w:tcPr>
            <w:tcW w:w="404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Net Sales</w:t>
            </w:r>
          </w:p>
        </w:tc>
        <w:tc>
          <w:tcPr>
            <w:tcW w:w="80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020" w:type="dxa"/>
            <w:vAlign w:val="bottom"/>
            <w:gridSpan w:val="3"/>
          </w:tcPr>
          <w:p>
            <w:pPr>
              <w:jc w:val="right"/>
              <w:ind w:right="180"/>
              <w:spacing w:after="0"/>
              <w:rPr>
                <w:sz w:val="20"/>
                <w:szCs w:val="20"/>
                <w:color w:val="auto"/>
              </w:rPr>
            </w:pPr>
            <w:r>
              <w:rPr>
                <w:rFonts w:ascii="Calibri" w:cs="Calibri" w:eastAsia="Calibri" w:hAnsi="Calibri"/>
                <w:sz w:val="16"/>
                <w:szCs w:val="16"/>
                <w:color w:val="auto"/>
              </w:rPr>
              <w:t>6,430.0</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auto"/>
                <w:w w:val="97"/>
              </w:rPr>
              <w:t>$</w:t>
            </w:r>
          </w:p>
        </w:tc>
        <w:tc>
          <w:tcPr>
            <w:tcW w:w="1400" w:type="dxa"/>
            <w:vAlign w:val="bottom"/>
            <w:gridSpan w:val="4"/>
          </w:tcPr>
          <w:p>
            <w:pPr>
              <w:jc w:val="right"/>
              <w:ind w:right="340"/>
              <w:spacing w:after="0"/>
              <w:rPr>
                <w:sz w:val="20"/>
                <w:szCs w:val="20"/>
                <w:color w:val="auto"/>
              </w:rPr>
            </w:pPr>
            <w:r>
              <w:rPr>
                <w:rFonts w:ascii="Calibri" w:cs="Calibri" w:eastAsia="Calibri" w:hAnsi="Calibri"/>
                <w:sz w:val="16"/>
                <w:szCs w:val="16"/>
                <w:color w:val="auto"/>
              </w:rPr>
              <w:t>6,630.0</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ind w:left="60"/>
              <w:spacing w:after="0"/>
              <w:rPr>
                <w:sz w:val="20"/>
                <w:szCs w:val="20"/>
                <w:color w:val="auto"/>
              </w:rPr>
            </w:pPr>
            <w:r>
              <w:rPr>
                <w:rFonts w:ascii="Calibri" w:cs="Calibri" w:eastAsia="Calibri" w:hAnsi="Calibri"/>
                <w:sz w:val="16"/>
                <w:szCs w:val="16"/>
                <w:color w:val="auto"/>
              </w:rPr>
              <w:t>no change</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r>
      <w:tr>
        <w:trPr>
          <w:trHeight w:val="391"/>
        </w:trPr>
        <w:tc>
          <w:tcPr>
            <w:tcW w:w="404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Comparable Sales</w:t>
            </w:r>
          </w:p>
        </w:tc>
        <w:tc>
          <w:tcPr>
            <w:tcW w:w="80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Calibri" w:cs="Calibri" w:eastAsia="Calibri" w:hAnsi="Calibri"/>
                <w:sz w:val="16"/>
                <w:szCs w:val="16"/>
                <w:color w:val="auto"/>
              </w:rPr>
              <w:t>-6.0 %</w:t>
            </w:r>
          </w:p>
        </w:tc>
        <w:tc>
          <w:tcPr>
            <w:tcW w:w="280" w:type="dxa"/>
            <w:vAlign w:val="bottom"/>
          </w:tcPr>
          <w:p>
            <w:pPr>
              <w:spacing w:after="0"/>
              <w:rPr>
                <w:sz w:val="24"/>
                <w:szCs w:val="24"/>
                <w:color w:val="auto"/>
              </w:rPr>
            </w:pPr>
          </w:p>
        </w:tc>
        <w:tc>
          <w:tcPr>
            <w:tcW w:w="1400" w:type="dxa"/>
            <w:vAlign w:val="bottom"/>
            <w:gridSpan w:val="4"/>
          </w:tcPr>
          <w:p>
            <w:pPr>
              <w:jc w:val="right"/>
              <w:ind w:right="200"/>
              <w:spacing w:after="0"/>
              <w:rPr>
                <w:sz w:val="20"/>
                <w:szCs w:val="20"/>
                <w:color w:val="auto"/>
              </w:rPr>
            </w:pPr>
            <w:r>
              <w:rPr>
                <w:rFonts w:ascii="Calibri" w:cs="Calibri" w:eastAsia="Calibri" w:hAnsi="Calibri"/>
                <w:sz w:val="16"/>
                <w:szCs w:val="16"/>
                <w:color w:val="auto"/>
              </w:rPr>
              <w:t>-3.0 %</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Calibri" w:cs="Calibri" w:eastAsia="Calibri" w:hAnsi="Calibri"/>
                <w:sz w:val="16"/>
                <w:szCs w:val="16"/>
                <w:color w:val="auto"/>
              </w:rPr>
              <w:t>no change</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351"/>
        </w:trPr>
        <w:tc>
          <w:tcPr>
            <w:tcW w:w="404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Gross Margin Rate</w:t>
            </w:r>
          </w:p>
        </w:tc>
        <w:tc>
          <w:tcPr>
            <w:tcW w:w="80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Calibri" w:cs="Calibri" w:eastAsia="Calibri" w:hAnsi="Calibri"/>
                <w:sz w:val="16"/>
                <w:szCs w:val="16"/>
                <w:color w:val="auto"/>
              </w:rPr>
              <w:t>33.0 %</w:t>
            </w:r>
          </w:p>
        </w:tc>
        <w:tc>
          <w:tcPr>
            <w:tcW w:w="280" w:type="dxa"/>
            <w:vAlign w:val="bottom"/>
          </w:tcPr>
          <w:p>
            <w:pPr>
              <w:spacing w:after="0"/>
              <w:rPr>
                <w:sz w:val="24"/>
                <w:szCs w:val="24"/>
                <w:color w:val="auto"/>
              </w:rPr>
            </w:pPr>
          </w:p>
        </w:tc>
        <w:tc>
          <w:tcPr>
            <w:tcW w:w="1400" w:type="dxa"/>
            <w:vAlign w:val="bottom"/>
            <w:gridSpan w:val="4"/>
          </w:tcPr>
          <w:p>
            <w:pPr>
              <w:jc w:val="right"/>
              <w:ind w:right="200"/>
              <w:spacing w:after="0"/>
              <w:rPr>
                <w:sz w:val="20"/>
                <w:szCs w:val="20"/>
                <w:color w:val="auto"/>
              </w:rPr>
            </w:pPr>
            <w:r>
              <w:rPr>
                <w:rFonts w:ascii="Calibri" w:cs="Calibri" w:eastAsia="Calibri" w:hAnsi="Calibri"/>
                <w:sz w:val="16"/>
                <w:szCs w:val="16"/>
                <w:color w:val="auto"/>
              </w:rPr>
              <w:t>33.5 %</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Calibri" w:cs="Calibri" w:eastAsia="Calibri" w:hAnsi="Calibri"/>
                <w:sz w:val="16"/>
                <w:szCs w:val="16"/>
                <w:color w:val="auto"/>
              </w:rPr>
              <w:t>no change</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351"/>
        </w:trPr>
        <w:tc>
          <w:tcPr>
            <w:tcW w:w="404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GAAP Income Before Taxes</w:t>
            </w:r>
          </w:p>
        </w:tc>
        <w:tc>
          <w:tcPr>
            <w:tcW w:w="80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020" w:type="dxa"/>
            <w:vAlign w:val="bottom"/>
            <w:gridSpan w:val="3"/>
          </w:tcPr>
          <w:p>
            <w:pPr>
              <w:jc w:val="right"/>
              <w:ind w:right="180"/>
              <w:spacing w:after="0"/>
              <w:rPr>
                <w:sz w:val="20"/>
                <w:szCs w:val="20"/>
                <w:color w:val="auto"/>
              </w:rPr>
            </w:pPr>
            <w:r>
              <w:rPr>
                <w:rFonts w:ascii="Calibri" w:cs="Calibri" w:eastAsia="Calibri" w:hAnsi="Calibri"/>
                <w:sz w:val="16"/>
                <w:szCs w:val="16"/>
                <w:color w:val="auto"/>
              </w:rPr>
              <w:t>725.0</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auto"/>
                <w:w w:val="97"/>
              </w:rPr>
              <w:t>$</w:t>
            </w:r>
          </w:p>
        </w:tc>
        <w:tc>
          <w:tcPr>
            <w:tcW w:w="1400" w:type="dxa"/>
            <w:vAlign w:val="bottom"/>
            <w:gridSpan w:val="4"/>
          </w:tcPr>
          <w:p>
            <w:pPr>
              <w:jc w:val="right"/>
              <w:ind w:right="340"/>
              <w:spacing w:after="0"/>
              <w:rPr>
                <w:sz w:val="20"/>
                <w:szCs w:val="20"/>
                <w:color w:val="auto"/>
              </w:rPr>
            </w:pPr>
            <w:r>
              <w:rPr>
                <w:rFonts w:ascii="Calibri" w:cs="Calibri" w:eastAsia="Calibri" w:hAnsi="Calibri"/>
                <w:sz w:val="16"/>
                <w:szCs w:val="16"/>
                <w:color w:val="auto"/>
              </w:rPr>
              <w:t>805.0</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Calibri" w:cs="Calibri" w:eastAsia="Calibri" w:hAnsi="Calibri"/>
                <w:sz w:val="16"/>
                <w:szCs w:val="16"/>
                <w:color w:val="auto"/>
              </w:rPr>
              <w:t>no change</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392"/>
        </w:trPr>
        <w:tc>
          <w:tcPr>
            <w:tcW w:w="404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GAAP Net Income</w:t>
            </w:r>
          </w:p>
        </w:tc>
        <w:tc>
          <w:tcPr>
            <w:tcW w:w="80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020" w:type="dxa"/>
            <w:vAlign w:val="bottom"/>
            <w:gridSpan w:val="3"/>
          </w:tcPr>
          <w:p>
            <w:pPr>
              <w:jc w:val="right"/>
              <w:ind w:right="180"/>
              <w:spacing w:after="0"/>
              <w:rPr>
                <w:sz w:val="20"/>
                <w:szCs w:val="20"/>
                <w:color w:val="auto"/>
              </w:rPr>
            </w:pPr>
            <w:r>
              <w:rPr>
                <w:rFonts w:ascii="Calibri" w:cs="Calibri" w:eastAsia="Calibri" w:hAnsi="Calibri"/>
                <w:sz w:val="16"/>
                <w:szCs w:val="16"/>
                <w:color w:val="auto"/>
              </w:rPr>
              <w:t>550.0</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auto"/>
                <w:w w:val="97"/>
              </w:rPr>
              <w:t>$</w:t>
            </w:r>
          </w:p>
        </w:tc>
        <w:tc>
          <w:tcPr>
            <w:tcW w:w="1400" w:type="dxa"/>
            <w:vAlign w:val="bottom"/>
            <w:gridSpan w:val="4"/>
          </w:tcPr>
          <w:p>
            <w:pPr>
              <w:jc w:val="right"/>
              <w:ind w:right="340"/>
              <w:spacing w:after="0"/>
              <w:rPr>
                <w:sz w:val="20"/>
                <w:szCs w:val="20"/>
                <w:color w:val="auto"/>
              </w:rPr>
            </w:pPr>
            <w:r>
              <w:rPr>
                <w:rFonts w:ascii="Calibri" w:cs="Calibri" w:eastAsia="Calibri" w:hAnsi="Calibri"/>
                <w:sz w:val="16"/>
                <w:szCs w:val="16"/>
                <w:color w:val="auto"/>
              </w:rPr>
              <w:t>615.0</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Calibri" w:cs="Calibri" w:eastAsia="Calibri" w:hAnsi="Calibri"/>
                <w:sz w:val="16"/>
                <w:szCs w:val="16"/>
                <w:color w:val="auto"/>
              </w:rPr>
              <w:t>no change</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391"/>
        </w:trPr>
        <w:tc>
          <w:tcPr>
            <w:tcW w:w="404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GAAP Earnings per Common Share, Diluted</w:t>
            </w:r>
          </w:p>
        </w:tc>
        <w:tc>
          <w:tcPr>
            <w:tcW w:w="80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020" w:type="dxa"/>
            <w:vAlign w:val="bottom"/>
            <w:gridSpan w:val="3"/>
          </w:tcPr>
          <w:p>
            <w:pPr>
              <w:jc w:val="right"/>
              <w:ind w:right="180"/>
              <w:spacing w:after="0"/>
              <w:rPr>
                <w:sz w:val="20"/>
                <w:szCs w:val="20"/>
                <w:color w:val="auto"/>
              </w:rPr>
            </w:pPr>
            <w:r>
              <w:rPr>
                <w:rFonts w:ascii="Calibri" w:cs="Calibri" w:eastAsia="Calibri" w:hAnsi="Calibri"/>
                <w:sz w:val="16"/>
                <w:szCs w:val="16"/>
                <w:color w:val="auto"/>
              </w:rPr>
              <w:t>6.30</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auto"/>
                <w:w w:val="97"/>
              </w:rPr>
              <w:t>$</w:t>
            </w:r>
          </w:p>
        </w:tc>
        <w:tc>
          <w:tcPr>
            <w:tcW w:w="1400" w:type="dxa"/>
            <w:vAlign w:val="bottom"/>
            <w:gridSpan w:val="4"/>
          </w:tcPr>
          <w:p>
            <w:pPr>
              <w:jc w:val="right"/>
              <w:ind w:right="340"/>
              <w:spacing w:after="0"/>
              <w:rPr>
                <w:sz w:val="20"/>
                <w:szCs w:val="20"/>
                <w:color w:val="auto"/>
              </w:rPr>
            </w:pPr>
            <w:r>
              <w:rPr>
                <w:rFonts w:ascii="Calibri" w:cs="Calibri" w:eastAsia="Calibri" w:hAnsi="Calibri"/>
                <w:sz w:val="16"/>
                <w:szCs w:val="16"/>
                <w:color w:val="auto"/>
              </w:rPr>
              <w:t>7.00</w:t>
            </w:r>
          </w:p>
        </w:tc>
        <w:tc>
          <w:tcPr>
            <w:tcW w:w="440" w:type="dxa"/>
            <w:vAlign w:val="bottom"/>
          </w:tcPr>
          <w:p>
            <w:pPr>
              <w:jc w:val="right"/>
              <w:ind w:right="79"/>
              <w:spacing w:after="0"/>
              <w:rPr>
                <w:sz w:val="20"/>
                <w:szCs w:val="20"/>
                <w:color w:val="auto"/>
              </w:rPr>
            </w:pPr>
            <w:r>
              <w:rPr>
                <w:rFonts w:ascii="Calibri" w:cs="Calibri" w:eastAsia="Calibri" w:hAnsi="Calibri"/>
                <w:sz w:val="16"/>
                <w:szCs w:val="16"/>
                <w:b w:val="1"/>
                <w:bCs w:val="1"/>
                <w:i w:val="1"/>
                <w:iCs w:val="1"/>
                <w:color w:val="auto"/>
              </w:rPr>
              <w:t>$</w:t>
            </w:r>
          </w:p>
        </w:tc>
        <w:tc>
          <w:tcPr>
            <w:tcW w:w="1120" w:type="dxa"/>
            <w:vAlign w:val="bottom"/>
            <w:gridSpan w:val="4"/>
          </w:tcPr>
          <w:p>
            <w:pPr>
              <w:ind w:left="780"/>
              <w:spacing w:after="0"/>
              <w:rPr>
                <w:sz w:val="20"/>
                <w:szCs w:val="20"/>
                <w:color w:val="auto"/>
              </w:rPr>
            </w:pPr>
            <w:r>
              <w:rPr>
                <w:rFonts w:ascii="Calibri" w:cs="Calibri" w:eastAsia="Calibri" w:hAnsi="Calibri"/>
                <w:sz w:val="16"/>
                <w:szCs w:val="16"/>
                <w:b w:val="1"/>
                <w:bCs w:val="1"/>
                <w:i w:val="1"/>
                <w:iCs w:val="1"/>
                <w:color w:val="auto"/>
              </w:rPr>
              <w:t>6.50</w:t>
            </w:r>
          </w:p>
        </w:tc>
        <w:tc>
          <w:tcPr>
            <w:tcW w:w="420" w:type="dxa"/>
            <w:vAlign w:val="bottom"/>
          </w:tcPr>
          <w:p>
            <w:pPr>
              <w:jc w:val="right"/>
              <w:ind w:right="219"/>
              <w:spacing w:after="0"/>
              <w:rPr>
                <w:sz w:val="20"/>
                <w:szCs w:val="20"/>
                <w:color w:val="auto"/>
              </w:rPr>
            </w:pPr>
            <w:r>
              <w:rPr>
                <w:rFonts w:ascii="Calibri" w:cs="Calibri" w:eastAsia="Calibri" w:hAnsi="Calibri"/>
                <w:sz w:val="16"/>
                <w:szCs w:val="16"/>
                <w:b w:val="1"/>
                <w:bCs w:val="1"/>
                <w:i w:val="1"/>
                <w:iCs w:val="1"/>
                <w:color w:val="auto"/>
              </w:rPr>
              <w:t>$</w:t>
            </w:r>
          </w:p>
        </w:tc>
        <w:tc>
          <w:tcPr>
            <w:tcW w:w="1000" w:type="dxa"/>
            <w:vAlign w:val="bottom"/>
            <w:tcBorders>
              <w:right w:val="single" w:sz="8" w:color="auto"/>
            </w:tcBorders>
            <w:gridSpan w:val="3"/>
          </w:tcPr>
          <w:p>
            <w:pPr>
              <w:jc w:val="right"/>
              <w:ind w:right="80"/>
              <w:spacing w:after="0"/>
              <w:rPr>
                <w:sz w:val="20"/>
                <w:szCs w:val="20"/>
                <w:color w:val="auto"/>
              </w:rPr>
            </w:pPr>
            <w:r>
              <w:rPr>
                <w:rFonts w:ascii="Calibri" w:cs="Calibri" w:eastAsia="Calibri" w:hAnsi="Calibri"/>
                <w:sz w:val="16"/>
                <w:szCs w:val="16"/>
                <w:b w:val="1"/>
                <w:bCs w:val="1"/>
                <w:i w:val="1"/>
                <w:iCs w:val="1"/>
                <w:color w:val="auto"/>
              </w:rPr>
              <w:t>7.25</w:t>
            </w:r>
          </w:p>
        </w:tc>
      </w:tr>
      <w:tr>
        <w:trPr>
          <w:trHeight w:val="392"/>
        </w:trPr>
        <w:tc>
          <w:tcPr>
            <w:tcW w:w="404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Adjusted Earnings per Common Share, Diluted</w:t>
            </w:r>
          </w:p>
        </w:tc>
        <w:tc>
          <w:tcPr>
            <w:tcW w:w="80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020" w:type="dxa"/>
            <w:vAlign w:val="bottom"/>
            <w:gridSpan w:val="3"/>
          </w:tcPr>
          <w:p>
            <w:pPr>
              <w:jc w:val="right"/>
              <w:ind w:right="180"/>
              <w:spacing w:after="0"/>
              <w:rPr>
                <w:sz w:val="20"/>
                <w:szCs w:val="20"/>
                <w:color w:val="auto"/>
              </w:rPr>
            </w:pPr>
            <w:r>
              <w:rPr>
                <w:rFonts w:ascii="Calibri" w:cs="Calibri" w:eastAsia="Calibri" w:hAnsi="Calibri"/>
                <w:sz w:val="16"/>
                <w:szCs w:val="16"/>
                <w:color w:val="auto"/>
              </w:rPr>
              <w:t>6.55</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auto"/>
                <w:w w:val="97"/>
              </w:rPr>
              <w:t>$</w:t>
            </w:r>
          </w:p>
        </w:tc>
        <w:tc>
          <w:tcPr>
            <w:tcW w:w="1400" w:type="dxa"/>
            <w:vAlign w:val="bottom"/>
            <w:gridSpan w:val="4"/>
          </w:tcPr>
          <w:p>
            <w:pPr>
              <w:jc w:val="right"/>
              <w:ind w:right="340"/>
              <w:spacing w:after="0"/>
              <w:rPr>
                <w:sz w:val="20"/>
                <w:szCs w:val="20"/>
                <w:color w:val="auto"/>
              </w:rPr>
            </w:pPr>
            <w:r>
              <w:rPr>
                <w:rFonts w:ascii="Calibri" w:cs="Calibri" w:eastAsia="Calibri" w:hAnsi="Calibri"/>
                <w:sz w:val="16"/>
                <w:szCs w:val="16"/>
                <w:color w:val="auto"/>
              </w:rPr>
              <w:t>7.25</w:t>
            </w:r>
          </w:p>
        </w:tc>
        <w:tc>
          <w:tcPr>
            <w:tcW w:w="440" w:type="dxa"/>
            <w:vAlign w:val="bottom"/>
          </w:tcPr>
          <w:p>
            <w:pPr>
              <w:jc w:val="right"/>
              <w:ind w:right="79"/>
              <w:spacing w:after="0"/>
              <w:rPr>
                <w:sz w:val="20"/>
                <w:szCs w:val="20"/>
                <w:color w:val="auto"/>
              </w:rPr>
            </w:pPr>
            <w:r>
              <w:rPr>
                <w:rFonts w:ascii="Calibri" w:cs="Calibri" w:eastAsia="Calibri" w:hAnsi="Calibri"/>
                <w:sz w:val="16"/>
                <w:szCs w:val="16"/>
                <w:b w:val="1"/>
                <w:bCs w:val="1"/>
                <w:i w:val="1"/>
                <w:iCs w:val="1"/>
                <w:color w:val="auto"/>
              </w:rPr>
              <w:t>$</w:t>
            </w:r>
          </w:p>
        </w:tc>
        <w:tc>
          <w:tcPr>
            <w:tcW w:w="1120" w:type="dxa"/>
            <w:vAlign w:val="bottom"/>
            <w:gridSpan w:val="4"/>
          </w:tcPr>
          <w:p>
            <w:pPr>
              <w:ind w:left="780"/>
              <w:spacing w:after="0"/>
              <w:rPr>
                <w:sz w:val="20"/>
                <w:szCs w:val="20"/>
                <w:color w:val="auto"/>
              </w:rPr>
            </w:pPr>
            <w:r>
              <w:rPr>
                <w:rFonts w:ascii="Calibri" w:cs="Calibri" w:eastAsia="Calibri" w:hAnsi="Calibri"/>
                <w:sz w:val="16"/>
                <w:szCs w:val="16"/>
                <w:b w:val="1"/>
                <w:bCs w:val="1"/>
                <w:i w:val="1"/>
                <w:iCs w:val="1"/>
                <w:color w:val="auto"/>
              </w:rPr>
              <w:t>6.75</w:t>
            </w:r>
          </w:p>
        </w:tc>
        <w:tc>
          <w:tcPr>
            <w:tcW w:w="420" w:type="dxa"/>
            <w:vAlign w:val="bottom"/>
          </w:tcPr>
          <w:p>
            <w:pPr>
              <w:jc w:val="right"/>
              <w:ind w:right="219"/>
              <w:spacing w:after="0"/>
              <w:rPr>
                <w:sz w:val="20"/>
                <w:szCs w:val="20"/>
                <w:color w:val="auto"/>
              </w:rPr>
            </w:pPr>
            <w:r>
              <w:rPr>
                <w:rFonts w:ascii="Calibri" w:cs="Calibri" w:eastAsia="Calibri" w:hAnsi="Calibri"/>
                <w:sz w:val="16"/>
                <w:szCs w:val="16"/>
                <w:b w:val="1"/>
                <w:bCs w:val="1"/>
                <w:i w:val="1"/>
                <w:iCs w:val="1"/>
                <w:color w:val="auto"/>
              </w:rPr>
              <w:t>$</w:t>
            </w:r>
          </w:p>
        </w:tc>
        <w:tc>
          <w:tcPr>
            <w:tcW w:w="1000" w:type="dxa"/>
            <w:vAlign w:val="bottom"/>
            <w:tcBorders>
              <w:right w:val="single" w:sz="8" w:color="auto"/>
            </w:tcBorders>
            <w:gridSpan w:val="3"/>
          </w:tcPr>
          <w:p>
            <w:pPr>
              <w:jc w:val="right"/>
              <w:ind w:right="80"/>
              <w:spacing w:after="0"/>
              <w:rPr>
                <w:sz w:val="20"/>
                <w:szCs w:val="20"/>
                <w:color w:val="auto"/>
              </w:rPr>
            </w:pPr>
            <w:r>
              <w:rPr>
                <w:rFonts w:ascii="Calibri" w:cs="Calibri" w:eastAsia="Calibri" w:hAnsi="Calibri"/>
                <w:sz w:val="16"/>
                <w:szCs w:val="16"/>
                <w:b w:val="1"/>
                <w:bCs w:val="1"/>
                <w:i w:val="1"/>
                <w:iCs w:val="1"/>
                <w:color w:val="auto"/>
              </w:rPr>
              <w:t>7.50</w:t>
            </w:r>
          </w:p>
        </w:tc>
      </w:tr>
      <w:tr>
        <w:trPr>
          <w:trHeight w:val="351"/>
        </w:trPr>
        <w:tc>
          <w:tcPr>
            <w:tcW w:w="404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Diluted Weighted Average Common Shares Outstanding</w:t>
            </w:r>
          </w:p>
        </w:tc>
        <w:tc>
          <w:tcPr>
            <w:tcW w:w="8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Calibri" w:cs="Calibri" w:eastAsia="Calibri" w:hAnsi="Calibri"/>
                <w:sz w:val="16"/>
                <w:szCs w:val="16"/>
                <w:color w:val="auto"/>
              </w:rPr>
              <w:t>88.0</w:t>
            </w:r>
          </w:p>
        </w:tc>
        <w:tc>
          <w:tcPr>
            <w:tcW w:w="280" w:type="dxa"/>
            <w:vAlign w:val="bottom"/>
          </w:tcPr>
          <w:p>
            <w:pPr>
              <w:spacing w:after="0"/>
              <w:rPr>
                <w:sz w:val="24"/>
                <w:szCs w:val="24"/>
                <w:color w:val="auto"/>
              </w:rPr>
            </w:pPr>
          </w:p>
        </w:tc>
        <w:tc>
          <w:tcPr>
            <w:tcW w:w="1400" w:type="dxa"/>
            <w:vAlign w:val="bottom"/>
            <w:gridSpan w:val="4"/>
          </w:tcPr>
          <w:p>
            <w:pPr>
              <w:jc w:val="right"/>
              <w:ind w:right="340"/>
              <w:spacing w:after="0"/>
              <w:rPr>
                <w:sz w:val="20"/>
                <w:szCs w:val="20"/>
                <w:color w:val="auto"/>
              </w:rPr>
            </w:pPr>
            <w:r>
              <w:rPr>
                <w:rFonts w:ascii="Calibri" w:cs="Calibri" w:eastAsia="Calibri" w:hAnsi="Calibri"/>
                <w:sz w:val="16"/>
                <w:szCs w:val="16"/>
                <w:color w:val="auto"/>
              </w:rPr>
              <w:t>88.0</w:t>
            </w:r>
          </w:p>
        </w:tc>
        <w:tc>
          <w:tcPr>
            <w:tcW w:w="440" w:type="dxa"/>
            <w:vAlign w:val="bottom"/>
          </w:tcPr>
          <w:p>
            <w:pPr>
              <w:spacing w:after="0"/>
              <w:rPr>
                <w:sz w:val="24"/>
                <w:szCs w:val="24"/>
                <w:color w:val="auto"/>
              </w:rPr>
            </w:pPr>
          </w:p>
        </w:tc>
        <w:tc>
          <w:tcPr>
            <w:tcW w:w="1120" w:type="dxa"/>
            <w:vAlign w:val="bottom"/>
            <w:gridSpan w:val="4"/>
          </w:tcPr>
          <w:p>
            <w:pPr>
              <w:ind w:left="780"/>
              <w:spacing w:after="0"/>
              <w:rPr>
                <w:sz w:val="20"/>
                <w:szCs w:val="20"/>
                <w:color w:val="auto"/>
              </w:rPr>
            </w:pPr>
            <w:r>
              <w:rPr>
                <w:rFonts w:ascii="Calibri" w:cs="Calibri" w:eastAsia="Calibri" w:hAnsi="Calibri"/>
                <w:sz w:val="16"/>
                <w:szCs w:val="16"/>
                <w:b w:val="1"/>
                <w:bCs w:val="1"/>
                <w:i w:val="1"/>
                <w:iCs w:val="1"/>
                <w:color w:val="auto"/>
              </w:rPr>
              <w:t>85.0</w:t>
            </w:r>
          </w:p>
        </w:tc>
        <w:tc>
          <w:tcPr>
            <w:tcW w:w="420" w:type="dxa"/>
            <w:vAlign w:val="bottom"/>
          </w:tcPr>
          <w:p>
            <w:pPr>
              <w:spacing w:after="0"/>
              <w:rPr>
                <w:sz w:val="24"/>
                <w:szCs w:val="24"/>
                <w:color w:val="auto"/>
              </w:rPr>
            </w:pPr>
          </w:p>
        </w:tc>
        <w:tc>
          <w:tcPr>
            <w:tcW w:w="1000" w:type="dxa"/>
            <w:vAlign w:val="bottom"/>
            <w:tcBorders>
              <w:right w:val="single" w:sz="8" w:color="auto"/>
            </w:tcBorders>
            <w:gridSpan w:val="3"/>
          </w:tcPr>
          <w:p>
            <w:pPr>
              <w:jc w:val="right"/>
              <w:ind w:right="80"/>
              <w:spacing w:after="0"/>
              <w:rPr>
                <w:sz w:val="20"/>
                <w:szCs w:val="20"/>
                <w:color w:val="auto"/>
              </w:rPr>
            </w:pPr>
            <w:r>
              <w:rPr>
                <w:rFonts w:ascii="Calibri" w:cs="Calibri" w:eastAsia="Calibri" w:hAnsi="Calibri"/>
                <w:sz w:val="16"/>
                <w:szCs w:val="16"/>
                <w:b w:val="1"/>
                <w:bCs w:val="1"/>
                <w:i w:val="1"/>
                <w:iCs w:val="1"/>
                <w:color w:val="auto"/>
              </w:rPr>
              <w:t>85.0</w:t>
            </w:r>
          </w:p>
        </w:tc>
      </w:tr>
      <w:tr>
        <w:trPr>
          <w:trHeight w:val="190"/>
        </w:trPr>
        <w:tc>
          <w:tcPr>
            <w:tcW w:w="4040" w:type="dxa"/>
            <w:vAlign w:val="bottom"/>
            <w:tcBorders>
              <w:left w:val="single" w:sz="8" w:color="auto"/>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r>
    </w:tbl>
    <w:p>
      <w:pPr>
        <w:spacing w:after="0" w:line="31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earnings per common share estimate reflects a tax rate of 24.0% and the year-to-date share repurchase activity, but does not include any potential future share repurchases.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Academy will host a conference call today at 10:00 a.m. Eastern Time to discuss its financial results. Listeners may access the call by dialing 1-877-407-3982 (U.S.) or 1-201-493-6780 (International). The passcode is 13732261. A webcast of the call can be accessed at </w:t>
      </w:r>
      <w:r>
        <w:rPr>
          <w:rFonts w:ascii="Arial" w:cs="Arial" w:eastAsia="Arial" w:hAnsi="Arial"/>
          <w:sz w:val="18"/>
          <w:szCs w:val="18"/>
          <w:u w:val="single" w:color="auto"/>
          <w:color w:val="0E32E1"/>
        </w:rPr>
        <w:t>investors.academy.com</w:t>
      </w:r>
      <w:r>
        <w:rPr>
          <w:rFonts w:ascii="Arial" w:cs="Arial" w:eastAsia="Arial" w:hAnsi="Arial"/>
          <w:sz w:val="18"/>
          <w:szCs w:val="18"/>
          <w:color w:val="000000"/>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45"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8"/>
          <w:szCs w:val="18"/>
          <w:color w:val="auto"/>
        </w:rPr>
        <w:t xml:space="preserve">A telephonic replay of the conference call will be available for approximately 30 days, by dialing 1-844-512-2921 (U.S.) or 1-412-317-6671 (International) and entering passcode 13732261.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for 30 days.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261 stores across 16 states as of the end of Q2 2022.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These non-GAAP measures have limitations as analytical tools. For information on these limitations, as well as information on why management believes these non-GAAP measures are useful, please see our Annual Report for the fiscal year ended January 29, 2022 (the "Annual Report") and our Quarterly Report for the thirteen and twenty-six weeks ended July 30, 2022 (the “Quarterly Report”), as such limitations and information may be updated from time to time in our periodic filings with the Securities and Exchange commission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compensate for these limitations by primarily relying on our GAAP results in addition to using these non-GAAP measures supplementally.</w:t>
      </w: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404040"/>
        </w:rPr>
        <w:t>This press release contains forward-looking statements within the meaning of Section 27A of the Securities Act of 1933, as amended, and Section 21E of the Securities Exchange Act of 1934, as amended. These forward-looking statements are based on Academy's current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404040"/>
        </w:rPr>
        <w:t>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the payment of the dividend and declaration of future dividends, including the timing and amount thereof, share repurchases,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including ongoing inflation and continued increases in interest rates, many of which are beyond Academy's control. Important factors that could cause actual results to differ materially from those in the forward-looking statements are set forth in Academy's filings with the U.S. Securities and Exchange Commission (the "SEC"), including the Annual Report and the Quarterly Report, under the caption "Risk Factors," as may be updated from time to time in our periodic filings with the SEC. Any</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404040"/>
        </w:rPr>
        <w:t>forward-looking statement in this press release speaks only as of the date of this release. Academy undertakes no obligation to publicly update or review any forward-looking statement, whether as a result of new information, future developments or otherwise, except as may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404040"/>
        </w:rPr>
        <w:t>required by any applicable securities laws.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6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2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2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28"/>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60" w:type="dxa"/>
            <w:vAlign w:val="bottom"/>
            <w:gridSpan w:val="3"/>
          </w:tcPr>
          <w:p>
            <w:pPr>
              <w:jc w:val="right"/>
              <w:ind w:right="110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240"/>
          </w:cols>
          <w:pgMar w:left="320" w:top="44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220"/>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Percentage of</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Percentage of</w:t>
            </w:r>
          </w:p>
        </w:tc>
      </w:tr>
      <w:tr>
        <w:trPr>
          <w:trHeight w:val="266"/>
        </w:trPr>
        <w:tc>
          <w:tcPr>
            <w:tcW w:w="40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July 30, 2022</w:t>
            </w:r>
          </w:p>
        </w:tc>
        <w:tc>
          <w:tcPr>
            <w:tcW w:w="80" w:type="dxa"/>
            <w:vAlign w:val="bottom"/>
            <w:tcBorders>
              <w:bottom w:val="single" w:sz="8" w:color="CCEEFF"/>
            </w:tcBorders>
          </w:tcPr>
          <w:p>
            <w:pPr>
              <w:spacing w:after="0"/>
              <w:rPr>
                <w:sz w:val="23"/>
                <w:szCs w:val="23"/>
                <w:color w:val="auto"/>
              </w:rPr>
            </w:pP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(1)</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July 31, 2021</w:t>
            </w:r>
          </w:p>
        </w:tc>
        <w:tc>
          <w:tcPr>
            <w:tcW w:w="8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(1)</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1,686,915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1,791,530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1,090,852</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64.7 %</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1,149,034</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64.1 %</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596,063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35.3 %</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642,496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339,329</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20.1 %</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387,938</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21.7 %</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256,734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15.2 %</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254,558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11,157</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0.7 %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12,157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0.7 %</w:t>
            </w:r>
          </w:p>
        </w:tc>
      </w:tr>
      <w:tr>
        <w:trPr>
          <w:trHeight w:val="278"/>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(1,441)</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(0.0)%</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247,018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14.6 %</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240,897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58,217</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3.5 %</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50,387</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2.8 %</w:t>
            </w:r>
          </w:p>
        </w:tc>
      </w:tr>
      <w:tr>
        <w:trPr>
          <w:trHeight w:val="295"/>
        </w:trPr>
        <w:tc>
          <w:tcPr>
            <w:tcW w:w="4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188,801</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11.2 %</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190,510</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r>
        <w:trPr>
          <w:trHeight w:val="204"/>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62"/>
        </w:trPr>
        <w:tc>
          <w:tcPr>
            <w:tcW w:w="40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8"/>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56"/>
        </w:trPr>
        <w:tc>
          <w:tcPr>
            <w:tcW w:w="4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63"/>
        </w:trPr>
        <w:tc>
          <w:tcPr>
            <w:tcW w:w="40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82,960</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92,627</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8"/>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84,906</w:t>
            </w:r>
          </w:p>
        </w:tc>
        <w:tc>
          <w:tcPr>
            <w:tcW w:w="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95,891</w:t>
            </w:r>
          </w:p>
        </w:tc>
        <w:tc>
          <w:tcPr>
            <w:tcW w:w="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bl>
    <w:p>
      <w:pPr>
        <w:spacing w:after="0" w:line="36"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0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Twenty-Six Weeks Ended</w:t>
            </w:r>
          </w:p>
        </w:tc>
        <w:tc>
          <w:tcPr>
            <w:tcW w:w="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220"/>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Percentage of</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Percentage of</w:t>
            </w:r>
          </w:p>
        </w:tc>
      </w:tr>
      <w:tr>
        <w:trPr>
          <w:trHeight w:val="266"/>
        </w:trPr>
        <w:tc>
          <w:tcPr>
            <w:tcW w:w="40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July 30, 2022</w:t>
            </w:r>
          </w:p>
        </w:tc>
        <w:tc>
          <w:tcPr>
            <w:tcW w:w="80" w:type="dxa"/>
            <w:vAlign w:val="bottom"/>
            <w:tcBorders>
              <w:bottom w:val="single" w:sz="8" w:color="CCEEFF"/>
            </w:tcBorders>
          </w:tcPr>
          <w:p>
            <w:pPr>
              <w:spacing w:after="0"/>
              <w:rPr>
                <w:sz w:val="23"/>
                <w:szCs w:val="23"/>
                <w:color w:val="auto"/>
              </w:rPr>
            </w:pP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(1)</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July 31, 2021</w:t>
            </w:r>
          </w:p>
        </w:tc>
        <w:tc>
          <w:tcPr>
            <w:tcW w:w="8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(1)</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3,154,645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3,371,863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2,037,158</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64.6 %</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2,165,666</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64.2 %</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1,117,487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35.4 %</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1,206,197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655,260</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20.8 %</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712,565</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21.1 %</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462,227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14.7 %</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493,632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22,077</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0.7 %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26,706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0.8 %</w:t>
            </w:r>
          </w:p>
        </w:tc>
      </w:tr>
      <w:tr>
        <w:trPr>
          <w:trHeight w:val="278"/>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(2,138)</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(0.0)%</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442,288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14.0 %</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465,819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103,681</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3.3 %</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97,513</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2.9 %</w:t>
            </w:r>
          </w:p>
        </w:tc>
      </w:tr>
      <w:tr>
        <w:trPr>
          <w:trHeight w:val="295"/>
        </w:trPr>
        <w:tc>
          <w:tcPr>
            <w:tcW w:w="4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338,607</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10.7 %</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368,306</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r>
        <w:trPr>
          <w:trHeight w:val="204"/>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62"/>
        </w:trPr>
        <w:tc>
          <w:tcPr>
            <w:tcW w:w="40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3.99</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8"/>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57"/>
        </w:trPr>
        <w:tc>
          <w:tcPr>
            <w:tcW w:w="4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63"/>
        </w:trPr>
        <w:tc>
          <w:tcPr>
            <w:tcW w:w="40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84,809</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92,357</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8"/>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86,792</w:t>
            </w:r>
          </w:p>
        </w:tc>
        <w:tc>
          <w:tcPr>
            <w:tcW w:w="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96,391</w:t>
            </w:r>
          </w:p>
        </w:tc>
        <w:tc>
          <w:tcPr>
            <w:tcW w:w="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bl>
    <w:p>
      <w:pPr>
        <w:spacing w:after="0" w:line="36"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0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30, 2022</w:t>
            </w:r>
          </w:p>
        </w:tc>
        <w:tc>
          <w:tcPr>
            <w:tcW w:w="18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29, 2022</w:t>
            </w:r>
          </w:p>
        </w:tc>
        <w:tc>
          <w:tcPr>
            <w:tcW w:w="220" w:type="dxa"/>
            <w:vAlign w:val="bottom"/>
          </w:tcPr>
          <w:p>
            <w:pPr>
              <w:spacing w:after="0"/>
              <w:rPr>
                <w:sz w:val="22"/>
                <w:szCs w:val="22"/>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31, 2021</w:t>
            </w:r>
          </w:p>
        </w:tc>
      </w:tr>
      <w:tr>
        <w:trPr>
          <w:trHeight w:val="257"/>
        </w:trPr>
        <w:tc>
          <w:tcPr>
            <w:tcW w:w="5640" w:type="dxa"/>
            <w:vAlign w:val="bottom"/>
            <w:tcBorders>
              <w:top w:val="single" w:sz="8" w:color="CCEEFF"/>
            </w:tcBorders>
            <w:shd w:val="clear" w:color="auto" w:fill="CCEEFF"/>
          </w:tcPr>
          <w:p>
            <w:pPr>
              <w:ind w:left="24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399,857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485,998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553,825</w:t>
            </w:r>
          </w:p>
        </w:tc>
      </w:tr>
      <w:tr>
        <w:trPr>
          <w:trHeight w:val="224"/>
        </w:trPr>
        <w:tc>
          <w:tcPr>
            <w:tcW w:w="5640" w:type="dxa"/>
            <w:vAlign w:val="bottom"/>
          </w:tcPr>
          <w:p>
            <w:pPr>
              <w:ind w:left="240"/>
              <w:spacing w:after="0"/>
              <w:rPr>
                <w:sz w:val="20"/>
                <w:szCs w:val="20"/>
                <w:color w:val="auto"/>
              </w:rPr>
            </w:pPr>
            <w:r>
              <w:rPr>
                <w:rFonts w:ascii="Arial" w:cs="Arial" w:eastAsia="Arial" w:hAnsi="Arial"/>
                <w:sz w:val="18"/>
                <w:szCs w:val="18"/>
                <w:color w:val="auto"/>
              </w:rPr>
              <w:t>Accounts receivable - less allowance for doubtful accounts of</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4"/>
        </w:trPr>
        <w:tc>
          <w:tcPr>
            <w:tcW w:w="5640" w:type="dxa"/>
            <w:vAlign w:val="bottom"/>
          </w:tcPr>
          <w:p>
            <w:pPr>
              <w:ind w:left="240"/>
              <w:spacing w:after="0"/>
              <w:rPr>
                <w:sz w:val="20"/>
                <w:szCs w:val="20"/>
                <w:color w:val="auto"/>
              </w:rPr>
            </w:pPr>
            <w:r>
              <w:rPr>
                <w:rFonts w:ascii="Arial" w:cs="Arial" w:eastAsia="Arial" w:hAnsi="Arial"/>
                <w:sz w:val="18"/>
                <w:szCs w:val="18"/>
                <w:color w:val="auto"/>
              </w:rPr>
              <w:t>$1,143, $732 and $822, respectively</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14,521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19,718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10,791</w:t>
            </w: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Merchandise inventories, net</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1,304,556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1,171,808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1,115,020</w:t>
            </w:r>
          </w:p>
        </w:tc>
      </w:tr>
      <w:tr>
        <w:trPr>
          <w:trHeight w:val="263"/>
        </w:trPr>
        <w:tc>
          <w:tcPr>
            <w:tcW w:w="56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46,448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36,460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39,050</w:t>
            </w: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Assets held for sale</w:t>
            </w:r>
          </w:p>
        </w:tc>
        <w:tc>
          <w:tcPr>
            <w:tcW w:w="22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56"/>
        </w:trPr>
        <w:tc>
          <w:tcPr>
            <w:tcW w:w="5640" w:type="dxa"/>
            <w:vAlign w:val="bottom"/>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1,767,145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1,715,747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1,720,449</w:t>
            </w:r>
          </w:p>
        </w:tc>
      </w:tr>
      <w:tr>
        <w:trPr>
          <w:trHeight w:val="223"/>
        </w:trPr>
        <w:tc>
          <w:tcPr>
            <w:tcW w:w="5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350,628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345,836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362,784</w:t>
            </w:r>
          </w:p>
        </w:tc>
      </w:tr>
      <w:tr>
        <w:trPr>
          <w:trHeight w:val="27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1,087,085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1,079,546</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1,105,272</w:t>
            </w: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TRADE NAME</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577,299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577,215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577,000</w:t>
            </w:r>
          </w:p>
        </w:tc>
      </w:tr>
      <w:tr>
        <w:trPr>
          <w:trHeight w:val="27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861,920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861,920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861,920</w:t>
            </w:r>
          </w:p>
        </w:tc>
      </w:tr>
      <w:tr>
        <w:trPr>
          <w:trHeight w:val="26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9,892</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r>
      <w:tr>
        <w:trPr>
          <w:trHeight w:val="295"/>
        </w:trPr>
        <w:tc>
          <w:tcPr>
            <w:tcW w:w="5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4,653,969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4,584,940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4,634,027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70"/>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778,016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737,826</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816,427</w:t>
            </w:r>
          </w:p>
        </w:tc>
      </w:tr>
      <w:tr>
        <w:trPr>
          <w:trHeight w:val="263"/>
        </w:trPr>
        <w:tc>
          <w:tcPr>
            <w:tcW w:w="564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251,569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303,207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277,157</w:t>
            </w: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lease liabilities</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87,042</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83,077</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84,981</w:t>
            </w:r>
          </w:p>
        </w:tc>
      </w:tr>
      <w:tr>
        <w:trPr>
          <w:trHeight w:val="264"/>
        </w:trPr>
        <w:tc>
          <w:tcPr>
            <w:tcW w:w="5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70"/>
        </w:trPr>
        <w:tc>
          <w:tcPr>
            <w:tcW w:w="56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1,119,627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1,127,110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1,181,565</w:t>
            </w:r>
          </w:p>
        </w:tc>
      </w:tr>
      <w:tr>
        <w:trPr>
          <w:trHeight w:val="216"/>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683,065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683,585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684,103</w:t>
            </w: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1,081,790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1,077,667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1,107,709</w:t>
            </w:r>
          </w:p>
        </w:tc>
      </w:tr>
      <w:tr>
        <w:trPr>
          <w:trHeight w:val="27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235,187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217,212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185,765</w:t>
            </w:r>
          </w:p>
        </w:tc>
      </w:tr>
      <w:tr>
        <w:trPr>
          <w:trHeight w:val="26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13,029</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12,420</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27,267</w:t>
            </w:r>
          </w:p>
        </w:tc>
      </w:tr>
      <w:tr>
        <w:trPr>
          <w:trHeight w:val="263"/>
        </w:trPr>
        <w:tc>
          <w:tcPr>
            <w:tcW w:w="56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3,132,698</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3,117,994</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3,186,409</w:t>
            </w:r>
          </w:p>
        </w:tc>
      </w:tr>
      <w:tr>
        <w:trPr>
          <w:trHeight w:val="203"/>
        </w:trPr>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7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16"/>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4"/>
        </w:trPr>
        <w:tc>
          <w:tcPr>
            <w:tcW w:w="5640" w:type="dxa"/>
            <w:vAlign w:val="bottom"/>
          </w:tcPr>
          <w:p>
            <w:pPr>
              <w:ind w:left="240"/>
              <w:spacing w:after="0"/>
              <w:rPr>
                <w:sz w:val="20"/>
                <w:szCs w:val="20"/>
                <w:color w:val="auto"/>
              </w:rPr>
            </w:pPr>
            <w:r>
              <w:rPr>
                <w:rFonts w:ascii="Arial" w:cs="Arial" w:eastAsia="Arial" w:hAnsi="Arial"/>
                <w:sz w:val="18"/>
                <w:szCs w:val="18"/>
                <w:color w:val="auto"/>
              </w:rPr>
              <w:t>Preferred stock, $0.01 par value, authorized 50,000,000 shares;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4"/>
        </w:trPr>
        <w:tc>
          <w:tcPr>
            <w:tcW w:w="5640" w:type="dxa"/>
            <w:vAlign w:val="bottom"/>
          </w:tcPr>
          <w:p>
            <w:pPr>
              <w:ind w:left="240"/>
              <w:spacing w:after="0"/>
              <w:rPr>
                <w:sz w:val="20"/>
                <w:szCs w:val="20"/>
                <w:color w:val="auto"/>
              </w:rPr>
            </w:pPr>
            <w:r>
              <w:rPr>
                <w:rFonts w:ascii="Arial" w:cs="Arial" w:eastAsia="Arial" w:hAnsi="Arial"/>
                <w:sz w:val="18"/>
                <w:szCs w:val="18"/>
                <w:color w:val="auto"/>
              </w:rPr>
              <w:t>none issued and outstanding</w:t>
            </w:r>
          </w:p>
        </w:tc>
        <w:tc>
          <w:tcPr>
            <w:tcW w:w="220" w:type="dxa"/>
            <w:vAlign w:val="bottom"/>
          </w:tcPr>
          <w:p>
            <w:pPr>
              <w:spacing w:after="0"/>
              <w:rPr>
                <w:sz w:val="22"/>
                <w:szCs w:val="22"/>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2"/>
                <w:szCs w:val="22"/>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 $0.01 par value, authorized 300,000,000 shares;</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6"/>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79,725,034; 87,079,394; and 92,883,540 issued and outstanding</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July 30, 2022, January 29, 2022, and July 31, 2021,</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62"/>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63"/>
        </w:trPr>
        <w:tc>
          <w:tcPr>
            <w:tcW w:w="56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196,510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198,016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187,746</w:t>
            </w:r>
          </w:p>
        </w:tc>
      </w:tr>
      <w:tr>
        <w:trPr>
          <w:trHeight w:val="278"/>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1,323,964</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1,268,060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1,260,805</w:t>
            </w:r>
          </w:p>
        </w:tc>
      </w:tr>
      <w:tr>
        <w:trPr>
          <w:trHeight w:val="264"/>
        </w:trPr>
        <w:tc>
          <w:tcPr>
            <w:tcW w:w="564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2"/>
                <w:szCs w:val="22"/>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2"/>
                <w:szCs w:val="22"/>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(1,862)</w:t>
            </w:r>
          </w:p>
        </w:tc>
      </w:tr>
      <w:tr>
        <w:trPr>
          <w:trHeight w:val="263"/>
        </w:trPr>
        <w:tc>
          <w:tcPr>
            <w:tcW w:w="56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1,521,271</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1,466,946</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1,447,618</w:t>
            </w:r>
          </w:p>
        </w:tc>
      </w:tr>
      <w:tr>
        <w:trPr>
          <w:trHeight w:val="270"/>
        </w:trPr>
        <w:tc>
          <w:tcPr>
            <w:tcW w:w="5640" w:type="dxa"/>
            <w:vAlign w:val="bottom"/>
          </w:tcPr>
          <w:p>
            <w:pPr>
              <w:ind w:left="46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4,653,969</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4,584,940</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4,634,027</w:t>
            </w:r>
          </w:p>
        </w:tc>
      </w:tr>
      <w:tr>
        <w:trPr>
          <w:trHeight w:val="21"/>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69"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Twenty-Six Weeks Ended</w:t>
            </w:r>
          </w:p>
        </w:tc>
      </w:tr>
      <w:tr>
        <w:trPr>
          <w:trHeight w:val="263"/>
        </w:trPr>
        <w:tc>
          <w:tcPr>
            <w:tcW w:w="7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30, 2022</w:t>
            </w:r>
          </w:p>
        </w:tc>
        <w:tc>
          <w:tcPr>
            <w:tcW w:w="220" w:type="dxa"/>
            <w:vAlign w:val="bottom"/>
          </w:tcPr>
          <w:p>
            <w:pPr>
              <w:spacing w:after="0"/>
              <w:rPr>
                <w:sz w:val="22"/>
                <w:szCs w:val="22"/>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July 31, 2021</w:t>
            </w:r>
          </w:p>
        </w:tc>
      </w:tr>
      <w:tr>
        <w:trPr>
          <w:trHeight w:val="257"/>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r>
      <w:tr>
        <w:trPr>
          <w:trHeight w:val="263"/>
        </w:trPr>
        <w:tc>
          <w:tcPr>
            <w:tcW w:w="76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338,607</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368,306</w:t>
            </w:r>
          </w:p>
        </w:tc>
      </w:tr>
      <w:tr>
        <w:trPr>
          <w:trHeight w:val="258"/>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63"/>
        </w:trPr>
        <w:tc>
          <w:tcPr>
            <w:tcW w:w="764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51,852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51,308</w:t>
            </w:r>
          </w:p>
        </w:tc>
      </w:tr>
      <w:tr>
        <w:trPr>
          <w:trHeight w:val="278"/>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63"/>
        </w:trPr>
        <w:tc>
          <w:tcPr>
            <w:tcW w:w="7640" w:type="dxa"/>
            <w:vAlign w:val="bottom"/>
          </w:tcPr>
          <w:p>
            <w:pPr>
              <w:ind w:left="460"/>
              <w:spacing w:after="0"/>
              <w:rPr>
                <w:sz w:val="20"/>
                <w:szCs w:val="20"/>
                <w:color w:val="auto"/>
              </w:rPr>
            </w:pPr>
            <w:r>
              <w:rPr>
                <w:rFonts w:ascii="Arial" w:cs="Arial" w:eastAsia="Arial" w:hAnsi="Arial"/>
                <w:sz w:val="18"/>
                <w:szCs w:val="18"/>
                <w:color w:val="auto"/>
              </w:rPr>
              <w:t>Equity compensation</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9,657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33,205</w:t>
            </w:r>
          </w:p>
        </w:tc>
      </w:tr>
      <w:tr>
        <w:trPr>
          <w:trHeight w:val="278"/>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terminated interest rate swaps, deferred loan and other costs</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r>
      <w:tr>
        <w:trPr>
          <w:trHeight w:val="263"/>
        </w:trPr>
        <w:tc>
          <w:tcPr>
            <w:tcW w:w="764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17,976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46,628</w:t>
            </w:r>
          </w:p>
        </w:tc>
      </w:tr>
      <w:tr>
        <w:trPr>
          <w:trHeight w:val="278"/>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loss on early retirement of debt</w:t>
            </w:r>
          </w:p>
        </w:tc>
        <w:tc>
          <w:tcPr>
            <w:tcW w:w="22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r>
      <w:tr>
        <w:trPr>
          <w:trHeight w:val="247"/>
        </w:trPr>
        <w:tc>
          <w:tcPr>
            <w:tcW w:w="7640" w:type="dxa"/>
            <w:vAlign w:val="bottom"/>
          </w:tcPr>
          <w:p>
            <w:pPr>
              <w:ind w:left="46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r>
      <w:tr>
        <w:trPr>
          <w:trHeight w:val="262"/>
        </w:trPr>
        <w:tc>
          <w:tcPr>
            <w:tcW w:w="7640" w:type="dxa"/>
            <w:vAlign w:val="bottom"/>
          </w:tcPr>
          <w:p>
            <w:pPr>
              <w:ind w:left="680"/>
              <w:spacing w:after="0"/>
              <w:rPr>
                <w:sz w:val="20"/>
                <w:szCs w:val="20"/>
                <w:color w:val="auto"/>
              </w:rPr>
            </w:pPr>
            <w:r>
              <w:rPr>
                <w:rFonts w:ascii="Arial" w:cs="Arial" w:eastAsia="Arial" w:hAnsi="Arial"/>
                <w:sz w:val="18"/>
                <w:szCs w:val="18"/>
                <w:color w:val="auto"/>
              </w:rPr>
              <w:t>Merchandise inventories, net</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(132,748)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(124,986)</w:t>
            </w:r>
          </w:p>
        </w:tc>
      </w:tr>
      <w:tr>
        <w:trPr>
          <w:trHeight w:val="278"/>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(9,987)</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w:t>
            </w:r>
          </w:p>
        </w:tc>
      </w:tr>
      <w:tr>
        <w:trPr>
          <w:trHeight w:val="262"/>
        </w:trPr>
        <w:tc>
          <w:tcPr>
            <w:tcW w:w="7640" w:type="dxa"/>
            <w:vAlign w:val="bottom"/>
          </w:tcPr>
          <w:p>
            <w:pPr>
              <w:ind w:left="68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(5,788)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78"/>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31,596</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22,958</w:t>
            </w:r>
          </w:p>
        </w:tc>
      </w:tr>
      <w:tr>
        <w:trPr>
          <w:trHeight w:val="262"/>
        </w:trPr>
        <w:tc>
          <w:tcPr>
            <w:tcW w:w="7640" w:type="dxa"/>
            <w:vAlign w:val="bottom"/>
          </w:tcPr>
          <w:p>
            <w:pPr>
              <w:ind w:left="6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(47,447)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18,517</w:t>
            </w:r>
          </w:p>
        </w:tc>
      </w:tr>
      <w:tr>
        <w:trPr>
          <w:trHeight w:val="278"/>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w:t>
            </w:r>
          </w:p>
        </w:tc>
      </w:tr>
      <w:tr>
        <w:trPr>
          <w:trHeight w:val="263"/>
        </w:trPr>
        <w:tc>
          <w:tcPr>
            <w:tcW w:w="7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r>
      <w:tr>
        <w:trPr>
          <w:trHeight w:val="264"/>
        </w:trPr>
        <w:tc>
          <w:tcPr>
            <w:tcW w:w="76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258,406</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405,674</w:t>
            </w:r>
          </w:p>
        </w:tc>
      </w:tr>
      <w:tr>
        <w:trPr>
          <w:trHeight w:val="243"/>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2"/>
        </w:trPr>
        <w:tc>
          <w:tcPr>
            <w:tcW w:w="764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(48,050)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(33,767)</w:t>
            </w:r>
          </w:p>
        </w:tc>
      </w:tr>
      <w:tr>
        <w:trPr>
          <w:trHeight w:val="278"/>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intangible assets</w:t>
            </w:r>
          </w:p>
        </w:tc>
        <w:tc>
          <w:tcPr>
            <w:tcW w:w="22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(48,134)</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(33,767)</w:t>
            </w:r>
          </w:p>
        </w:tc>
      </w:tr>
      <w:tr>
        <w:trPr>
          <w:trHeight w:val="243"/>
        </w:trPr>
        <w:tc>
          <w:tcPr>
            <w:tcW w:w="7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62"/>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8"/>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Term Loan</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(100,750)</w:t>
            </w:r>
          </w:p>
        </w:tc>
      </w:tr>
      <w:tr>
        <w:trPr>
          <w:trHeight w:val="262"/>
        </w:trPr>
        <w:tc>
          <w:tcPr>
            <w:tcW w:w="7640" w:type="dxa"/>
            <w:vAlign w:val="bottom"/>
          </w:tcPr>
          <w:p>
            <w:pPr>
              <w:ind w:left="240"/>
              <w:spacing w:after="0"/>
              <w:rPr>
                <w:sz w:val="20"/>
                <w:szCs w:val="20"/>
                <w:color w:val="auto"/>
              </w:rPr>
            </w:pPr>
            <w:r>
              <w:rPr>
                <w:rFonts w:ascii="Arial" w:cs="Arial" w:eastAsia="Arial" w:hAnsi="Arial"/>
                <w:sz w:val="18"/>
                <w:szCs w:val="18"/>
                <w:color w:val="auto"/>
              </w:rPr>
              <w:t>Debt issuance fees</w:t>
            </w:r>
          </w:p>
        </w:tc>
        <w:tc>
          <w:tcPr>
            <w:tcW w:w="220" w:type="dxa"/>
            <w:vAlign w:val="bottom"/>
          </w:tcPr>
          <w:p>
            <w:pPr>
              <w:spacing w:after="0"/>
              <w:rPr>
                <w:sz w:val="22"/>
                <w:szCs w:val="22"/>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8"/>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Award Payments</w:t>
            </w:r>
          </w:p>
        </w:tc>
        <w:tc>
          <w:tcPr>
            <w:tcW w:w="22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w:t>
            </w:r>
          </w:p>
        </w:tc>
      </w:tr>
      <w:tr>
        <w:trPr>
          <w:trHeight w:val="262"/>
        </w:trPr>
        <w:tc>
          <w:tcPr>
            <w:tcW w:w="764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4,683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31,678</w:t>
            </w:r>
          </w:p>
        </w:tc>
      </w:tr>
      <w:tr>
        <w:trPr>
          <w:trHeight w:val="278"/>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 under employee stock purchase program</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2,797</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63"/>
        </w:trPr>
        <w:tc>
          <w:tcPr>
            <w:tcW w:w="7640" w:type="dxa"/>
            <w:vAlign w:val="bottom"/>
          </w:tcPr>
          <w:p>
            <w:pPr>
              <w:ind w:left="240"/>
              <w:spacing w:after="0"/>
              <w:rPr>
                <w:sz w:val="20"/>
                <w:szCs w:val="20"/>
                <w:color w:val="auto"/>
              </w:rPr>
            </w:pPr>
            <w:r>
              <w:rPr>
                <w:rFonts w:ascii="Arial" w:cs="Arial" w:eastAsia="Arial" w:hAnsi="Arial"/>
                <w:sz w:val="18"/>
                <w:szCs w:val="18"/>
                <w:color w:val="auto"/>
              </w:rPr>
              <w:t>Taxes paid related to net share settlement of equity awards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(974)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(15,418)</w:t>
            </w:r>
          </w:p>
        </w:tc>
      </w:tr>
      <w:tr>
        <w:trPr>
          <w:trHeight w:val="278"/>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common stock for retirement</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(288,612)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64"/>
        </w:trPr>
        <w:tc>
          <w:tcPr>
            <w:tcW w:w="7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(12,807)</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(296,413)</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(195,686)</w:t>
            </w:r>
          </w:p>
        </w:tc>
      </w:tr>
      <w:tr>
        <w:trPr>
          <w:trHeight w:val="243"/>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(86,141)</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176,221</w:t>
            </w:r>
          </w:p>
        </w:tc>
      </w:tr>
      <w:tr>
        <w:trPr>
          <w:trHeight w:val="264"/>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485,998</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377,604</w:t>
            </w:r>
          </w:p>
        </w:tc>
      </w:tr>
      <w:tr>
        <w:trPr>
          <w:trHeight w:val="29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399,857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553,825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769"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further adjusted to exclude costs such as consulting fees, private equity sponsor monitoring fees, equity compensation expense, (gain) loss on early retirement of debt, net, severance and executive transition costs, costs related to the COVID-19 pandemic, pre-opening expenses, payroll taxes associated with a vesting event, as a result of a secondary offering, of certain time and performance-based equity awards, which occurred in May 2021 (the “2021 Vesting Event”) and other adjustments. We define “Adjusted EBIT” as net income (loss) before interest expense, net, and income tax expense, further adjusted to exclude costs such as consulting fees, private equity sponsor</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monitoring fees, equity compensation expense, (gain) loss on early retirement of debt, net, severance and executive transition costs, costs related to the COVID-19 pandemic, pre-opening expenses, payroll taxes associated with the 2021 Vesting Event and other adjustments. We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describe these adjustments reconciling net income (loss) to Adjusted EBITDA and Adjusted EBIT in the following table.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Twenty-Six Weeks Ended</w:t>
            </w: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30, 2022</w:t>
            </w: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31, 2021</w:t>
            </w:r>
          </w:p>
        </w:tc>
        <w:tc>
          <w:tcPr>
            <w:tcW w:w="24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30, 2022</w:t>
            </w:r>
          </w:p>
        </w:tc>
        <w:tc>
          <w:tcPr>
            <w:tcW w:w="22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2021</w:t>
            </w:r>
          </w:p>
        </w:tc>
      </w:tr>
      <w:tr>
        <w:trPr>
          <w:trHeight w:val="240"/>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188,801</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190,510</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338,607</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368,306</w:t>
            </w:r>
          </w:p>
        </w:tc>
      </w:tr>
      <w:tr>
        <w:trPr>
          <w:trHeight w:val="239"/>
        </w:trPr>
        <w:tc>
          <w:tcPr>
            <w:tcW w:w="40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11,157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12,157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22,077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26,706</w:t>
            </w:r>
          </w:p>
        </w:tc>
      </w:tr>
      <w:tr>
        <w:trPr>
          <w:trHeight w:val="24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58,217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103,681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97,513</w:t>
            </w:r>
          </w:p>
        </w:tc>
      </w:tr>
      <w:tr>
        <w:trPr>
          <w:trHeight w:val="239"/>
        </w:trPr>
        <w:tc>
          <w:tcPr>
            <w:tcW w:w="40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26,274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26,010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51,852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51,308</w:t>
            </w:r>
          </w:p>
        </w:tc>
      </w:tr>
      <w:tr>
        <w:trPr>
          <w:trHeight w:val="24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(a)</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6,158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9,657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33,205</w:t>
            </w:r>
          </w:p>
        </w:tc>
      </w:tr>
      <w:tr>
        <w:trPr>
          <w:trHeight w:val="239"/>
        </w:trPr>
        <w:tc>
          <w:tcPr>
            <w:tcW w:w="4020" w:type="dxa"/>
            <w:vAlign w:val="bottom"/>
          </w:tcPr>
          <w:p>
            <w:pPr>
              <w:ind w:left="20"/>
              <w:spacing w:after="0"/>
              <w:rPr>
                <w:sz w:val="20"/>
                <w:szCs w:val="20"/>
                <w:color w:val="auto"/>
              </w:rPr>
            </w:pPr>
            <w:r>
              <w:rPr>
                <w:rFonts w:ascii="Arial" w:cs="Arial" w:eastAsia="Arial" w:hAnsi="Arial"/>
                <w:sz w:val="16"/>
                <w:szCs w:val="16"/>
                <w:color w:val="auto"/>
              </w:rPr>
              <w:t>Loss on early retirement of debt</w:t>
            </w:r>
          </w:p>
        </w:tc>
        <w:tc>
          <w:tcPr>
            <w:tcW w:w="2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2,239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2,239</w:t>
            </w:r>
          </w:p>
        </w:tc>
      </w:tr>
      <w:tr>
        <w:trPr>
          <w:trHeight w:val="24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Pre-opening Expenses (b)</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Payroll taxes associated with the 2021 Vesting Event</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6"/>
        </w:trPr>
        <w:tc>
          <w:tcPr>
            <w:tcW w:w="4020" w:type="dxa"/>
            <w:vAlign w:val="bottom"/>
          </w:tcPr>
          <w:p>
            <w:pPr>
              <w:ind w:left="20"/>
              <w:spacing w:after="0"/>
              <w:rPr>
                <w:sz w:val="20"/>
                <w:szCs w:val="20"/>
                <w:color w:val="auto"/>
              </w:rPr>
            </w:pPr>
            <w:r>
              <w:rPr>
                <w:rFonts w:ascii="Arial" w:cs="Arial" w:eastAsia="Arial" w:hAnsi="Arial"/>
                <w:sz w:val="16"/>
                <w:szCs w:val="16"/>
                <w:color w:val="auto"/>
              </w:rPr>
              <w:t>(c)</w:t>
            </w:r>
          </w:p>
        </w:tc>
        <w:tc>
          <w:tcPr>
            <w:tcW w:w="2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15,418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15,418</w:t>
            </w: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37"/>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292,471</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324,416</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528,700</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595,409</w:t>
            </w:r>
          </w:p>
        </w:tc>
      </w:tr>
      <w:tr>
        <w:trPr>
          <w:trHeight w:val="23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Depreciation and amortization</w:t>
            </w:r>
          </w:p>
        </w:tc>
        <w:tc>
          <w:tcPr>
            <w:tcW w:w="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(26,274)</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(26,010)</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(51,852)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(51,308)</w:t>
            </w:r>
          </w:p>
        </w:tc>
      </w:tr>
      <w:tr>
        <w:trPr>
          <w:trHeight w:val="240"/>
        </w:trPr>
        <w:tc>
          <w:tcPr>
            <w:tcW w:w="4020" w:type="dxa"/>
            <w:vAlign w:val="bottom"/>
          </w:tcPr>
          <w:p>
            <w:pPr>
              <w:ind w:left="240"/>
              <w:spacing w:after="0"/>
              <w:rPr>
                <w:sz w:val="20"/>
                <w:szCs w:val="20"/>
                <w:color w:val="auto"/>
              </w:rPr>
            </w:pPr>
            <w:r>
              <w:rPr>
                <w:rFonts w:ascii="Arial" w:cs="Arial" w:eastAsia="Arial" w:hAnsi="Arial"/>
                <w:sz w:val="16"/>
                <w:szCs w:val="16"/>
                <w:color w:val="auto"/>
              </w:rPr>
              <w:t>Adjusted EBIT</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266,197</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298,406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476,848</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544,101</w:t>
            </w: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400" w:right="320" w:hanging="374"/>
        <w:spacing w:after="0" w:line="264"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non-cash charges related to equity-based compensation, which vary from period to period depending on certain factors such as the 2021 Vesting Event,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400" w:right="300" w:hanging="374"/>
        <w:spacing w:after="0" w:line="264"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spacing w:after="0" w:line="22" w:lineRule="exact"/>
        <w:rPr>
          <w:rFonts w:ascii="Arial" w:cs="Arial" w:eastAsia="Arial" w:hAnsi="Arial"/>
          <w:sz w:val="13"/>
          <w:szCs w:val="13"/>
          <w:color w:val="auto"/>
        </w:rPr>
      </w:pP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53" w:lineRule="exact"/>
        <w:rPr>
          <w:rFonts w:ascii="Arial" w:cs="Arial" w:eastAsia="Arial" w:hAnsi="Arial"/>
          <w:sz w:val="13"/>
          <w:szCs w:val="13"/>
          <w:color w:val="auto"/>
        </w:rPr>
      </w:pPr>
    </w:p>
    <w:p>
      <w:pPr>
        <w:jc w:val="both"/>
        <w:ind w:left="400" w:right="300" w:hanging="374"/>
        <w:spacing w:after="0" w:line="262"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EBITDA and Adjusted EBIT)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01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define “Adjusted Net Income (Loss)” as net income (loss), plus costs such as consulting fees, private equity sponsor monitoring fees, equity compensation expense, (gain) loss on early retirement of debt, net, severance and executive transition costs, costs related to the COVID-19 pandemic, pre-opening expenses, payroll taxes associated with the 2021 Vesting Event and other adjustments,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Twenty-Six Weeks Ended</w:t>
            </w:r>
          </w:p>
        </w:tc>
      </w:tr>
      <w:tr>
        <w:trPr>
          <w:trHeight w:val="237"/>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30, 2022</w:t>
            </w: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31, 2021</w:t>
            </w: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30, 2022</w:t>
            </w:r>
          </w:p>
        </w:tc>
        <w:tc>
          <w:tcPr>
            <w:tcW w:w="22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2021</w:t>
            </w:r>
          </w:p>
        </w:tc>
      </w:tr>
      <w:tr>
        <w:trPr>
          <w:trHeight w:val="24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188,801</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190,510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338,607</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368,306</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Equity compensation (a)</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6,158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27,331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9,657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33,205</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Pre-opening expenses (b)</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1,864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2,826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Payroll taxes associated with the 2021 Vesting Event (c)</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15,418</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Other (d)</w:t>
            </w:r>
          </w:p>
        </w:tc>
        <w:tc>
          <w:tcPr>
            <w:tcW w:w="2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714</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effects of these adjustments (e)</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(2,927)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(12,801)</w:t>
            </w:r>
          </w:p>
        </w:tc>
      </w:tr>
      <w:tr>
        <w:trPr>
          <w:trHeight w:val="237"/>
        </w:trPr>
        <w:tc>
          <w:tcPr>
            <w:tcW w:w="4320" w:type="dxa"/>
            <w:vAlign w:val="bottom"/>
          </w:tcPr>
          <w:p>
            <w:pPr>
              <w:ind w:left="240"/>
              <w:spacing w:after="0"/>
              <w:rPr>
                <w:sz w:val="20"/>
                <w:szCs w:val="20"/>
                <w:color w:val="auto"/>
              </w:rPr>
            </w:pPr>
            <w:r>
              <w:rPr>
                <w:rFonts w:ascii="Arial" w:cs="Arial" w:eastAsia="Arial" w:hAnsi="Arial"/>
                <w:sz w:val="16"/>
                <w:szCs w:val="16"/>
                <w:color w:val="auto"/>
              </w:rPr>
              <w:t>Adjusted Net Income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194,936</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224,550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348,163</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407,081</w:t>
            </w:r>
          </w:p>
        </w:tc>
      </w:tr>
      <w:tr>
        <w:trPr>
          <w:trHeight w:val="152"/>
        </w:trPr>
        <w:tc>
          <w:tcPr>
            <w:tcW w:w="4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235"/>
        </w:trPr>
        <w:tc>
          <w:tcPr>
            <w:tcW w:w="4320" w:type="dxa"/>
            <w:vAlign w:val="bottom"/>
          </w:tcPr>
          <w:p>
            <w:pPr>
              <w:ind w:left="20"/>
              <w:spacing w:after="0"/>
              <w:rPr>
                <w:sz w:val="20"/>
                <w:szCs w:val="20"/>
                <w:color w:val="auto"/>
              </w:rPr>
            </w:pPr>
            <w:r>
              <w:rPr>
                <w:rFonts w:ascii="Arial" w:cs="Arial" w:eastAsia="Arial" w:hAnsi="Arial"/>
                <w:sz w:val="16"/>
                <w:szCs w:val="16"/>
                <w:color w:val="auto"/>
              </w:rPr>
              <w:t>Adjusted Earnings per Common Share:</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1"/>
        </w:trPr>
        <w:tc>
          <w:tcPr>
            <w:tcW w:w="4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r>
      <w:tr>
        <w:trPr>
          <w:trHeight w:val="239"/>
        </w:trPr>
        <w:tc>
          <w:tcPr>
            <w:tcW w:w="43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2.30</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4.01</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9"/>
        </w:trPr>
        <w:tc>
          <w:tcPr>
            <w:tcW w:w="4320" w:type="dxa"/>
            <w:vAlign w:val="bottom"/>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82,960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92,627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84,809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92,357</w:t>
            </w:r>
          </w:p>
        </w:tc>
      </w:tr>
      <w:tr>
        <w:trPr>
          <w:trHeight w:val="247"/>
        </w:trPr>
        <w:tc>
          <w:tcPr>
            <w:tcW w:w="4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84,906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86,792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96,391</w:t>
            </w:r>
          </w:p>
        </w:tc>
      </w:tr>
    </w:tbl>
    <w:p>
      <w:pPr>
        <w:spacing w:after="0" w:line="117" w:lineRule="exact"/>
        <w:rPr>
          <w:sz w:val="20"/>
          <w:szCs w:val="20"/>
          <w:color w:val="auto"/>
        </w:rPr>
      </w:pPr>
    </w:p>
    <w:p>
      <w:pPr>
        <w:ind w:left="440" w:right="20" w:hanging="414"/>
        <w:spacing w:after="0" w:line="264"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non-cash charges related to equity-based compensation, which vary from period to period depending on certain factors such as the 2021 Vesting Event,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440" w:right="20" w:hanging="414"/>
        <w:spacing w:after="0" w:line="264"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spacing w:after="0" w:line="22" w:lineRule="exact"/>
        <w:rPr>
          <w:rFonts w:ascii="Arial" w:cs="Arial" w:eastAsia="Arial" w:hAnsi="Arial"/>
          <w:sz w:val="13"/>
          <w:szCs w:val="13"/>
          <w:color w:val="auto"/>
        </w:rPr>
      </w:pPr>
    </w:p>
    <w:p>
      <w:pPr>
        <w:ind w:left="440" w:hanging="414"/>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53" w:lineRule="exact"/>
        <w:rPr>
          <w:rFonts w:ascii="Arial" w:cs="Arial" w:eastAsia="Arial" w:hAnsi="Arial"/>
          <w:sz w:val="13"/>
          <w:szCs w:val="13"/>
          <w:color w:val="auto"/>
        </w:rPr>
      </w:pPr>
    </w:p>
    <w:p>
      <w:pPr>
        <w:ind w:left="440" w:right="40" w:hanging="414"/>
        <w:spacing w:after="0" w:line="264"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Net Income)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22" w:lineRule="exact"/>
        <w:rPr>
          <w:rFonts w:ascii="Arial" w:cs="Arial" w:eastAsia="Arial" w:hAnsi="Arial"/>
          <w:sz w:val="13"/>
          <w:szCs w:val="13"/>
          <w:color w:val="auto"/>
        </w:rPr>
      </w:pPr>
    </w:p>
    <w:p>
      <w:pPr>
        <w:ind w:left="440" w:right="20" w:hanging="414"/>
        <w:spacing w:after="0" w:line="264"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the thirteen and twenty-six weeks ended July 30, 2022 and July 31, 2021, this represents the tax effect (by using the projected full year tax rates for the respective years) of the total adjustments made to arrive at Adjusted Net Income.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Adjusted Earnings Per Common Share, Diluted, Guidance Reconciliation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Low Range*</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High Range*</w:t>
            </w:r>
          </w:p>
        </w:tc>
      </w:tr>
      <w:tr>
        <w:trPr>
          <w:trHeight w:val="213"/>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Fiscal Year Ending</w:t>
            </w:r>
          </w:p>
        </w:tc>
        <w:tc>
          <w:tcPr>
            <w:tcW w:w="260" w:type="dxa"/>
            <w:vAlign w:val="bottom"/>
          </w:tcPr>
          <w:p>
            <w:pPr>
              <w:spacing w:after="0"/>
              <w:rPr>
                <w:sz w:val="18"/>
                <w:szCs w:val="18"/>
                <w:color w:val="auto"/>
              </w:rPr>
            </w:pPr>
          </w:p>
        </w:tc>
        <w:tc>
          <w:tcPr>
            <w:tcW w:w="2040" w:type="dxa"/>
            <w:vAlign w:val="bottom"/>
          </w:tcPr>
          <w:p>
            <w:pPr>
              <w:jc w:val="center"/>
              <w:ind w:right="199"/>
              <w:spacing w:after="0"/>
              <w:rPr>
                <w:sz w:val="20"/>
                <w:szCs w:val="20"/>
                <w:color w:val="auto"/>
              </w:rPr>
            </w:pPr>
            <w:r>
              <w:rPr>
                <w:rFonts w:ascii="Arial" w:cs="Arial" w:eastAsia="Arial" w:hAnsi="Arial"/>
                <w:sz w:val="16"/>
                <w:szCs w:val="16"/>
                <w:b w:val="1"/>
                <w:bCs w:val="1"/>
                <w:color w:val="auto"/>
              </w:rPr>
              <w:t>Fiscal Year Ending</w:t>
            </w:r>
          </w:p>
        </w:tc>
      </w:tr>
      <w:tr>
        <w:trPr>
          <w:trHeight w:val="226"/>
        </w:trPr>
        <w:tc>
          <w:tcPr>
            <w:tcW w:w="6540" w:type="dxa"/>
            <w:vAlign w:val="bottom"/>
          </w:tcPr>
          <w:p>
            <w:pPr>
              <w:ind w:left="20"/>
              <w:spacing w:after="0"/>
              <w:rPr>
                <w:sz w:val="20"/>
                <w:szCs w:val="20"/>
                <w:color w:val="auto"/>
              </w:rPr>
            </w:pPr>
            <w:r>
              <w:rPr>
                <w:rFonts w:ascii="Arial" w:cs="Arial" w:eastAsia="Arial" w:hAnsi="Arial"/>
                <w:sz w:val="13"/>
                <w:szCs w:val="13"/>
                <w:color w:val="auto"/>
              </w:rPr>
              <w:t>(in millions, except per share amounts)</w:t>
            </w:r>
          </w:p>
        </w:tc>
        <w:tc>
          <w:tcPr>
            <w:tcW w:w="260" w:type="dxa"/>
            <w:vAlign w:val="bottom"/>
          </w:tcPr>
          <w:p>
            <w:pPr>
              <w:spacing w:after="0"/>
              <w:rPr>
                <w:sz w:val="19"/>
                <w:szCs w:val="19"/>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January 28, 2023</w:t>
            </w:r>
          </w:p>
        </w:tc>
        <w:tc>
          <w:tcPr>
            <w:tcW w:w="260" w:type="dxa"/>
            <w:vAlign w:val="bottom"/>
          </w:tcPr>
          <w:p>
            <w:pPr>
              <w:spacing w:after="0"/>
              <w:rPr>
                <w:sz w:val="19"/>
                <w:szCs w:val="19"/>
                <w:color w:val="auto"/>
              </w:rPr>
            </w:pPr>
          </w:p>
        </w:tc>
        <w:tc>
          <w:tcPr>
            <w:tcW w:w="2040" w:type="dxa"/>
            <w:vAlign w:val="bottom"/>
          </w:tcPr>
          <w:p>
            <w:pPr>
              <w:jc w:val="center"/>
              <w:ind w:right="179"/>
              <w:spacing w:after="0"/>
              <w:rPr>
                <w:sz w:val="20"/>
                <w:szCs w:val="20"/>
                <w:color w:val="auto"/>
              </w:rPr>
            </w:pPr>
            <w:r>
              <w:rPr>
                <w:rFonts w:ascii="Arial" w:cs="Arial" w:eastAsia="Arial" w:hAnsi="Arial"/>
                <w:sz w:val="16"/>
                <w:szCs w:val="16"/>
                <w:b w:val="1"/>
                <w:bCs w:val="1"/>
                <w:color w:val="auto"/>
              </w:rPr>
              <w:t>January 28, 2023</w:t>
            </w:r>
          </w:p>
        </w:tc>
      </w:tr>
      <w:tr>
        <w:trPr>
          <w:trHeight w:val="24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 Net Income</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615.0</w:t>
            </w: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2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51"/>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Pre-opening expenses </w:t>
            </w:r>
            <w:r>
              <w:rPr>
                <w:rFonts w:ascii="Arial" w:cs="Arial" w:eastAsia="Arial" w:hAnsi="Arial"/>
                <w:sz w:val="12"/>
                <w:szCs w:val="12"/>
                <w:color w:val="auto"/>
              </w:rPr>
              <w:t>(a)</w:t>
            </w:r>
          </w:p>
        </w:tc>
        <w:tc>
          <w:tcPr>
            <w:tcW w:w="26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3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68"/>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Earnings Per Common Share, Diluted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2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251"/>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Pre-opening expenses </w:t>
            </w:r>
            <w:r>
              <w:rPr>
                <w:rFonts w:ascii="Arial" w:cs="Arial" w:eastAsia="Arial" w:hAnsi="Arial"/>
                <w:sz w:val="12"/>
                <w:szCs w:val="12"/>
                <w:color w:val="auto"/>
              </w:rPr>
              <w:t>(a)</w:t>
            </w:r>
          </w:p>
        </w:tc>
        <w:tc>
          <w:tcPr>
            <w:tcW w:w="26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r>
      <w:tr>
        <w:trPr>
          <w:trHeight w:val="23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r>
      <w:tr>
        <w:trPr>
          <w:trHeight w:val="268"/>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Earnings per Common Share, Diluted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80" w:hanging="354"/>
        <w:spacing w:after="0"/>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Amounts presented have been rounded.</w:t>
      </w:r>
    </w:p>
    <w:p>
      <w:pPr>
        <w:spacing w:after="0" w:line="53" w:lineRule="exact"/>
        <w:rPr>
          <w:sz w:val="20"/>
          <w:szCs w:val="20"/>
          <w:color w:val="auto"/>
        </w:rPr>
      </w:pPr>
    </w:p>
    <w:p>
      <w:pPr>
        <w:ind w:left="380" w:right="40" w:hanging="354"/>
        <w:spacing w:after="0" w:line="286"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Adjustments include new store pre-opening costs (as defined above) and non-cash charges related to equity-based compensation (as defined above), which may vary from period to period. The tax effect of these adjustments is determined by using the projected full year tax rate for the fiscal year.</w:t>
      </w:r>
    </w:p>
    <w:p>
      <w:pPr>
        <w:sectPr>
          <w:pgSz w:w="11900" w:h="16838" w:orient="portrait"/>
          <w:cols w:equalWidth="0" w:num="1">
            <w:col w:w="11240"/>
          </w:cols>
          <w:pgMar w:left="320" w:top="987" w:right="339" w:bottom="1440" w:gutter="0" w:footer="0" w:header="0"/>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98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Twenty-Six Weeks Ended</w:t>
            </w:r>
          </w:p>
        </w:tc>
      </w:tr>
      <w:tr>
        <w:trPr>
          <w:trHeight w:val="237"/>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July 30, 2022</w:t>
            </w: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31, 2021</w:t>
            </w: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30, 2022</w:t>
            </w:r>
          </w:p>
        </w:tc>
        <w:tc>
          <w:tcPr>
            <w:tcW w:w="260" w:type="dxa"/>
            <w:vAlign w:val="bottom"/>
          </w:tcPr>
          <w:p>
            <w:pPr>
              <w:spacing w:after="0"/>
              <w:rPr>
                <w:sz w:val="20"/>
                <w:szCs w:val="20"/>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July 31, 2021</w:t>
            </w:r>
          </w:p>
        </w:tc>
      </w:tr>
      <w:tr>
        <w:trPr>
          <w:trHeight w:val="24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161,309</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186,446</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258,406</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405,674</w:t>
            </w:r>
          </w:p>
        </w:tc>
      </w:tr>
      <w:tr>
        <w:trPr>
          <w:trHeight w:val="23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(30,822)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(16,959)</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(48,134)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(33,767)</w:t>
            </w:r>
          </w:p>
        </w:tc>
      </w:tr>
      <w:tr>
        <w:trPr>
          <w:trHeight w:val="265"/>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Free Cash Flow</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130,487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169,487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210,272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371,907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9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2022-09-07T07:09:27Z</dcterms:created>
  <dcterms:modified xsi:type="dcterms:W3CDTF">2022-09-07T07:09:27Z</dcterms:modified>
</cp:coreProperties>
</file>