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6.gif" ContentType="image/gif"/>
  <Override PartName="/word/media/image66.jpeg" ContentType="image/jpeg"/>
  <Override PartName="/word/media/image55.gif" ContentType="image/gif"/>
  <Override PartName="/word/media/image53.gif" ContentType="image/gif"/>
  <Override PartName="/word/media/image52.gif" ContentType="image/gif"/>
  <Override PartName="/word/media/image51.gif" ContentType="image/gif"/>
  <Override PartName="/word/media/image50.gif" ContentType="image/gif"/>
  <Override PartName="/word/media/image48.gif" ContentType="image/gif"/>
  <Override PartName="/word/media/image47.gif" ContentType="image/gif"/>
  <Override PartName="/word/media/image13.gif" ContentType="image/gif"/>
  <Override PartName="/word/media/image38.gif" ContentType="image/gif"/>
  <Override PartName="/word/media/image8.gif" ContentType="image/gif"/>
  <Override PartName="/word/media/image2.jpeg" ContentType="image/jpeg"/>
  <Override PartName="/word/media/image1.jpeg" ContentType="image/jpeg"/>
  <Override PartName="/word/media/image54.gif" ContentType="image/gif"/>
  <Override PartName="/word/media/image27.gif" ContentType="image/gif"/>
  <Override PartName="/word/media/image14.gif" ContentType="image/gif"/>
  <Override PartName="/word/media/image5.jpeg" ContentType="image/jpeg"/>
  <Override PartName="/word/media/image15.gif" ContentType="image/gif"/>
  <Override PartName="/word/media/image62.jpeg" ContentType="image/jpeg"/>
  <Override PartName="/word/media/image16.gif" ContentType="image/gif"/>
  <Override PartName="/word/media/image17.gif" ContentType="image/gif"/>
  <Override PartName="/word/media/image67.jpeg" ContentType="image/jpeg"/>
  <Override PartName="/word/media/image20.gif" ContentType="image/gif"/>
  <Override PartName="/word/media/image28.gif" ContentType="image/gif"/>
  <Override PartName="/word/media/image26.gif" ContentType="image/gif"/>
  <Override PartName="/word/media/image63.jpeg" ContentType="image/jpeg"/>
  <Override PartName="/word/media/image25.gif" ContentType="image/gif"/>
  <Override PartName="/word/media/image59.gif" ContentType="image/gif"/>
  <Override PartName="/word/media/image22.gif" ContentType="image/gif"/>
  <Override PartName="/word/media/image61.gif" ContentType="image/gif"/>
  <Override PartName="/word/media/image24.gif" ContentType="image/gif"/>
  <Override PartName="/word/media/image60.gif" ContentType="image/gif"/>
  <Override PartName="/word/media/image23.gif" ContentType="image/gif"/>
  <Override PartName="/word/media/image57.gif" ContentType="image/gif"/>
  <Override PartName="/word/media/image10.jpeg" ContentType="image/jpeg"/>
  <Override PartName="/word/media/image21.gif" ContentType="image/gif"/>
  <Override PartName="/word/media/image68.jpeg" ContentType="image/jpeg"/>
  <Override PartName="/word/media/image4.jpeg" ContentType="image/jpeg"/>
  <Override PartName="/word/media/image29.gif" ContentType="image/gif"/>
  <Override PartName="/word/media/image18.gif" ContentType="image/gif"/>
  <Override PartName="/word/media/image6.gif" ContentType="image/gif"/>
  <Override PartName="/word/media/image36.gif" ContentType="image/gif"/>
  <Override PartName="/word/media/image64.jpeg" ContentType="image/jpeg"/>
  <Override PartName="/word/media/image35.gif" ContentType="image/gif"/>
  <Override PartName="/word/media/image19.gif" ContentType="image/gif"/>
  <Override PartName="/word/media/image7.gif" ContentType="image/gif"/>
  <Override PartName="/word/media/image37.gif" ContentType="image/gif"/>
  <Override PartName="/word/media/image3.jpeg" ContentType="image/jpeg"/>
  <Override PartName="/word/media/image12.gif" ContentType="image/gif"/>
  <Override PartName="/word/media/image49.gif" ContentType="image/gif"/>
  <Override PartName="/word/media/image9.gif" ContentType="image/gif"/>
  <Override PartName="/word/media/image39.gif" ContentType="image/gif"/>
  <Override PartName="/word/media/image11.jpeg" ContentType="image/jpeg"/>
  <Override PartName="/word/media/image31.gif" ContentType="image/gif"/>
  <Override PartName="/word/media/image58.gif" ContentType="image/gif"/>
  <Override PartName="/word/media/image30.jpeg" ContentType="image/jpeg"/>
  <Override PartName="/word/media/image32.gif" ContentType="image/gif"/>
  <Override PartName="/word/media/image33.gif" ContentType="image/gif"/>
  <Override PartName="/word/media/image34.gif" ContentType="image/gif"/>
  <Override PartName="/word/media/image40.gif" ContentType="image/gif"/>
  <Override PartName="/word/media/image41.gif" ContentType="image/gif"/>
  <Override PartName="/word/media/image42.gif" ContentType="image/gif"/>
  <Override PartName="/word/media/image43.gif" ContentType="image/gif"/>
  <Override PartName="/word/media/image44.gif" ContentType="image/gif"/>
  <Override PartName="/word/media/image45.gif" ContentType="image/gif"/>
  <Override PartName="/word/media/image65.jpeg" ContentType="image/jpeg"/>
  <Override PartName="/word/media/image46.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7005" w:type="dxa"/>
        <w:jc w:val="center"/>
        <w:tblInd w:w="0" w:type="dxa"/>
        <w:tblLayout w:type="fixed"/>
        <w:tblCellMar>
          <w:top w:w="28" w:type="dxa"/>
          <w:left w:w="28" w:type="dxa"/>
          <w:bottom w:w="28" w:type="dxa"/>
          <w:right w:w="28" w:type="dxa"/>
        </w:tblCellMar>
      </w:tblPr>
      <w:tblGrid>
        <w:gridCol w:w="2240"/>
        <w:gridCol w:w="1970"/>
        <w:gridCol w:w="2795"/>
      </w:tblGrid>
      <w:tr>
        <w:trPr/>
        <w:tc>
          <w:tcPr>
            <w:tcW w:w="224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UNITED STATES</w:t>
            </w:r>
          </w:p>
        </w:tc>
      </w:tr>
      <w:tr>
        <w:trPr/>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 xml:space="preserve">SECURITIES AND EXCHANGE COMMISSION </w:t>
            </w:r>
          </w:p>
        </w:tc>
      </w:tr>
      <w:tr>
        <w:trPr/>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WASHINGTON, D.C. 20549</w:t>
            </w:r>
          </w:p>
        </w:tc>
      </w:tr>
      <w:tr>
        <w:trPr/>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2"/>
              </w:rPr>
            </w:pPr>
            <w:r>
              <w:rPr>
                <w:rFonts w:ascii="Times New Roman;serif" w:hAnsi="Times New Roman;serif"/>
                <w:b/>
                <w:color w:val="000000"/>
                <w:sz w:val="32"/>
              </w:rPr>
              <w:t>SCHEDULE 14A</w:t>
            </w:r>
          </w:p>
        </w:tc>
      </w:tr>
      <w:tr>
        <w:trPr/>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Proxy Statement Pursuant to Section 14(a) of the Securities Exchange Act of 1934</w:t>
            </w:r>
          </w:p>
        </w:tc>
      </w:tr>
      <w:tr>
        <w:trPr/>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(Amendment No.   )</w:t>
            </w:r>
          </w:p>
        </w:tc>
      </w:tr>
    </w:tbl>
    <w:tbl>
      <w:tblPr>
        <w:tblW w:w="3507" w:type="dxa"/>
        <w:jc w:val="center"/>
        <w:tblInd w:w="0" w:type="dxa"/>
        <w:tblLayout w:type="fixed"/>
        <w:tblCellMar>
          <w:top w:w="28" w:type="dxa"/>
          <w:left w:w="28" w:type="dxa"/>
          <w:bottom w:w="28" w:type="dxa"/>
          <w:right w:w="28" w:type="dxa"/>
        </w:tblCellMar>
      </w:tblPr>
      <w:tblGrid>
        <w:gridCol w:w="1087"/>
        <w:gridCol w:w="956"/>
        <w:gridCol w:w="959"/>
        <w:gridCol w:w="148"/>
        <w:gridCol w:w="148"/>
        <w:gridCol w:w="209"/>
      </w:tblGrid>
      <w:tr>
        <w:trPr/>
        <w:tc>
          <w:tcPr>
            <w:tcW w:w="108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002" w:type="dxa"/>
            <w:gridSpan w:val="3"/>
            <w:tcBorders/>
            <w:tcMar>
              <w:top w:w="0" w:type="dxa"/>
              <w:left w:w="0" w:type="dxa"/>
              <w:bottom w:w="0" w:type="dxa"/>
              <w:right w:w="0" w:type="dxa"/>
            </w:tcMar>
            <w:vAlign w:val="center"/>
          </w:tcPr>
          <w:p>
            <w:pPr>
              <w:pStyle w:val="TableContents"/>
              <w:bidi w:val="0"/>
              <w:spacing w:lineRule="auto" w:line="288" w:before="0" w:after="66"/>
              <w:jc w:val="left"/>
              <w:rPr>
                <w:rFonts w:ascii="Times New Roman;serif" w:hAnsi="Times New Roman;serif"/>
                <w:b w:val="false"/>
                <w:color w:val="000000"/>
                <w:sz w:val="19"/>
              </w:rPr>
            </w:pPr>
            <w:r>
              <w:rPr>
                <w:rFonts w:ascii="Times New Roman;serif" w:hAnsi="Times New Roman;serif"/>
                <w:b w:val="false"/>
                <w:color w:val="000000"/>
                <w:sz w:val="19"/>
              </w:rPr>
              <w:t>Filed by the Registrant ☒</w:t>
            </w:r>
          </w:p>
        </w:tc>
        <w:tc>
          <w:tcPr>
            <w:tcW w:w="505" w:type="dxa"/>
            <w:gridSpan w:val="3"/>
            <w:tcBorders/>
            <w:tcMar>
              <w:top w:w="0" w:type="dxa"/>
              <w:left w:w="0" w:type="dxa"/>
              <w:bottom w:w="0" w:type="dxa"/>
              <w:right w:w="0" w:type="dxa"/>
            </w:tcMar>
            <w:vAlign w:val="center"/>
          </w:tcPr>
          <w:p>
            <w:pPr>
              <w:pStyle w:val="TableContents"/>
              <w:bidi w:val="0"/>
              <w:spacing w:before="0" w:after="66"/>
              <w:jc w:val="left"/>
              <w:rPr/>
            </w:pPr>
            <w:r>
              <w:rPr/>
            </w:r>
          </w:p>
        </w:tc>
      </w:tr>
      <w:tr>
        <w:trPr/>
        <w:tc>
          <w:tcPr>
            <w:tcW w:w="3507"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9"/>
              </w:rPr>
              <w:t xml:space="preserve">Filed by a party other than Registrant </w:t>
            </w:r>
            <w:r>
              <w:rPr>
                <w:color w:val="000000"/>
              </w:rPr>
              <w:t> </w:t>
            </w:r>
            <w:r>
              <w:rPr>
                <w:rFonts w:ascii="Wingdings;sans-serif" w:hAnsi="Wingdings;sans-serif"/>
                <w:b w:val="false"/>
                <w:color w:val="000000"/>
                <w:sz w:val="18"/>
              </w:rPr>
              <w:t>o</w:t>
            </w:r>
            <w:r>
              <w:rPr>
                <w:color w:val="000000"/>
              </w:rPr>
              <w:t xml:space="preserve"> </w:t>
            </w:r>
          </w:p>
        </w:tc>
      </w:tr>
    </w:tbl>
    <w:p>
      <w:pPr>
        <w:pStyle w:val="TextBody"/>
        <w:bidi w:val="0"/>
        <w:spacing w:lineRule="auto" w:line="288" w:before="132" w:after="283"/>
        <w:ind w:left="0" w:right="0" w:firstLine="450"/>
        <w:jc w:val="left"/>
        <w:rPr>
          <w:rFonts w:ascii="Times New Roman;serif" w:hAnsi="Times New Roman;serif"/>
          <w:b w:val="false"/>
          <w:color w:val="000000"/>
          <w:sz w:val="18"/>
        </w:rPr>
      </w:pPr>
      <w:r>
        <w:rPr>
          <w:rFonts w:ascii="Times New Roman;serif" w:hAnsi="Times New Roman;serif"/>
          <w:b w:val="false"/>
          <w:color w:val="000000"/>
          <w:sz w:val="18"/>
        </w:rPr>
        <w:t>Check the appropriate box:</w:t>
      </w:r>
    </w:p>
    <w:tbl>
      <w:tblPr>
        <w:tblW w:w="7034" w:type="dxa"/>
        <w:jc w:val="center"/>
        <w:tblInd w:w="0" w:type="dxa"/>
        <w:tblLayout w:type="fixed"/>
        <w:tblCellMar>
          <w:top w:w="28" w:type="dxa"/>
          <w:left w:w="28" w:type="dxa"/>
          <w:bottom w:w="28" w:type="dxa"/>
          <w:right w:w="28" w:type="dxa"/>
        </w:tblCellMar>
      </w:tblPr>
      <w:tblGrid>
        <w:gridCol w:w="136"/>
        <w:gridCol w:w="119"/>
        <w:gridCol w:w="119"/>
        <w:gridCol w:w="1951"/>
        <w:gridCol w:w="1951"/>
        <w:gridCol w:w="275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0" w:after="66"/>
              <w:jc w:val="left"/>
              <w:rPr/>
            </w:pPr>
            <w:r>
              <w:rPr>
                <w:color w:val="000000"/>
              </w:rPr>
              <w:t> </w:t>
            </w:r>
            <w:r>
              <w:rPr>
                <w:rFonts w:ascii="Wingdings;sans-serif" w:hAnsi="Wingdings;sans-serif"/>
                <w:b w:val="false"/>
                <w:color w:val="000000"/>
                <w:sz w:val="18"/>
              </w:rPr>
              <w:t>o</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Preliminary Proxy Statement</w:t>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0" w:after="66"/>
              <w:jc w:val="left"/>
              <w:rPr/>
            </w:pPr>
            <w:r>
              <w:rPr>
                <w:color w:val="000000"/>
              </w:rPr>
              <w:t> </w:t>
            </w:r>
            <w:r>
              <w:rPr>
                <w:rFonts w:ascii="Wingdings;sans-serif" w:hAnsi="Wingdings;sans-serif"/>
                <w:b w:val="false"/>
                <w:color w:val="000000"/>
                <w:sz w:val="18"/>
              </w:rPr>
              <w:t>o</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Confidential, for Use of the Commission Only (as permitted by Rule 14a-6(e)(2))</w:t>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0" w:after="66"/>
              <w:jc w:val="left"/>
              <w:rPr>
                <w:color w:val="000000"/>
              </w:rPr>
            </w:pPr>
            <w:r>
              <w:rPr>
                <w:color w:val="000000"/>
              </w:rPr>
              <w:t> ☒</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Definitive Proxy Statement</w:t>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0" w:after="66"/>
              <w:jc w:val="left"/>
              <w:rPr/>
            </w:pPr>
            <w:r>
              <w:rPr>
                <w:color w:val="000000"/>
              </w:rPr>
              <w:t> </w:t>
            </w:r>
            <w:r>
              <w:rPr>
                <w:rFonts w:ascii="Wingdings;sans-serif" w:hAnsi="Wingdings;sans-serif"/>
                <w:b w:val="false"/>
                <w:color w:val="000000"/>
                <w:sz w:val="18"/>
              </w:rPr>
              <w:t>o</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Definitive Additional Materials</w:t>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0" w:after="66"/>
              <w:jc w:val="left"/>
              <w:rPr/>
            </w:pPr>
            <w:r>
              <w:rPr>
                <w:color w:val="000000"/>
              </w:rPr>
              <w:t> </w:t>
            </w:r>
            <w:r>
              <w:rPr>
                <w:rFonts w:ascii="Wingdings;sans-serif" w:hAnsi="Wingdings;sans-serif"/>
                <w:b w:val="false"/>
                <w:color w:val="000000"/>
                <w:sz w:val="18"/>
              </w:rPr>
              <w:t>o</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Soliciting Material under §240.14a-12</w:t>
            </w:r>
          </w:p>
        </w:tc>
      </w:tr>
    </w:tbl>
    <w:p>
      <w:pPr>
        <w:pStyle w:val="TextBody"/>
        <w:bidi w:val="0"/>
        <w:spacing w:lineRule="auto" w:line="288" w:before="264" w:after="283"/>
        <w:jc w:val="center"/>
        <w:rPr>
          <w:rFonts w:ascii="Times New Roman;serif" w:hAnsi="Times New Roman;serif"/>
          <w:b/>
          <w:color w:val="000000"/>
          <w:sz w:val="36"/>
        </w:rPr>
      </w:pPr>
      <w:r>
        <w:rPr>
          <w:rFonts w:ascii="Times New Roman;serif" w:hAnsi="Times New Roman;serif"/>
          <w:b/>
          <w:color w:val="000000"/>
          <w:sz w:val="36"/>
        </w:rPr>
        <w:t>ACADEMY SPORTS AND OUTDOORS,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(Name of Registrant as Specified In Its Charter)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(Name of Person(s) Filing Proxy Statement, if other than the Registrant)</w:t>
      </w:r>
    </w:p>
    <w:p>
      <w:pPr>
        <w:pStyle w:val="TextBody"/>
        <w:bidi w:val="0"/>
        <w:spacing w:lineRule="auto" w:line="288" w:before="132"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Payment of Filing Fee (Check all boxes that apply): </w:t>
      </w:r>
    </w:p>
    <w:tbl>
      <w:tblPr>
        <w:tblW w:w="8015" w:type="dxa"/>
        <w:jc w:val="center"/>
        <w:tblInd w:w="0" w:type="dxa"/>
        <w:tblLayout w:type="fixed"/>
        <w:tblCellMar>
          <w:top w:w="28" w:type="dxa"/>
          <w:left w:w="28" w:type="dxa"/>
          <w:bottom w:w="28" w:type="dxa"/>
          <w:right w:w="28" w:type="dxa"/>
        </w:tblCellMar>
      </w:tblPr>
      <w:tblGrid>
        <w:gridCol w:w="124"/>
        <w:gridCol w:w="109"/>
        <w:gridCol w:w="109"/>
        <w:gridCol w:w="1211"/>
        <w:gridCol w:w="1211"/>
        <w:gridCol w:w="1211"/>
        <w:gridCol w:w="1211"/>
        <w:gridCol w:w="1211"/>
        <w:gridCol w:w="12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 fee required.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6"/>
              <w:jc w:val="left"/>
              <w:rPr/>
            </w:pPr>
            <w:r>
              <w:rPr>
                <w:color w:val="000000"/>
              </w:rPr>
              <w:t> </w:t>
            </w:r>
            <w:r>
              <w:rPr>
                <w:rFonts w:ascii="Wingdings;sans-serif" w:hAnsi="Wingdings;sans-serif"/>
                <w:b w:val="false"/>
                <w:color w:val="000000"/>
                <w:sz w:val="18"/>
              </w:rPr>
              <w:t>o</w:t>
            </w:r>
          </w:p>
        </w:tc>
        <w:tc>
          <w:tcPr>
            <w:tcW w:w="73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Fee paid previously with preliminary materials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6"/>
              <w:jc w:val="left"/>
              <w:rPr/>
            </w:pPr>
            <w:r>
              <w:rPr>
                <w:color w:val="000000"/>
              </w:rPr>
              <w:t> </w:t>
            </w:r>
            <w:r>
              <w:rPr>
                <w:rFonts w:ascii="Wingdings;sans-serif" w:hAnsi="Wingdings;sans-serif"/>
                <w:b w:val="false"/>
                <w:color w:val="000000"/>
                <w:sz w:val="18"/>
              </w:rPr>
              <w:t>o</w:t>
            </w:r>
          </w:p>
        </w:tc>
        <w:tc>
          <w:tcPr>
            <w:tcW w:w="73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Fee computed on table in exhibit required by Item 25(b) per Exchange Act Rules 14a-6(i)(1) and 0-11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628650"/>
                <wp:effectExtent l="0" t="0" r="0" b="0"/>
                <wp:wrapNone/>
                <wp:docPr id="1" name="Frame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1200"/>
        <w:jc w:val="center"/>
        <w:rPr/>
      </w:pPr>
      <w:r>
        <w:rPr/>
        <w:drawing>
          <wp:inline distT="0" distB="0" distL="0" distR="0">
            <wp:extent cx="4572000" cy="10953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4572000" cy="1095375"/>
                    </a:xfrm>
                    <a:prstGeom prst="rect">
                      <a:avLst/>
                    </a:prstGeom>
                  </pic:spPr>
                </pic:pic>
              </a:graphicData>
            </a:graphic>
          </wp:inline>
        </w:drawing>
      </w:r>
      <w:bookmarkStart w:id="0" w:name="i-1"/>
      <w:bookmarkEnd w:id="0"/>
    </w:p>
    <w:p>
      <w:pPr>
        <w:pStyle w:val="TextBody"/>
        <w:bidi w:val="0"/>
        <w:spacing w:lineRule="auto" w:line="276" w:before="0" w:after="0"/>
        <w:jc w:val="center"/>
        <w:rPr>
          <w:rFonts w:ascii="Helvetica;sans-serif" w:hAnsi="Helvetica;sans-serif"/>
          <w:b/>
          <w:color w:val="000000"/>
          <w:sz w:val="48"/>
        </w:rPr>
      </w:pPr>
      <w:r>
        <w:rPr>
          <w:rFonts w:ascii="Helvetica;sans-serif" w:hAnsi="Helvetica;sans-serif"/>
          <w:b/>
          <w:color w:val="000000"/>
          <w:sz w:val="48"/>
        </w:rPr>
        <w:t>Academy Sports and Outdoors, Inc.</w:t>
      </w:r>
    </w:p>
    <w:p>
      <w:pPr>
        <w:pStyle w:val="TextBody"/>
        <w:bidi w:val="0"/>
        <w:spacing w:lineRule="auto" w:line="276" w:before="0" w:after="0"/>
        <w:jc w:val="center"/>
        <w:rPr>
          <w:rFonts w:ascii="Helvetica Light;sans-serif" w:hAnsi="Helvetica Light;sans-serif"/>
          <w:b/>
          <w:color w:val="000000"/>
          <w:sz w:val="40"/>
        </w:rPr>
      </w:pPr>
      <w:r>
        <w:rPr>
          <w:rFonts w:ascii="Helvetica Light;sans-serif" w:hAnsi="Helvetica Light;sans-serif"/>
          <w:b/>
          <w:color w:val="000000"/>
          <w:sz w:val="40"/>
        </w:rPr>
        <w:t>2026 Proxy Statement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Helvetica;sans-serif" w:hAnsi="Helvetica;sans-serif"/>
          <w:b/>
          <w:color w:val="000000"/>
          <w:sz w:val="40"/>
        </w:rPr>
      </w:pPr>
      <w:r>
        <w:rPr>
          <w:rFonts w:ascii="Helvetica;sans-serif" w:hAnsi="Helvetica;sans-serif"/>
          <w:b/>
          <w:color w:val="000000"/>
          <w:sz w:val="40"/>
        </w:rPr>
        <w:t xml:space="preserve">Notice of </w:t>
      </w:r>
    </w:p>
    <w:p>
      <w:pPr>
        <w:pStyle w:val="TextBody"/>
        <w:bidi w:val="0"/>
        <w:spacing w:lineRule="auto" w:line="276" w:before="0" w:after="240"/>
        <w:jc w:val="center"/>
        <w:rPr>
          <w:rFonts w:ascii="Helvetica;sans-serif" w:hAnsi="Helvetica;sans-serif"/>
          <w:b/>
          <w:color w:val="000000"/>
          <w:sz w:val="40"/>
        </w:rPr>
      </w:pPr>
      <w:r>
        <w:rPr>
          <w:rFonts w:ascii="Helvetica;sans-serif" w:hAnsi="Helvetica;sans-serif"/>
          <w:b/>
          <w:color w:val="000000"/>
          <w:sz w:val="40"/>
        </w:rPr>
        <w:t>Annual Meeting of Stockholders</w:t>
      </w:r>
    </w:p>
    <w:p>
      <w:pPr>
        <w:pStyle w:val="TextBody"/>
        <w:bidi w:val="0"/>
        <w:spacing w:lineRule="auto" w:line="276" w:before="0" w:after="0"/>
        <w:jc w:val="center"/>
        <w:rPr>
          <w:rFonts w:ascii="Helvetica Light;sans-serif" w:hAnsi="Helvetica Light;sans-serif"/>
          <w:b w:val="false"/>
          <w:color w:val="000000"/>
          <w:sz w:val="32"/>
        </w:rPr>
      </w:pPr>
      <w:r>
        <w:rPr>
          <w:rFonts w:ascii="Helvetica Light;sans-serif" w:hAnsi="Helvetica Light;sans-serif"/>
          <w:b w:val="false"/>
          <w:color w:val="000000"/>
          <w:sz w:val="32"/>
        </w:rPr>
        <w:t>Thursday, June 4, 2026</w:t>
      </w:r>
    </w:p>
    <w:p>
      <w:pPr>
        <w:pStyle w:val="TextBody"/>
        <w:bidi w:val="0"/>
        <w:spacing w:lineRule="auto" w:line="276" w:before="0" w:after="240"/>
        <w:jc w:val="center"/>
        <w:rPr>
          <w:rFonts w:ascii="Helvetica Light;sans-serif" w:hAnsi="Helvetica Light;sans-serif"/>
          <w:b w:val="false"/>
          <w:color w:val="000000"/>
          <w:sz w:val="31"/>
        </w:rPr>
      </w:pPr>
      <w:r>
        <w:rPr>
          <w:rFonts w:ascii="Helvetica Light;sans-serif" w:hAnsi="Helvetica Light;sans-serif"/>
          <w:b w:val="false"/>
          <w:color w:val="000000"/>
          <w:sz w:val="31"/>
        </w:rPr>
        <w:t>8:00 a.m. Central Time</w:t>
      </w:r>
    </w:p>
    <w:p>
      <w:pPr>
        <w:pStyle w:val="TextBody"/>
        <w:bidi w:val="0"/>
        <w:spacing w:lineRule="auto" w:line="276" w:before="0" w:after="0"/>
        <w:jc w:val="center"/>
        <w:rPr>
          <w:rFonts w:ascii="Helvetica Light;sans-serif" w:hAnsi="Helvetica Light;sans-serif"/>
          <w:b w:val="false"/>
          <w:color w:val="000000"/>
          <w:sz w:val="31"/>
        </w:rPr>
      </w:pPr>
      <w:r>
        <w:rPr>
          <w:rFonts w:ascii="Helvetica Light;sans-serif" w:hAnsi="Helvetica Light;sans-serif"/>
          <w:b w:val="false"/>
          <w:color w:val="000000"/>
          <w:sz w:val="31"/>
        </w:rPr>
        <w:t>Academy Sports and Outdoors, Inc.</w:t>
      </w:r>
    </w:p>
    <w:p>
      <w:pPr>
        <w:pStyle w:val="TextBody"/>
        <w:bidi w:val="0"/>
        <w:spacing w:lineRule="auto" w:line="276" w:before="0" w:after="0"/>
        <w:jc w:val="center"/>
        <w:rPr>
          <w:rFonts w:ascii="Helvetica Light;sans-serif" w:hAnsi="Helvetica Light;sans-serif"/>
          <w:b w:val="false"/>
          <w:color w:val="000000"/>
          <w:sz w:val="31"/>
        </w:rPr>
      </w:pPr>
      <w:r>
        <w:rPr>
          <w:rFonts w:ascii="Helvetica Light;sans-serif" w:hAnsi="Helvetica Light;sans-serif"/>
          <w:b w:val="false"/>
          <w:color w:val="000000"/>
          <w:sz w:val="31"/>
        </w:rPr>
        <w:t>Corporate Headquarters - Ken C. Hicks Stadium</w:t>
      </w:r>
    </w:p>
    <w:p>
      <w:pPr>
        <w:pStyle w:val="TextBody"/>
        <w:bidi w:val="0"/>
        <w:spacing w:lineRule="auto" w:line="276" w:before="0" w:after="0"/>
        <w:jc w:val="center"/>
        <w:rPr>
          <w:rFonts w:ascii="Helvetica Light;sans-serif" w:hAnsi="Helvetica Light;sans-serif"/>
          <w:b w:val="false"/>
          <w:color w:val="000000"/>
          <w:sz w:val="31"/>
        </w:rPr>
      </w:pPr>
      <w:r>
        <w:rPr>
          <w:rFonts w:ascii="Helvetica Light;sans-serif" w:hAnsi="Helvetica Light;sans-serif"/>
          <w:b w:val="false"/>
          <w:color w:val="000000"/>
          <w:sz w:val="31"/>
        </w:rPr>
        <w:t>1540 North Mason Road</w:t>
      </w:r>
    </w:p>
    <w:p>
      <w:pPr>
        <w:pStyle w:val="TextBody"/>
        <w:bidi w:val="0"/>
        <w:spacing w:lineRule="auto" w:line="276" w:before="0" w:after="0"/>
        <w:jc w:val="center"/>
        <w:rPr>
          <w:rFonts w:ascii="Helvetica Light;sans-serif" w:hAnsi="Helvetica Light;sans-serif"/>
          <w:b w:val="false"/>
          <w:color w:val="000000"/>
          <w:sz w:val="31"/>
        </w:rPr>
      </w:pPr>
      <w:r>
        <w:rPr>
          <w:rFonts w:ascii="Helvetica Light;sans-serif" w:hAnsi="Helvetica Light;sans-serif"/>
          <w:b w:val="false"/>
          <w:color w:val="000000"/>
          <w:sz w:val="31"/>
        </w:rPr>
        <w:t>Katy, Texas 77449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tbl>
      <w:tblPr>
        <w:tblW w:w="1170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725"/>
        <w:gridCol w:w="410"/>
        <w:gridCol w:w="411"/>
        <w:gridCol w:w="122"/>
        <w:gridCol w:w="122"/>
        <w:gridCol w:w="122"/>
        <w:gridCol w:w="122"/>
        <w:gridCol w:w="122"/>
        <w:gridCol w:w="122"/>
        <w:gridCol w:w="655"/>
        <w:gridCol w:w="333"/>
        <w:gridCol w:w="333"/>
        <w:gridCol w:w="333"/>
        <w:gridCol w:w="333"/>
        <w:gridCol w:w="333"/>
        <w:gridCol w:w="333"/>
        <w:gridCol w:w="333"/>
        <w:gridCol w:w="333"/>
        <w:gridCol w:w="1265"/>
        <w:gridCol w:w="333"/>
        <w:gridCol w:w="353"/>
        <w:gridCol w:w="122"/>
        <w:gridCol w:w="122"/>
        <w:gridCol w:w="122"/>
        <w:gridCol w:w="122"/>
        <w:gridCol w:w="122"/>
        <w:gridCol w:w="122"/>
        <w:gridCol w:w="871"/>
        <w:gridCol w:w="681"/>
        <w:gridCol w:w="82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1"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1" w:type="dxa"/>
            <w:gridSpan w:val="30"/>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286000" cy="5429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286000" cy="542925"/>
                          </a:xfrm>
                          <a:prstGeom prst="rect">
                            <a:avLst/>
                          </a:prstGeom>
                        </pic:spPr>
                      </pic:pic>
                    </a:graphicData>
                  </a:graphic>
                </wp:inline>
              </w:drawing>
            </w:r>
            <w:bookmarkStart w:id="1" w:name="i-2"/>
            <w:bookmarkEnd w:id="1"/>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Roboto Black;sans-serif" w:hAnsi="Roboto Black;sans-serif"/>
                <w:b/>
                <w:color w:val="1946C8"/>
                <w:sz w:val="22"/>
              </w:rPr>
            </w:pPr>
            <w:r>
              <w:rPr>
                <w:rFonts w:ascii="Roboto Black;sans-serif" w:hAnsi="Roboto Black;sans-serif"/>
                <w:b/>
                <w:color w:val="1946C8"/>
                <w:sz w:val="22"/>
              </w:rPr>
              <w:t>OUR MISSION</w:t>
            </w:r>
          </w:p>
        </w:tc>
        <w:tc>
          <w:tcPr>
            <w:tcW w:w="732" w:type="dxa"/>
            <w:gridSpan w:val="6"/>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0" w:type="dxa"/>
            <w:gridSpan w:val="12"/>
            <w:tcBorders/>
            <w:tcMar>
              <w:top w:w="0" w:type="dxa"/>
              <w:left w:w="0" w:type="dxa"/>
              <w:bottom w:w="0" w:type="dxa"/>
              <w:right w:w="0" w:type="dxa"/>
            </w:tcMar>
            <w:vAlign w:val="center"/>
          </w:tcPr>
          <w:p>
            <w:pPr>
              <w:pStyle w:val="TableContents"/>
              <w:bidi w:val="0"/>
              <w:spacing w:lineRule="auto" w:line="312" w:before="0" w:after="0"/>
              <w:jc w:val="left"/>
              <w:rPr>
                <w:rFonts w:ascii="Roboto Black;sans-serif" w:hAnsi="Roboto Black;sans-serif"/>
                <w:b/>
                <w:color w:val="1946C8"/>
                <w:sz w:val="22"/>
              </w:rPr>
            </w:pPr>
            <w:r>
              <w:rPr>
                <w:rFonts w:ascii="Roboto Black;sans-serif" w:hAnsi="Roboto Black;sans-serif"/>
                <w:b/>
                <w:color w:val="1946C8"/>
                <w:sz w:val="22"/>
              </w:rPr>
              <w:t>OUR FOOTPRINT</w:t>
            </w:r>
          </w:p>
        </w:tc>
        <w:tc>
          <w:tcPr>
            <w:tcW w:w="732" w:type="dxa"/>
            <w:gridSpan w:val="6"/>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Roboto Black;sans-serif" w:hAnsi="Roboto Black;sans-serif"/>
                <w:b/>
                <w:color w:val="1946C8"/>
                <w:sz w:val="22"/>
              </w:rPr>
            </w:pPr>
            <w:r>
              <w:rPr>
                <w:rFonts w:ascii="Roboto Black;sans-serif" w:hAnsi="Roboto Black;sans-serif"/>
                <w:b/>
                <w:color w:val="1946C8"/>
                <w:sz w:val="22"/>
              </w:rPr>
              <w:t>OUR HEADQUARTERS</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527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tLeast" w:line="240" w:before="0" w:after="240"/>
              <w:jc w:val="left"/>
              <w:rPr/>
            </w:pPr>
            <w:r>
              <w:rPr>
                <w:rFonts w:ascii="Roboto;sans-serif" w:hAnsi="Roboto;sans-serif"/>
                <w:b w:val="false"/>
                <w:color w:val="01024A"/>
                <w:sz w:val="18"/>
              </w:rPr>
              <w:t xml:space="preserve">Provide </w:t>
            </w:r>
            <w:r>
              <w:rPr>
                <w:rFonts w:ascii="Roboto;sans-serif" w:hAnsi="Roboto;sans-serif"/>
                <w:b/>
                <w:color w:val="01024A"/>
                <w:sz w:val="18"/>
              </w:rPr>
              <w:t xml:space="preserve">FUN FOR ALL </w:t>
            </w:r>
            <w:r>
              <w:rPr>
                <w:rFonts w:ascii="Roboto;sans-serif" w:hAnsi="Roboto;sans-serif"/>
                <w:b w:val="false"/>
                <w:color w:val="01024A"/>
                <w:sz w:val="18"/>
              </w:rPr>
              <w:t>through strong assortments, value, and experience</w:t>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5270" w:type="dxa"/>
            <w:gridSpan w:val="12"/>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495550" cy="18669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2495550" cy="1866900"/>
                          </a:xfrm>
                          <a:prstGeom prst="rect">
                            <a:avLst/>
                          </a:prstGeom>
                        </pic:spPr>
                      </pic:pic>
                    </a:graphicData>
                  </a:graphic>
                </wp:inline>
              </w:drawing>
            </w:r>
            <w:bookmarkStart w:id="2" w:name="i-3"/>
            <w:bookmarkEnd w:id="2"/>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238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457325" cy="183832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457325" cy="1838325"/>
                          </a:xfrm>
                          <a:prstGeom prst="rect">
                            <a:avLst/>
                          </a:prstGeom>
                        </pic:spPr>
                      </pic:pic>
                    </a:graphicData>
                  </a:graphic>
                </wp:inline>
              </w:drawing>
            </w:r>
            <w:bookmarkStart w:id="3" w:name="i-4"/>
            <w:bookmarkEnd w:id="3"/>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Roboto Black;sans-serif" w:hAnsi="Roboto Black;sans-serif"/>
                <w:b/>
                <w:color w:val="1946C8"/>
                <w:sz w:val="22"/>
              </w:rPr>
            </w:pPr>
            <w:r>
              <w:rPr>
                <w:rFonts w:ascii="Roboto Black;sans-serif" w:hAnsi="Roboto Black;sans-serif"/>
                <w:b/>
                <w:color w:val="1946C8"/>
                <w:sz w:val="22"/>
              </w:rPr>
              <w:t>OUR VISION</w:t>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5270" w:type="dxa"/>
            <w:gridSpan w:val="12"/>
            <w:vMerge w:val="continue"/>
            <w:tcBorders/>
            <w:tcMar>
              <w:top w:w="0" w:type="dxa"/>
              <w:left w:w="0" w:type="dxa"/>
              <w:bottom w:w="0" w:type="dxa"/>
              <w:right w:w="0" w:type="dxa"/>
            </w:tcMar>
            <w:vAlign w:val="center"/>
          </w:tcPr>
          <w:p>
            <w:pPr>
              <w:pStyle w:val="Normal"/>
              <w:bidi w:val="0"/>
              <w:jc w:val="left"/>
              <w:rPr/>
            </w:pPr>
            <w:r>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238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5270" w:type="dxa"/>
            <w:gridSpan w:val="12"/>
            <w:vMerge w:val="continue"/>
            <w:tcBorders/>
            <w:tcMar>
              <w:top w:w="0" w:type="dxa"/>
              <w:left w:w="0" w:type="dxa"/>
              <w:bottom w:w="0" w:type="dxa"/>
              <w:right w:w="0" w:type="dxa"/>
            </w:tcMar>
            <w:vAlign w:val="center"/>
          </w:tcPr>
          <w:p>
            <w:pPr>
              <w:pStyle w:val="Normal"/>
              <w:bidi w:val="0"/>
              <w:jc w:val="left"/>
              <w:rPr/>
            </w:pPr>
            <w:r>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238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tLeast" w:line="240" w:before="0" w:after="0"/>
              <w:jc w:val="left"/>
              <w:rPr/>
            </w:pPr>
            <w:r>
              <w:rPr>
                <w:rFonts w:ascii="Roboto;sans-serif" w:hAnsi="Roboto;sans-serif"/>
                <w:b w:val="false"/>
                <w:color w:val="01024A"/>
                <w:sz w:val="18"/>
              </w:rPr>
              <w:t xml:space="preserve">To be the </w:t>
            </w:r>
            <w:r>
              <w:rPr>
                <w:rFonts w:ascii="Roboto;sans-serif" w:hAnsi="Roboto;sans-serif"/>
                <w:b/>
                <w:color w:val="01024A"/>
                <w:sz w:val="18"/>
              </w:rPr>
              <w:t>BEST</w:t>
            </w:r>
            <w:r>
              <w:rPr>
                <w:color w:val="01024A"/>
              </w:rPr>
              <w:t xml:space="preserve"> </w:t>
            </w:r>
          </w:p>
          <w:p>
            <w:pPr>
              <w:pStyle w:val="TableContents"/>
              <w:bidi w:val="0"/>
              <w:spacing w:lineRule="atLeast" w:line="240" w:before="0" w:after="0"/>
              <w:jc w:val="left"/>
              <w:rPr>
                <w:rFonts w:ascii="Roboto;sans-serif" w:hAnsi="Roboto;sans-serif"/>
                <w:b w:val="false"/>
                <w:color w:val="01024A"/>
                <w:sz w:val="18"/>
              </w:rPr>
            </w:pPr>
            <w:r>
              <w:rPr>
                <w:rFonts w:ascii="Roboto;sans-serif" w:hAnsi="Roboto;sans-serif"/>
                <w:b w:val="false"/>
                <w:color w:val="01024A"/>
                <w:sz w:val="18"/>
              </w:rPr>
              <w:t xml:space="preserve">sports + outdoors </w:t>
            </w:r>
          </w:p>
          <w:p>
            <w:pPr>
              <w:pStyle w:val="TableContents"/>
              <w:bidi w:val="0"/>
              <w:spacing w:lineRule="atLeast" w:line="240" w:before="0" w:after="0"/>
              <w:jc w:val="left"/>
              <w:rPr>
                <w:rFonts w:ascii="Roboto;sans-serif" w:hAnsi="Roboto;sans-serif"/>
                <w:b w:val="false"/>
                <w:color w:val="01024A"/>
                <w:sz w:val="18"/>
              </w:rPr>
            </w:pPr>
            <w:r>
              <w:rPr>
                <w:rFonts w:ascii="Roboto;sans-serif" w:hAnsi="Roboto;sans-serif"/>
                <w:b w:val="false"/>
                <w:color w:val="01024A"/>
                <w:sz w:val="18"/>
              </w:rPr>
              <w:t>retailer in the country</w:t>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5270" w:type="dxa"/>
            <w:gridSpan w:val="12"/>
            <w:vMerge w:val="continue"/>
            <w:tcBorders/>
            <w:tcMar>
              <w:top w:w="0" w:type="dxa"/>
              <w:left w:w="0" w:type="dxa"/>
              <w:bottom w:w="0" w:type="dxa"/>
              <w:right w:w="0" w:type="dxa"/>
            </w:tcMar>
            <w:vAlign w:val="center"/>
          </w:tcPr>
          <w:p>
            <w:pPr>
              <w:pStyle w:val="Normal"/>
              <w:bidi w:val="0"/>
              <w:jc w:val="left"/>
              <w:rPr/>
            </w:pPr>
            <w:r>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238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527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Roboto Black;sans-serif" w:hAnsi="Roboto Black;sans-serif"/>
                <w:b/>
                <w:color w:val="1946C8"/>
                <w:sz w:val="22"/>
              </w:rPr>
            </w:pPr>
            <w:r>
              <w:rPr>
                <w:rFonts w:ascii="Roboto Black;sans-serif" w:hAnsi="Roboto Black;sans-serif"/>
                <w:b/>
                <w:color w:val="1946C8"/>
                <w:sz w:val="22"/>
              </w:rPr>
              <w:t>OUR VALUES</w:t>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5270" w:type="dxa"/>
            <w:gridSpan w:val="12"/>
            <w:tcBorders/>
            <w:tcMar>
              <w:top w:w="0" w:type="dxa"/>
              <w:left w:w="0" w:type="dxa"/>
              <w:bottom w:w="0" w:type="dxa"/>
              <w:right w:w="0" w:type="dxa"/>
            </w:tcMar>
            <w:vAlign w:val="center"/>
          </w:tcPr>
          <w:p>
            <w:pPr>
              <w:pStyle w:val="TableContents"/>
              <w:bidi w:val="0"/>
              <w:spacing w:lineRule="auto" w:line="312" w:before="0" w:after="0"/>
              <w:jc w:val="left"/>
              <w:rPr>
                <w:rFonts w:ascii="Roboto Black;sans-serif" w:hAnsi="Roboto Black;sans-serif"/>
                <w:b/>
                <w:color w:val="1946C8"/>
                <w:sz w:val="22"/>
              </w:rPr>
            </w:pPr>
            <w:r>
              <w:rPr>
                <w:rFonts w:ascii="Roboto Black;sans-serif" w:hAnsi="Roboto Black;sans-serif"/>
                <w:b/>
                <w:color w:val="1946C8"/>
                <w:sz w:val="22"/>
              </w:rPr>
              <w:t>OUR STORY</w:t>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238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57325" cy="3562350"/>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1457325" cy="3562350"/>
                          </a:xfrm>
                          <a:prstGeom prst="rect">
                            <a:avLst/>
                          </a:prstGeom>
                        </pic:spPr>
                      </pic:pic>
                    </a:graphicData>
                  </a:graphic>
                </wp:inline>
              </w:drawing>
            </w:r>
            <w:bookmarkStart w:id="4" w:name="i-5"/>
            <w:bookmarkEnd w:id="4"/>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527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238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tLeast" w:line="240" w:before="0" w:after="0"/>
              <w:jc w:val="left"/>
              <w:rPr/>
            </w:pPr>
            <w:r>
              <w:rPr>
                <w:rFonts w:ascii="Roboto;sans-serif" w:hAnsi="Roboto;sans-serif"/>
                <w:b/>
                <w:color w:val="01024A"/>
                <w:sz w:val="18"/>
              </w:rPr>
              <w:t>CUSTOMER</w:t>
            </w:r>
            <w:r>
              <w:rPr>
                <w:color w:val="01024A"/>
              </w:rPr>
              <w:t xml:space="preserve"> </w:t>
            </w:r>
            <w:r>
              <w:rPr>
                <w:rFonts w:ascii="Roboto;sans-serif" w:hAnsi="Roboto;sans-serif"/>
                <w:b w:val="false"/>
                <w:color w:val="01024A"/>
                <w:sz w:val="18"/>
              </w:rPr>
              <w:t xml:space="preserve">focus </w:t>
            </w:r>
          </w:p>
          <w:p>
            <w:pPr>
              <w:pStyle w:val="TableContents"/>
              <w:bidi w:val="0"/>
              <w:spacing w:lineRule="atLeast" w:line="240" w:before="0" w:after="0"/>
              <w:jc w:val="left"/>
              <w:rPr>
                <w:rFonts w:ascii="Roboto;sans-serif" w:hAnsi="Roboto;sans-serif"/>
                <w:b w:val="false"/>
                <w:color w:val="01024A"/>
                <w:sz w:val="18"/>
              </w:rPr>
            </w:pPr>
            <w:r>
              <w:rPr>
                <w:rFonts w:ascii="Roboto;sans-serif" w:hAnsi="Roboto;sans-serif"/>
                <w:b w:val="false"/>
                <w:color w:val="01024A"/>
                <w:sz w:val="18"/>
              </w:rPr>
              <w:t>and service</w:t>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5270" w:type="dxa"/>
            <w:gridSpan w:val="12"/>
            <w:vMerge w:val="restart"/>
            <w:tcBorders/>
            <w:tcMar>
              <w:top w:w="0" w:type="dxa"/>
              <w:left w:w="0" w:type="dxa"/>
              <w:bottom w:w="0" w:type="dxa"/>
              <w:right w:w="0" w:type="dxa"/>
            </w:tcMar>
            <w:vAlign w:val="center"/>
          </w:tcPr>
          <w:p>
            <w:pPr>
              <w:pStyle w:val="TableContents"/>
              <w:bidi w:val="0"/>
              <w:spacing w:lineRule="atLeast" w:line="240" w:before="0" w:after="0"/>
              <w:jc w:val="left"/>
              <w:rPr/>
            </w:pPr>
            <w:r>
              <w:rPr>
                <w:rFonts w:ascii="Roboto;sans-serif" w:hAnsi="Roboto;sans-serif"/>
                <w:b/>
                <w:color w:val="01024A"/>
                <w:sz w:val="18"/>
              </w:rPr>
              <w:t xml:space="preserve">Academy Sports + Outdoors </w:t>
            </w:r>
            <w:r>
              <w:rPr>
                <w:rFonts w:ascii="Roboto;sans-serif" w:hAnsi="Roboto;sans-serif"/>
                <w:b w:val="false"/>
                <w:color w:val="01024A"/>
                <w:sz w:val="18"/>
              </w:rPr>
              <w:t>is a leading full-line sporting goods and outdoor recreation retailer in the United States. Academy’s product assortment focuses on key categories of outdoor, apparel, footwear and sports &amp; recreation through both leading national brands and a portfolio of private label brands.</w:t>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238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5270" w:type="dxa"/>
            <w:gridSpan w:val="12"/>
            <w:vMerge w:val="continue"/>
            <w:tcBorders/>
            <w:tcMar>
              <w:top w:w="0" w:type="dxa"/>
              <w:left w:w="0" w:type="dxa"/>
              <w:bottom w:w="0" w:type="dxa"/>
              <w:right w:w="0" w:type="dxa"/>
            </w:tcMar>
            <w:vAlign w:val="center"/>
          </w:tcPr>
          <w:p>
            <w:pPr>
              <w:pStyle w:val="Normal"/>
              <w:bidi w:val="0"/>
              <w:jc w:val="left"/>
              <w:rPr/>
            </w:pPr>
            <w:r>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238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96D0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5270" w:type="dxa"/>
            <w:gridSpan w:val="12"/>
            <w:vMerge w:val="continue"/>
            <w:tcBorders/>
            <w:tcMar>
              <w:top w:w="0" w:type="dxa"/>
              <w:left w:w="0" w:type="dxa"/>
              <w:bottom w:w="0" w:type="dxa"/>
              <w:right w:w="0" w:type="dxa"/>
            </w:tcMar>
            <w:vAlign w:val="center"/>
          </w:tcPr>
          <w:p>
            <w:pPr>
              <w:pStyle w:val="Normal"/>
              <w:bidi w:val="0"/>
              <w:jc w:val="left"/>
              <w:rPr/>
            </w:pPr>
            <w:r>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238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tLeast" w:line="240" w:before="0" w:after="0"/>
              <w:jc w:val="left"/>
              <w:rPr/>
            </w:pPr>
            <w:r>
              <w:rPr>
                <w:rFonts w:ascii="Roboto;sans-serif" w:hAnsi="Roboto;sans-serif"/>
                <w:b/>
                <w:color w:val="01024A"/>
                <w:sz w:val="18"/>
              </w:rPr>
              <w:t>EXCELLENCE</w:t>
            </w:r>
            <w:r>
              <w:rPr>
                <w:color w:val="01024A"/>
              </w:rPr>
              <w:t xml:space="preserve"> </w:t>
            </w:r>
            <w:r>
              <w:rPr>
                <w:rFonts w:ascii="Roboto;sans-serif" w:hAnsi="Roboto;sans-serif"/>
                <w:b w:val="false"/>
                <w:color w:val="01024A"/>
                <w:sz w:val="18"/>
              </w:rPr>
              <w:t>in all we do</w:t>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5270" w:type="dxa"/>
            <w:gridSpan w:val="12"/>
            <w:vMerge w:val="continue"/>
            <w:tcBorders/>
            <w:tcMar>
              <w:top w:w="0" w:type="dxa"/>
              <w:left w:w="0" w:type="dxa"/>
              <w:bottom w:w="0" w:type="dxa"/>
              <w:right w:w="0" w:type="dxa"/>
            </w:tcMar>
            <w:vAlign w:val="center"/>
          </w:tcPr>
          <w:p>
            <w:pPr>
              <w:pStyle w:val="Normal"/>
              <w:bidi w:val="0"/>
              <w:jc w:val="left"/>
              <w:rPr/>
            </w:pPr>
            <w:r>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238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5270" w:type="dxa"/>
            <w:gridSpan w:val="12"/>
            <w:vMerge w:val="continue"/>
            <w:tcBorders/>
            <w:tcMar>
              <w:top w:w="0" w:type="dxa"/>
              <w:left w:w="0" w:type="dxa"/>
              <w:bottom w:w="0" w:type="dxa"/>
              <w:right w:w="0" w:type="dxa"/>
            </w:tcMar>
            <w:vAlign w:val="center"/>
          </w:tcPr>
          <w:p>
            <w:pPr>
              <w:pStyle w:val="Normal"/>
              <w:bidi w:val="0"/>
              <w:jc w:val="left"/>
              <w:rPr/>
            </w:pPr>
            <w:r>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238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96D0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5270" w:type="dxa"/>
            <w:gridSpan w:val="12"/>
            <w:vMerge w:val="continue"/>
            <w:tcBorders/>
            <w:tcMar>
              <w:top w:w="0" w:type="dxa"/>
              <w:left w:w="0" w:type="dxa"/>
              <w:bottom w:w="0" w:type="dxa"/>
              <w:right w:w="0" w:type="dxa"/>
            </w:tcMar>
            <w:vAlign w:val="center"/>
          </w:tcPr>
          <w:p>
            <w:pPr>
              <w:pStyle w:val="Normal"/>
              <w:bidi w:val="0"/>
              <w:jc w:val="left"/>
              <w:rPr/>
            </w:pPr>
            <w:r>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238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tLeast" w:line="240" w:before="0" w:after="0"/>
              <w:jc w:val="left"/>
              <w:rPr/>
            </w:pPr>
            <w:r>
              <w:rPr>
                <w:rFonts w:ascii="Roboto;sans-serif" w:hAnsi="Roboto;sans-serif"/>
                <w:b w:val="false"/>
                <w:color w:val="01024A"/>
                <w:sz w:val="18"/>
              </w:rPr>
              <w:t xml:space="preserve">Responsible </w:t>
            </w:r>
            <w:r>
              <w:rPr>
                <w:rFonts w:ascii="Roboto;sans-serif" w:hAnsi="Roboto;sans-serif"/>
                <w:b/>
                <w:color w:val="01024A"/>
                <w:sz w:val="18"/>
              </w:rPr>
              <w:t>LEADERSHIP</w:t>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5270" w:type="dxa"/>
            <w:gridSpan w:val="12"/>
            <w:vMerge w:val="continue"/>
            <w:tcBorders/>
            <w:tcMar>
              <w:top w:w="0" w:type="dxa"/>
              <w:left w:w="0" w:type="dxa"/>
              <w:bottom w:w="0" w:type="dxa"/>
              <w:right w:w="0" w:type="dxa"/>
            </w:tcMar>
            <w:vAlign w:val="center"/>
          </w:tcPr>
          <w:p>
            <w:pPr>
              <w:pStyle w:val="Normal"/>
              <w:bidi w:val="0"/>
              <w:jc w:val="left"/>
              <w:rPr/>
            </w:pPr>
            <w:r>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238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132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6"/>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238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96D0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1998" w:type="dxa"/>
            <w:gridSpan w:val="6"/>
            <w:vMerge w:val="continue"/>
            <w:tcBorders/>
            <w:tcMar>
              <w:top w:w="0" w:type="dxa"/>
              <w:left w:w="0" w:type="dxa"/>
              <w:bottom w:w="0" w:type="dxa"/>
              <w:right w:w="0" w:type="dxa"/>
            </w:tcMar>
            <w:vAlign w:val="center"/>
          </w:tcPr>
          <w:p>
            <w:pPr>
              <w:pStyle w:val="Normal"/>
              <w:bidi w:val="0"/>
              <w:jc w:val="left"/>
              <w:rPr/>
            </w:pPr>
            <w:r>
              <w:rPr/>
            </w:r>
          </w:p>
        </w:tc>
        <w:tc>
          <w:tcPr>
            <w:tcW w:w="1951" w:type="dxa"/>
            <w:gridSpan w:val="3"/>
            <w:vMerge w:val="continue"/>
            <w:tcBorders/>
            <w:tcMar>
              <w:top w:w="0" w:type="dxa"/>
              <w:left w:w="0" w:type="dxa"/>
              <w:bottom w:w="0" w:type="dxa"/>
              <w:right w:w="0" w:type="dxa"/>
            </w:tcMar>
            <w:vAlign w:val="center"/>
          </w:tcPr>
          <w:p>
            <w:pPr>
              <w:pStyle w:val="Normal"/>
              <w:bidi w:val="0"/>
              <w:jc w:val="left"/>
              <w:rPr/>
            </w:pPr>
            <w:r>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238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tLeast" w:line="240" w:before="0" w:after="0"/>
              <w:jc w:val="left"/>
              <w:rPr/>
            </w:pPr>
            <w:r>
              <w:rPr>
                <w:rFonts w:ascii="Roboto;sans-serif" w:hAnsi="Roboto;sans-serif"/>
                <w:b/>
                <w:color w:val="01024A"/>
                <w:sz w:val="18"/>
              </w:rPr>
              <w:t>INITIATIVE</w:t>
            </w:r>
            <w:r>
              <w:rPr>
                <w:color w:val="01024A"/>
              </w:rPr>
              <w:t xml:space="preserve"> </w:t>
            </w:r>
            <w:r>
              <w:rPr>
                <w:rFonts w:ascii="Roboto;sans-serif" w:hAnsi="Roboto;sans-serif"/>
                <w:b w:val="false"/>
                <w:color w:val="01024A"/>
                <w:sz w:val="18"/>
              </w:rPr>
              <w:t>with urgency</w:t>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96D0FF"/>
                <w:sz w:val="52"/>
              </w:rPr>
            </w:pPr>
            <w:r>
              <w:rPr>
                <w:rFonts w:ascii="Arial;sans-serif" w:hAnsi="Arial;sans-serif"/>
                <w:b/>
                <w:color w:val="96D0FF"/>
                <w:sz w:val="52"/>
              </w:rPr>
              <w:t>ASO</w:t>
            </w:r>
          </w:p>
          <w:p>
            <w:pPr>
              <w:pStyle w:val="TableContents"/>
              <w:bidi w:val="0"/>
              <w:spacing w:lineRule="atLeast" w:line="240" w:before="0" w:after="0"/>
              <w:jc w:val="left"/>
              <w:rPr>
                <w:rFonts w:ascii="Roboto;sans-serif" w:hAnsi="Roboto;sans-serif"/>
                <w:b/>
                <w:color w:val="01024A"/>
                <w:sz w:val="18"/>
              </w:rPr>
            </w:pPr>
            <w:r>
              <w:rPr>
                <w:rFonts w:ascii="Roboto;sans-serif" w:hAnsi="Roboto;sans-serif"/>
                <w:b/>
                <w:color w:val="01024A"/>
                <w:sz w:val="18"/>
              </w:rPr>
              <w:t>NASDAQ ticker symbol</w:t>
            </w:r>
          </w:p>
        </w:tc>
        <w:tc>
          <w:tcPr>
            <w:tcW w:w="1998" w:type="dxa"/>
            <w:gridSpan w:val="6"/>
            <w:vMerge w:val="continue"/>
            <w:tcBorders/>
            <w:tcMar>
              <w:top w:w="0" w:type="dxa"/>
              <w:left w:w="0" w:type="dxa"/>
              <w:bottom w:w="0" w:type="dxa"/>
              <w:right w:w="0" w:type="dxa"/>
            </w:tcMar>
            <w:vAlign w:val="center"/>
          </w:tcPr>
          <w:p>
            <w:pPr>
              <w:pStyle w:val="Normal"/>
              <w:bidi w:val="0"/>
              <w:jc w:val="left"/>
              <w:rPr/>
            </w:pPr>
            <w:r>
              <w:rPr/>
            </w:r>
          </w:p>
        </w:tc>
        <w:tc>
          <w:tcPr>
            <w:tcW w:w="195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96D0FF"/>
                <w:sz w:val="52"/>
              </w:rPr>
              <w:t>~$6.05</w:t>
            </w:r>
            <w:r>
              <w:rPr>
                <w:rFonts w:ascii="Arial;sans-serif" w:hAnsi="Arial;sans-serif"/>
                <w:b/>
                <w:color w:val="96D0FF"/>
                <w:sz w:val="36"/>
              </w:rPr>
              <w:t>B</w:t>
            </w:r>
          </w:p>
          <w:p>
            <w:pPr>
              <w:pStyle w:val="TableContents"/>
              <w:bidi w:val="0"/>
              <w:spacing w:lineRule="atLeast" w:line="240" w:before="0" w:after="0"/>
              <w:jc w:val="left"/>
              <w:rPr>
                <w:rFonts w:ascii="Roboto;sans-serif" w:hAnsi="Roboto;sans-serif"/>
                <w:b/>
                <w:color w:val="01024A"/>
                <w:sz w:val="18"/>
              </w:rPr>
            </w:pPr>
            <w:r>
              <w:rPr>
                <w:rFonts w:ascii="Roboto;sans-serif" w:hAnsi="Roboto;sans-serif"/>
                <w:b/>
                <w:color w:val="01024A"/>
                <w:sz w:val="18"/>
              </w:rPr>
              <w:t>Fiscal 2025 Net Sales</w:t>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238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1998" w:type="dxa"/>
            <w:gridSpan w:val="6"/>
            <w:vMerge w:val="continue"/>
            <w:tcBorders/>
            <w:tcMar>
              <w:top w:w="0" w:type="dxa"/>
              <w:left w:w="0" w:type="dxa"/>
              <w:bottom w:w="0" w:type="dxa"/>
              <w:right w:w="0" w:type="dxa"/>
            </w:tcMar>
            <w:vAlign w:val="center"/>
          </w:tcPr>
          <w:p>
            <w:pPr>
              <w:pStyle w:val="Normal"/>
              <w:bidi w:val="0"/>
              <w:jc w:val="left"/>
              <w:rPr/>
            </w:pPr>
            <w:r>
              <w:rPr/>
            </w:r>
          </w:p>
        </w:tc>
        <w:tc>
          <w:tcPr>
            <w:tcW w:w="1951" w:type="dxa"/>
            <w:gridSpan w:val="3"/>
            <w:vMerge w:val="continue"/>
            <w:tcBorders/>
            <w:tcMar>
              <w:top w:w="0" w:type="dxa"/>
              <w:left w:w="0" w:type="dxa"/>
              <w:bottom w:w="0" w:type="dxa"/>
              <w:right w:w="0" w:type="dxa"/>
            </w:tcMar>
            <w:vAlign w:val="center"/>
          </w:tcPr>
          <w:p>
            <w:pPr>
              <w:pStyle w:val="Normal"/>
              <w:bidi w:val="0"/>
              <w:jc w:val="left"/>
              <w:rPr/>
            </w:pPr>
            <w:r>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238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96D0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1998" w:type="dxa"/>
            <w:gridSpan w:val="6"/>
            <w:vMerge w:val="continue"/>
            <w:tcBorders/>
            <w:tcMar>
              <w:top w:w="0" w:type="dxa"/>
              <w:left w:w="0" w:type="dxa"/>
              <w:bottom w:w="0" w:type="dxa"/>
              <w:right w:w="0" w:type="dxa"/>
            </w:tcMar>
            <w:vAlign w:val="center"/>
          </w:tcPr>
          <w:p>
            <w:pPr>
              <w:pStyle w:val="Normal"/>
              <w:bidi w:val="0"/>
              <w:jc w:val="left"/>
              <w:rPr/>
            </w:pPr>
            <w:r>
              <w:rPr/>
            </w:r>
          </w:p>
        </w:tc>
        <w:tc>
          <w:tcPr>
            <w:tcW w:w="1951" w:type="dxa"/>
            <w:gridSpan w:val="3"/>
            <w:vMerge w:val="continue"/>
            <w:tcBorders/>
            <w:tcMar>
              <w:top w:w="0" w:type="dxa"/>
              <w:left w:w="0" w:type="dxa"/>
              <w:bottom w:w="0" w:type="dxa"/>
              <w:right w:w="0" w:type="dxa"/>
            </w:tcMar>
            <w:vAlign w:val="center"/>
          </w:tcPr>
          <w:p>
            <w:pPr>
              <w:pStyle w:val="Normal"/>
              <w:bidi w:val="0"/>
              <w:jc w:val="left"/>
              <w:rPr/>
            </w:pPr>
            <w:r>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238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tLeast" w:line="240" w:before="0" w:after="0"/>
              <w:jc w:val="left"/>
              <w:rPr/>
            </w:pPr>
            <w:r>
              <w:rPr>
                <w:rFonts w:ascii="Roboto;sans-serif" w:hAnsi="Roboto;sans-serif"/>
                <w:b/>
                <w:color w:val="01024A"/>
                <w:sz w:val="18"/>
              </w:rPr>
              <w:t>STUDENTS</w:t>
            </w:r>
            <w:r>
              <w:rPr>
                <w:color w:val="01024A"/>
              </w:rPr>
              <w:t xml:space="preserve"> </w:t>
            </w:r>
            <w:r>
              <w:rPr>
                <w:rFonts w:ascii="Roboto;sans-serif" w:hAnsi="Roboto;sans-serif"/>
                <w:b w:val="false"/>
                <w:color w:val="01024A"/>
                <w:sz w:val="18"/>
              </w:rPr>
              <w:t>of the business</w:t>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1998" w:type="dxa"/>
            <w:gridSpan w:val="6"/>
            <w:vMerge w:val="continue"/>
            <w:tcBorders/>
            <w:tcMar>
              <w:top w:w="0" w:type="dxa"/>
              <w:left w:w="0" w:type="dxa"/>
              <w:bottom w:w="0" w:type="dxa"/>
              <w:right w:w="0" w:type="dxa"/>
            </w:tcMar>
            <w:vAlign w:val="center"/>
          </w:tcPr>
          <w:p>
            <w:pPr>
              <w:pStyle w:val="Normal"/>
              <w:bidi w:val="0"/>
              <w:jc w:val="left"/>
              <w:rPr/>
            </w:pPr>
            <w:r>
              <w:rPr/>
            </w:r>
          </w:p>
        </w:tc>
        <w:tc>
          <w:tcPr>
            <w:tcW w:w="1951" w:type="dxa"/>
            <w:gridSpan w:val="3"/>
            <w:vMerge w:val="continue"/>
            <w:tcBorders/>
            <w:tcMar>
              <w:top w:w="0" w:type="dxa"/>
              <w:left w:w="0" w:type="dxa"/>
              <w:bottom w:w="0" w:type="dxa"/>
              <w:right w:w="0" w:type="dxa"/>
            </w:tcMar>
            <w:vAlign w:val="center"/>
          </w:tcPr>
          <w:p>
            <w:pPr>
              <w:pStyle w:val="Normal"/>
              <w:bidi w:val="0"/>
              <w:jc w:val="left"/>
              <w:rPr/>
            </w:pPr>
            <w:r>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238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1998" w:type="dxa"/>
            <w:gridSpan w:val="6"/>
            <w:vMerge w:val="continue"/>
            <w:tcBorders/>
            <w:tcMar>
              <w:top w:w="0" w:type="dxa"/>
              <w:left w:w="0" w:type="dxa"/>
              <w:bottom w:w="0" w:type="dxa"/>
              <w:right w:w="0" w:type="dxa"/>
            </w:tcMar>
            <w:vAlign w:val="center"/>
          </w:tcPr>
          <w:p>
            <w:pPr>
              <w:pStyle w:val="Normal"/>
              <w:bidi w:val="0"/>
              <w:jc w:val="left"/>
              <w:rPr/>
            </w:pPr>
            <w:r>
              <w:rPr/>
            </w:r>
          </w:p>
        </w:tc>
        <w:tc>
          <w:tcPr>
            <w:tcW w:w="1951" w:type="dxa"/>
            <w:gridSpan w:val="3"/>
            <w:vMerge w:val="continue"/>
            <w:tcBorders/>
            <w:tcMar>
              <w:top w:w="0" w:type="dxa"/>
              <w:left w:w="0" w:type="dxa"/>
              <w:bottom w:w="0" w:type="dxa"/>
              <w:right w:w="0" w:type="dxa"/>
            </w:tcMar>
            <w:vAlign w:val="center"/>
          </w:tcPr>
          <w:p>
            <w:pPr>
              <w:pStyle w:val="Normal"/>
              <w:bidi w:val="0"/>
              <w:jc w:val="left"/>
              <w:rPr/>
            </w:pPr>
            <w:r>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238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96D0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1998" w:type="dxa"/>
            <w:gridSpan w:val="6"/>
            <w:vMerge w:val="continue"/>
            <w:tcBorders/>
            <w:tcMar>
              <w:top w:w="0" w:type="dxa"/>
              <w:left w:w="0" w:type="dxa"/>
              <w:bottom w:w="0" w:type="dxa"/>
              <w:right w:w="0" w:type="dxa"/>
            </w:tcMar>
            <w:vAlign w:val="center"/>
          </w:tcPr>
          <w:p>
            <w:pPr>
              <w:pStyle w:val="Normal"/>
              <w:bidi w:val="0"/>
              <w:jc w:val="left"/>
              <w:rPr/>
            </w:pPr>
            <w:r>
              <w:rPr/>
            </w:r>
          </w:p>
        </w:tc>
        <w:tc>
          <w:tcPr>
            <w:tcW w:w="1951" w:type="dxa"/>
            <w:gridSpan w:val="3"/>
            <w:vMerge w:val="continue"/>
            <w:tcBorders/>
            <w:tcMar>
              <w:top w:w="0" w:type="dxa"/>
              <w:left w:w="0" w:type="dxa"/>
              <w:bottom w:w="0" w:type="dxa"/>
              <w:right w:w="0" w:type="dxa"/>
            </w:tcMar>
            <w:vAlign w:val="center"/>
          </w:tcPr>
          <w:p>
            <w:pPr>
              <w:pStyle w:val="Normal"/>
              <w:bidi w:val="0"/>
              <w:jc w:val="left"/>
              <w:rPr/>
            </w:pPr>
            <w:r>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238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tLeast" w:line="240" w:before="0" w:after="0"/>
              <w:jc w:val="left"/>
              <w:rPr/>
            </w:pPr>
            <w:r>
              <w:rPr>
                <w:rFonts w:ascii="Roboto;sans-serif" w:hAnsi="Roboto;sans-serif"/>
                <w:b/>
                <w:color w:val="01024A"/>
                <w:sz w:val="18"/>
              </w:rPr>
              <w:t>INTEGRITY</w:t>
            </w:r>
            <w:r>
              <w:rPr>
                <w:color w:val="01024A"/>
              </w:rPr>
              <w:t xml:space="preserve"> </w:t>
            </w:r>
            <w:r>
              <w:rPr>
                <w:rFonts w:ascii="Roboto;sans-serif" w:hAnsi="Roboto;sans-serif"/>
                <w:b w:val="false"/>
                <w:color w:val="01024A"/>
                <w:sz w:val="18"/>
              </w:rPr>
              <w:t>always</w:t>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1998" w:type="dxa"/>
            <w:gridSpan w:val="6"/>
            <w:vMerge w:val="continue"/>
            <w:tcBorders/>
            <w:tcMar>
              <w:top w:w="0" w:type="dxa"/>
              <w:left w:w="0" w:type="dxa"/>
              <w:bottom w:w="0" w:type="dxa"/>
              <w:right w:w="0" w:type="dxa"/>
            </w:tcMar>
            <w:vAlign w:val="center"/>
          </w:tcPr>
          <w:p>
            <w:pPr>
              <w:pStyle w:val="Normal"/>
              <w:bidi w:val="0"/>
              <w:jc w:val="left"/>
              <w:rPr/>
            </w:pPr>
            <w:r>
              <w:rPr/>
            </w:r>
          </w:p>
        </w:tc>
        <w:tc>
          <w:tcPr>
            <w:tcW w:w="1951" w:type="dxa"/>
            <w:gridSpan w:val="3"/>
            <w:vMerge w:val="continue"/>
            <w:tcBorders/>
            <w:tcMar>
              <w:top w:w="0" w:type="dxa"/>
              <w:left w:w="0" w:type="dxa"/>
              <w:bottom w:w="0" w:type="dxa"/>
              <w:right w:w="0" w:type="dxa"/>
            </w:tcMar>
            <w:vAlign w:val="center"/>
          </w:tcPr>
          <w:p>
            <w:pPr>
              <w:pStyle w:val="Normal"/>
              <w:bidi w:val="0"/>
              <w:jc w:val="left"/>
              <w:rPr/>
            </w:pPr>
            <w:r>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238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1998" w:type="dxa"/>
            <w:gridSpan w:val="6"/>
            <w:vMerge w:val="continue"/>
            <w:tcBorders/>
            <w:tcMar>
              <w:top w:w="0" w:type="dxa"/>
              <w:left w:w="0" w:type="dxa"/>
              <w:bottom w:w="0" w:type="dxa"/>
              <w:right w:w="0" w:type="dxa"/>
            </w:tcMar>
            <w:vAlign w:val="center"/>
          </w:tcPr>
          <w:p>
            <w:pPr>
              <w:pStyle w:val="Normal"/>
              <w:bidi w:val="0"/>
              <w:jc w:val="left"/>
              <w:rPr/>
            </w:pPr>
            <w:r>
              <w:rPr/>
            </w:r>
          </w:p>
        </w:tc>
        <w:tc>
          <w:tcPr>
            <w:tcW w:w="1951" w:type="dxa"/>
            <w:gridSpan w:val="3"/>
            <w:vMerge w:val="continue"/>
            <w:tcBorders/>
            <w:tcMar>
              <w:top w:w="0" w:type="dxa"/>
              <w:left w:w="0" w:type="dxa"/>
              <w:bottom w:w="0" w:type="dxa"/>
              <w:right w:w="0" w:type="dxa"/>
            </w:tcMar>
            <w:vAlign w:val="center"/>
          </w:tcPr>
          <w:p>
            <w:pPr>
              <w:pStyle w:val="Normal"/>
              <w:bidi w:val="0"/>
              <w:jc w:val="left"/>
              <w:rPr/>
            </w:pPr>
            <w:r>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238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96D0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5270" w:type="dxa"/>
            <w:gridSpan w:val="12"/>
            <w:vMerge w:val="restart"/>
            <w:tcBorders/>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 xml:space="preserve">Figures on this page are as of April 21, 2026, </w:t>
              <w:br/>
              <w:t>unless otherwise indicated.</w:t>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238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tLeast" w:line="240" w:before="0" w:after="0"/>
              <w:jc w:val="left"/>
              <w:rPr/>
            </w:pPr>
            <w:r>
              <w:rPr>
                <w:rFonts w:ascii="Roboto;sans-serif" w:hAnsi="Roboto;sans-serif"/>
                <w:b w:val="false"/>
                <w:color w:val="01024A"/>
                <w:sz w:val="18"/>
              </w:rPr>
              <w:t xml:space="preserve">Positive impact on our </w:t>
            </w:r>
            <w:r>
              <w:rPr>
                <w:rFonts w:ascii="Roboto;sans-serif" w:hAnsi="Roboto;sans-serif"/>
                <w:b/>
                <w:color w:val="01024A"/>
                <w:sz w:val="18"/>
              </w:rPr>
              <w:t>COMMUNITIES</w:t>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5270" w:type="dxa"/>
            <w:gridSpan w:val="12"/>
            <w:vMerge w:val="continue"/>
            <w:tcBorders/>
            <w:tcMar>
              <w:top w:w="0" w:type="dxa"/>
              <w:left w:w="0" w:type="dxa"/>
              <w:bottom w:w="0" w:type="dxa"/>
              <w:right w:w="0" w:type="dxa"/>
            </w:tcMar>
            <w:vAlign w:val="center"/>
          </w:tcPr>
          <w:p>
            <w:pPr>
              <w:pStyle w:val="Normal"/>
              <w:bidi w:val="0"/>
              <w:jc w:val="left"/>
              <w:rPr/>
            </w:pPr>
            <w:r>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238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6"/>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238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873" w:type="dxa"/>
            <w:gridSpan w:val="6"/>
            <w:vMerge w:val="restart"/>
            <w:tcBorders/>
            <w:shd w:fill="E81111" w:val="clear"/>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FFFFFF"/>
                <w:sz w:val="24"/>
              </w:rPr>
            </w:pPr>
            <w:r>
              <w:rPr>
                <w:rFonts w:ascii="Roboto;sans-serif" w:hAnsi="Roboto;sans-serif"/>
                <w:b/>
                <w:color w:val="FFFFFF"/>
                <w:sz w:val="24"/>
              </w:rPr>
              <w:t>OUR NUMBERS</w:t>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6"/>
            <w:vMerge w:val="continue"/>
            <w:tcBorders/>
            <w:tcMar>
              <w:top w:w="0" w:type="dxa"/>
              <w:left w:w="0" w:type="dxa"/>
              <w:bottom w:w="0" w:type="dxa"/>
              <w:right w:w="0" w:type="dxa"/>
            </w:tcMar>
            <w:vAlign w:val="center"/>
          </w:tcPr>
          <w:p>
            <w:pPr>
              <w:pStyle w:val="Normal"/>
              <w:bidi w:val="0"/>
              <w:jc w:val="left"/>
              <w:rPr/>
            </w:pPr>
            <w:r>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vMerge w:val="continue"/>
            <w:tcBorders/>
            <w:tcMar>
              <w:top w:w="0" w:type="dxa"/>
              <w:left w:w="0" w:type="dxa"/>
              <w:bottom w:w="0" w:type="dxa"/>
              <w:right w:w="0" w:type="dxa"/>
            </w:tcMar>
            <w:vAlign w:val="center"/>
          </w:tcPr>
          <w:p>
            <w:pPr>
              <w:pStyle w:val="Normal"/>
              <w:bidi w:val="0"/>
              <w:jc w:val="left"/>
              <w:rPr/>
            </w:pPr>
            <w:r>
              <w:rPr/>
            </w:r>
          </w:p>
        </w:tc>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6"/>
            <w:vMerge w:val="continue"/>
            <w:tcBorders/>
            <w:shd w:fill="E81111" w:val="clear"/>
            <w:tcMar>
              <w:top w:w="0" w:type="dxa"/>
              <w:left w:w="0" w:type="dxa"/>
              <w:bottom w:w="0" w:type="dxa"/>
              <w:right w:w="0" w:type="dxa"/>
            </w:tcMar>
            <w:vAlign w:val="center"/>
          </w:tcPr>
          <w:p>
            <w:pPr>
              <w:pStyle w:val="Normal"/>
              <w:bidi w:val="0"/>
              <w:jc w:val="left"/>
              <w:rPr/>
            </w:pPr>
            <w:r>
              <w:rPr/>
            </w:r>
          </w:p>
        </w:tc>
        <w:tc>
          <w:tcPr>
            <w:tcW w:w="36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1" w:type="dxa"/>
            <w:gridSpan w:val="30"/>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96D0FF"/>
            </w:tcBorders>
            <w:shd w:fill="1946C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1946C8" w:val="clear"/>
            <w:tcMar>
              <w:top w:w="0" w:type="dxa"/>
              <w:left w:w="0" w:type="dxa"/>
              <w:bottom w:w="0" w:type="dxa"/>
              <w:right w:w="0" w:type="dxa"/>
            </w:tcMar>
            <w:vAlign w:val="center"/>
          </w:tcPr>
          <w:p>
            <w:pPr>
              <w:pStyle w:val="TableContents"/>
              <w:bidi w:val="0"/>
              <w:spacing w:lineRule="atLeast" w:line="600" w:before="0" w:after="0"/>
              <w:jc w:val="left"/>
              <w:rPr>
                <w:rFonts w:ascii="Roboto Black;sans-serif" w:hAnsi="Roboto Black;sans-serif"/>
                <w:b/>
                <w:color w:val="FFFFFF"/>
                <w:sz w:val="56"/>
              </w:rPr>
            </w:pPr>
            <w:r>
              <w:rPr>
                <w:rFonts w:ascii="Roboto Black;sans-serif" w:hAnsi="Roboto Black;sans-serif"/>
                <w:b/>
                <w:color w:val="FFFFFF"/>
                <w:sz w:val="56"/>
              </w:rPr>
              <w:t>21</w:t>
            </w:r>
          </w:p>
          <w:p>
            <w:pPr>
              <w:pStyle w:val="TableContents"/>
              <w:bidi w:val="0"/>
              <w:spacing w:lineRule="atLeast" w:line="280" w:before="0" w:after="0"/>
              <w:jc w:val="left"/>
              <w:rPr>
                <w:rFonts w:ascii="Arial;sans-serif" w:hAnsi="Arial;sans-serif"/>
                <w:b w:val="false"/>
                <w:color w:val="96D0FF"/>
                <w:sz w:val="24"/>
              </w:rPr>
            </w:pPr>
            <w:r>
              <w:rPr>
                <w:rFonts w:ascii="Arial;sans-serif" w:hAnsi="Arial;sans-serif"/>
                <w:b w:val="false"/>
                <w:color w:val="96D0FF"/>
                <w:sz w:val="24"/>
              </w:rPr>
              <w:t>States</w:t>
            </w:r>
          </w:p>
        </w:tc>
        <w:tc>
          <w:tcPr>
            <w:tcW w:w="36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96D0FF"/>
            </w:tcBorders>
            <w:shd w:fill="1946C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1946C8" w:val="clear"/>
            <w:tcMar>
              <w:top w:w="0" w:type="dxa"/>
              <w:left w:w="0" w:type="dxa"/>
              <w:bottom w:w="0" w:type="dxa"/>
              <w:right w:w="0" w:type="dxa"/>
            </w:tcMar>
            <w:vAlign w:val="center"/>
          </w:tcPr>
          <w:p>
            <w:pPr>
              <w:pStyle w:val="TableContents"/>
              <w:bidi w:val="0"/>
              <w:spacing w:lineRule="atLeast" w:line="600" w:before="0" w:after="0"/>
              <w:jc w:val="left"/>
              <w:rPr>
                <w:rFonts w:ascii="Roboto Black;sans-serif" w:hAnsi="Roboto Black;sans-serif"/>
                <w:b/>
                <w:color w:val="FFFFFF"/>
                <w:sz w:val="56"/>
              </w:rPr>
            </w:pPr>
            <w:r>
              <w:rPr>
                <w:rFonts w:ascii="Roboto Black;sans-serif" w:hAnsi="Roboto Black;sans-serif"/>
                <w:b/>
                <w:color w:val="FFFFFF"/>
                <w:sz w:val="56"/>
              </w:rPr>
              <w:t>3</w:t>
            </w:r>
          </w:p>
          <w:p>
            <w:pPr>
              <w:pStyle w:val="TableContents"/>
              <w:bidi w:val="0"/>
              <w:spacing w:lineRule="atLeast" w:line="280" w:before="0" w:after="0"/>
              <w:jc w:val="left"/>
              <w:rPr>
                <w:rFonts w:ascii="Arial;sans-serif" w:hAnsi="Arial;sans-serif"/>
                <w:b w:val="false"/>
                <w:color w:val="96D0FF"/>
                <w:sz w:val="24"/>
              </w:rPr>
            </w:pPr>
            <w:r>
              <w:rPr>
                <w:rFonts w:ascii="Arial;sans-serif" w:hAnsi="Arial;sans-serif"/>
                <w:b w:val="false"/>
                <w:color w:val="96D0FF"/>
                <w:sz w:val="24"/>
              </w:rPr>
              <w:t>Distribution Centers</w:t>
            </w:r>
          </w:p>
        </w:tc>
        <w:tc>
          <w:tcPr>
            <w:tcW w:w="99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left w:val="single" w:sz="8" w:space="0" w:color="96D0FF"/>
            </w:tcBorders>
            <w:shd w:fill="1946C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shd w:fill="1946C8" w:val="clear"/>
            <w:tcMar>
              <w:top w:w="0" w:type="dxa"/>
              <w:left w:w="0" w:type="dxa"/>
              <w:bottom w:w="0" w:type="dxa"/>
              <w:right w:w="0" w:type="dxa"/>
            </w:tcMar>
            <w:vAlign w:val="center"/>
          </w:tcPr>
          <w:p>
            <w:pPr>
              <w:pStyle w:val="TableContents"/>
              <w:bidi w:val="0"/>
              <w:spacing w:lineRule="atLeast" w:line="600" w:before="0" w:after="0"/>
              <w:jc w:val="left"/>
              <w:rPr>
                <w:rFonts w:ascii="Roboto Black;sans-serif" w:hAnsi="Roboto Black;sans-serif"/>
                <w:b/>
                <w:color w:val="FFFFFF"/>
                <w:sz w:val="56"/>
              </w:rPr>
            </w:pPr>
            <w:r>
              <w:rPr>
                <w:rFonts w:ascii="Roboto Black;sans-serif" w:hAnsi="Roboto Black;sans-serif"/>
                <w:b/>
                <w:color w:val="FFFFFF"/>
                <w:sz w:val="56"/>
              </w:rPr>
              <w:t>324</w:t>
            </w:r>
          </w:p>
          <w:p>
            <w:pPr>
              <w:pStyle w:val="TableContents"/>
              <w:bidi w:val="0"/>
              <w:spacing w:lineRule="atLeast" w:line="280" w:before="0" w:after="0"/>
              <w:jc w:val="left"/>
              <w:rPr>
                <w:rFonts w:ascii="Arial;sans-serif" w:hAnsi="Arial;sans-serif"/>
                <w:b w:val="false"/>
                <w:color w:val="96D0FF"/>
                <w:sz w:val="24"/>
              </w:rPr>
            </w:pPr>
            <w:r>
              <w:rPr>
                <w:rFonts w:ascii="Arial;sans-serif" w:hAnsi="Arial;sans-serif"/>
                <w:b w:val="false"/>
                <w:color w:val="96D0FF"/>
                <w:sz w:val="24"/>
              </w:rPr>
              <w:t>Stores</w:t>
            </w:r>
          </w:p>
        </w:tc>
        <w:tc>
          <w:tcPr>
            <w:tcW w:w="36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96D0FF"/>
            </w:tcBorders>
            <w:shd w:fill="1946C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shd w:fill="1946C8" w:val="clear"/>
            <w:tcMar>
              <w:top w:w="0" w:type="dxa"/>
              <w:left w:w="0" w:type="dxa"/>
              <w:bottom w:w="0" w:type="dxa"/>
              <w:right w:w="0" w:type="dxa"/>
            </w:tcMar>
            <w:vAlign w:val="center"/>
          </w:tcPr>
          <w:p>
            <w:pPr>
              <w:pStyle w:val="TableContents"/>
              <w:bidi w:val="0"/>
              <w:spacing w:lineRule="atLeast" w:line="600" w:before="0" w:after="0"/>
              <w:jc w:val="left"/>
              <w:rPr>
                <w:rFonts w:ascii="Roboto Black;sans-serif" w:hAnsi="Roboto Black;sans-serif"/>
                <w:b/>
                <w:color w:val="FFFFFF"/>
                <w:sz w:val="56"/>
              </w:rPr>
            </w:pPr>
            <w:r>
              <w:rPr>
                <w:rFonts w:ascii="Roboto Black;sans-serif" w:hAnsi="Roboto Black;sans-serif"/>
                <w:b/>
                <w:color w:val="FFFFFF"/>
                <w:sz w:val="56"/>
              </w:rPr>
              <w:t>22,000+</w:t>
            </w:r>
          </w:p>
          <w:p>
            <w:pPr>
              <w:pStyle w:val="TableContents"/>
              <w:bidi w:val="0"/>
              <w:spacing w:lineRule="atLeast" w:line="280" w:before="0" w:after="0"/>
              <w:jc w:val="left"/>
              <w:rPr>
                <w:rFonts w:ascii="Arial;sans-serif" w:hAnsi="Arial;sans-serif"/>
                <w:b w:val="false"/>
                <w:color w:val="96D0FF"/>
                <w:sz w:val="24"/>
              </w:rPr>
            </w:pPr>
            <w:r>
              <w:rPr>
                <w:rFonts w:ascii="Arial;sans-serif" w:hAnsi="Arial;sans-serif"/>
                <w:b w:val="false"/>
                <w:color w:val="96D0FF"/>
                <w:sz w:val="24"/>
              </w:rPr>
              <w:t>Team Members</w:t>
            </w:r>
          </w:p>
        </w:tc>
        <w:tc>
          <w:tcPr>
            <w:tcW w:w="37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96D0FF"/>
            </w:tcBorders>
            <w:shd w:fill="1946C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96D0FF"/>
            </w:tcBorders>
            <w:shd w:fill="1946C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left w:val="single" w:sz="8" w:space="0" w:color="96D0FF"/>
            </w:tcBorders>
            <w:shd w:fill="1946C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96D0FF"/>
            </w:tcBorders>
            <w:shd w:fill="1946C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628650"/>
                <wp:effectExtent l="0" t="0" r="0" b="0"/>
                <wp:wrapNone/>
                <wp:docPr id="8" name="Frame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drawing>
          <wp:inline distT="0" distB="0" distL="0" distR="0">
            <wp:extent cx="7543800" cy="982027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7543800" cy="9820275"/>
                    </a:xfrm>
                    <a:prstGeom prst="rect">
                      <a:avLst/>
                    </a:prstGeom>
                  </pic:spPr>
                </pic:pic>
              </a:graphicData>
            </a:graphic>
          </wp:inline>
        </w:drawing>
      </w:r>
      <w:bookmarkStart w:id="5" w:name="i-6"/>
      <w:bookmarkEnd w:id="5"/>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628650"/>
                <wp:effectExtent l="0" t="0" r="0" b="0"/>
                <wp:wrapNone/>
                <wp:docPr id="10" name="Frame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tbl>
      <w:tblPr>
        <w:tblW w:w="5828" w:type="dxa"/>
        <w:jc w:val="left"/>
        <w:tblInd w:w="0" w:type="dxa"/>
        <w:tblLayout w:type="fixed"/>
        <w:tblCellMar>
          <w:top w:w="28" w:type="dxa"/>
          <w:left w:w="28" w:type="dxa"/>
          <w:bottom w:w="28" w:type="dxa"/>
          <w:right w:w="28" w:type="dxa"/>
        </w:tblCellMar>
      </w:tblPr>
      <w:tblGrid>
        <w:gridCol w:w="1858"/>
        <w:gridCol w:w="1630"/>
        <w:gridCol w:w="1641"/>
        <w:gridCol w:w="109"/>
        <w:gridCol w:w="109"/>
        <w:gridCol w:w="109"/>
        <w:gridCol w:w="109"/>
        <w:gridCol w:w="109"/>
        <w:gridCol w:w="154"/>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i</w:t>
            </w:r>
          </w:p>
        </w:tc>
      </w:tr>
    </w:tbl>
    <w:p>
      <w:pPr>
        <w:pStyle w:val="TextBody"/>
        <w:bidi w:val="0"/>
        <w:spacing w:lineRule="auto" w:line="312" w:before="0" w:after="480"/>
        <w:jc w:val="left"/>
        <w:rPr>
          <w:rFonts w:ascii="Roboto;sans-serif" w:hAnsi="Roboto;sans-serif"/>
          <w:b/>
          <w:color w:val="1946C8"/>
          <w:sz w:val="54"/>
        </w:rPr>
      </w:pPr>
      <w:r>
        <w:rPr>
          <w:rFonts w:ascii="Roboto;sans-serif" w:hAnsi="Roboto;sans-serif"/>
          <w:b/>
          <w:color w:val="1946C8"/>
          <w:sz w:val="54"/>
        </w:rPr>
        <w:t>Notice of Annual Meeting of Stockholders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68"/>
        <w:gridCol w:w="168"/>
        <w:gridCol w:w="170"/>
        <w:gridCol w:w="109"/>
        <w:gridCol w:w="109"/>
        <w:gridCol w:w="109"/>
        <w:gridCol w:w="768"/>
        <w:gridCol w:w="508"/>
        <w:gridCol w:w="510"/>
        <w:gridCol w:w="109"/>
        <w:gridCol w:w="109"/>
        <w:gridCol w:w="109"/>
        <w:gridCol w:w="109"/>
        <w:gridCol w:w="109"/>
        <w:gridCol w:w="109"/>
        <w:gridCol w:w="109"/>
        <w:gridCol w:w="109"/>
        <w:gridCol w:w="109"/>
        <w:gridCol w:w="168"/>
        <w:gridCol w:w="168"/>
        <w:gridCol w:w="170"/>
        <w:gridCol w:w="109"/>
        <w:gridCol w:w="109"/>
        <w:gridCol w:w="109"/>
        <w:gridCol w:w="1683"/>
        <w:gridCol w:w="1683"/>
        <w:gridCol w:w="1688"/>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ECF8F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66700" cy="266700"/>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266700" cy="266700"/>
                          </a:xfrm>
                          <a:prstGeom prst="rect">
                            <a:avLst/>
                          </a:prstGeom>
                        </pic:spPr>
                      </pic:pic>
                    </a:graphicData>
                  </a:graphic>
                </wp:inline>
              </w:drawing>
            </w:r>
            <w:bookmarkStart w:id="6" w:name="i-7"/>
            <w:bookmarkEnd w:id="6"/>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E81111"/>
                <w:sz w:val="18"/>
              </w:rPr>
            </w:pPr>
            <w:r>
              <w:rPr>
                <w:rFonts w:ascii="Roboto;sans-serif" w:hAnsi="Roboto;sans-serif"/>
                <w:b/>
                <w:color w:val="E81111"/>
                <w:sz w:val="18"/>
              </w:rPr>
              <w:t>Date and Time</w:t>
            </w:r>
          </w:p>
          <w:p>
            <w:pPr>
              <w:pStyle w:val="TableContents"/>
              <w:bidi w:val="0"/>
              <w:spacing w:lineRule="atLeast" w:line="240" w:before="0" w:after="0"/>
              <w:jc w:val="left"/>
              <w:rPr>
                <w:rFonts w:ascii="Roboto Light;sans-serif" w:hAnsi="Roboto Light;sans-serif"/>
                <w:b w:val="false"/>
                <w:color w:val="000000"/>
                <w:sz w:val="16"/>
              </w:rPr>
            </w:pPr>
            <w:r>
              <w:rPr>
                <w:rFonts w:ascii="Roboto Light;sans-serif" w:hAnsi="Roboto Light;sans-serif"/>
                <w:b w:val="false"/>
                <w:color w:val="000000"/>
                <w:sz w:val="16"/>
              </w:rPr>
              <w:t>8:00 a.m. Central Time, on Thursday, June 4, 2026</w:t>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ECF8F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66700" cy="266700"/>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266700" cy="266700"/>
                          </a:xfrm>
                          <a:prstGeom prst="rect">
                            <a:avLst/>
                          </a:prstGeom>
                        </pic:spPr>
                      </pic:pic>
                    </a:graphicData>
                  </a:graphic>
                </wp:inline>
              </w:drawing>
            </w:r>
            <w:bookmarkStart w:id="7" w:name="i-8"/>
            <w:bookmarkEnd w:id="7"/>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ECF8FE"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E81111"/>
                <w:sz w:val="18"/>
              </w:rPr>
            </w:pPr>
            <w:r>
              <w:rPr>
                <w:rFonts w:ascii="Roboto;sans-serif" w:hAnsi="Roboto;sans-serif"/>
                <w:b/>
                <w:color w:val="E81111"/>
                <w:sz w:val="18"/>
              </w:rPr>
              <w:t>Record Date</w:t>
            </w:r>
          </w:p>
          <w:p>
            <w:pPr>
              <w:pStyle w:val="TableContents"/>
              <w:bidi w:val="0"/>
              <w:spacing w:lineRule="auto" w:line="288" w:before="0" w:after="0"/>
              <w:jc w:val="left"/>
              <w:rPr>
                <w:rFonts w:ascii="Roboto Light;sans-serif" w:hAnsi="Roboto Light;sans-serif"/>
                <w:b w:val="false"/>
                <w:color w:val="000000"/>
                <w:sz w:val="16"/>
              </w:rPr>
            </w:pPr>
            <w:r>
              <w:rPr>
                <w:rFonts w:ascii="Roboto Light;sans-serif" w:hAnsi="Roboto Light;sans-serif"/>
                <w:b w:val="false"/>
                <w:color w:val="000000"/>
                <w:sz w:val="16"/>
              </w:rPr>
              <w:t>You may vote at the Annual Meeting if you were a stockholder of record at the close of business on April 9, 2026.</w:t>
            </w:r>
          </w:p>
        </w:tc>
        <w:tc>
          <w:tcPr>
            <w:tcW w:w="37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ECF8F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66700" cy="266700"/>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266700" cy="266700"/>
                          </a:xfrm>
                          <a:prstGeom prst="rect">
                            <a:avLst/>
                          </a:prstGeom>
                        </pic:spPr>
                      </pic:pic>
                    </a:graphicData>
                  </a:graphic>
                </wp:inline>
              </w:drawing>
            </w:r>
            <w:bookmarkStart w:id="8" w:name="i-9"/>
            <w:bookmarkEnd w:id="8"/>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ECF8FE"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E81111"/>
                <w:sz w:val="18"/>
              </w:rPr>
            </w:pPr>
            <w:r>
              <w:rPr>
                <w:rFonts w:ascii="Roboto;sans-serif" w:hAnsi="Roboto;sans-serif"/>
                <w:b/>
                <w:color w:val="E81111"/>
                <w:sz w:val="18"/>
              </w:rPr>
              <w:t>Place</w:t>
            </w:r>
          </w:p>
          <w:p>
            <w:pPr>
              <w:pStyle w:val="TableContents"/>
              <w:bidi w:val="0"/>
              <w:spacing w:lineRule="auto" w:line="288" w:before="0" w:after="0"/>
              <w:jc w:val="left"/>
              <w:rPr>
                <w:rFonts w:ascii="Roboto;sans-serif" w:hAnsi="Roboto;sans-serif"/>
                <w:b/>
                <w:color w:val="01024A"/>
                <w:sz w:val="16"/>
              </w:rPr>
            </w:pPr>
            <w:r>
              <w:rPr>
                <w:rFonts w:ascii="Roboto;sans-serif" w:hAnsi="Roboto;sans-serif"/>
                <w:b/>
                <w:color w:val="01024A"/>
                <w:sz w:val="16"/>
              </w:rPr>
              <w:t>Academy Sports and Outdoors, Inc.</w:t>
            </w:r>
          </w:p>
          <w:p>
            <w:pPr>
              <w:pStyle w:val="TableContents"/>
              <w:bidi w:val="0"/>
              <w:spacing w:lineRule="auto" w:line="288" w:before="0" w:after="0"/>
              <w:jc w:val="left"/>
              <w:rPr>
                <w:rFonts w:ascii="Roboto Light;sans-serif" w:hAnsi="Roboto Light;sans-serif"/>
                <w:b w:val="false"/>
                <w:color w:val="000000"/>
                <w:sz w:val="16"/>
              </w:rPr>
            </w:pPr>
            <w:r>
              <w:rPr>
                <w:rFonts w:ascii="Roboto Light;sans-serif" w:hAnsi="Roboto Light;sans-serif"/>
                <w:b w:val="false"/>
                <w:color w:val="000000"/>
                <w:sz w:val="16"/>
              </w:rPr>
              <w:t xml:space="preserve">Corporate Headquarters </w:t>
            </w:r>
          </w:p>
          <w:p>
            <w:pPr>
              <w:pStyle w:val="TableContents"/>
              <w:bidi w:val="0"/>
              <w:spacing w:lineRule="auto" w:line="288" w:before="0" w:after="0"/>
              <w:jc w:val="left"/>
              <w:rPr>
                <w:rFonts w:ascii="Roboto Light;sans-serif" w:hAnsi="Roboto Light;sans-serif"/>
                <w:b w:val="false"/>
                <w:color w:val="000000"/>
                <w:sz w:val="16"/>
              </w:rPr>
            </w:pPr>
            <w:r>
              <w:rPr>
                <w:rFonts w:ascii="Roboto Light;sans-serif" w:hAnsi="Roboto Light;sans-serif"/>
                <w:b w:val="false"/>
                <w:color w:val="000000"/>
                <w:sz w:val="16"/>
              </w:rPr>
              <w:t>Ken C. Hicks Stadium</w:t>
            </w:r>
          </w:p>
          <w:p>
            <w:pPr>
              <w:pStyle w:val="TableContents"/>
              <w:bidi w:val="0"/>
              <w:spacing w:lineRule="auto" w:line="288" w:before="0" w:after="0"/>
              <w:jc w:val="left"/>
              <w:rPr>
                <w:rFonts w:ascii="Roboto Light;sans-serif" w:hAnsi="Roboto Light;sans-serif"/>
                <w:b w:val="false"/>
                <w:color w:val="000000"/>
                <w:sz w:val="16"/>
              </w:rPr>
            </w:pPr>
            <w:r>
              <w:rPr>
                <w:rFonts w:ascii="Roboto Light;sans-serif" w:hAnsi="Roboto Light;sans-serif"/>
                <w:b w:val="false"/>
                <w:color w:val="000000"/>
                <w:sz w:val="16"/>
              </w:rPr>
              <w:t>1540 North Mason Road, Katy, Texas 77449</w:t>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ECF8F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66700" cy="26670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266700" cy="266700"/>
                          </a:xfrm>
                          <a:prstGeom prst="rect">
                            <a:avLst/>
                          </a:prstGeom>
                        </pic:spPr>
                      </pic:pic>
                    </a:graphicData>
                  </a:graphic>
                </wp:inline>
              </w:drawing>
            </w:r>
            <w:bookmarkStart w:id="9" w:name="i-10"/>
            <w:bookmarkEnd w:id="9"/>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E81111"/>
                <w:sz w:val="18"/>
              </w:rPr>
            </w:pPr>
            <w:r>
              <w:rPr>
                <w:rFonts w:ascii="Roboto;sans-serif" w:hAnsi="Roboto;sans-serif"/>
                <w:b/>
                <w:color w:val="E81111"/>
                <w:sz w:val="18"/>
              </w:rPr>
              <w:t>Voting by Proxy</w:t>
            </w:r>
          </w:p>
          <w:p>
            <w:pPr>
              <w:pStyle w:val="TableContents"/>
              <w:bidi w:val="0"/>
              <w:spacing w:lineRule="auto" w:line="288" w:before="0" w:after="0"/>
              <w:jc w:val="left"/>
              <w:rPr>
                <w:rFonts w:ascii="Roboto Light;sans-serif" w:hAnsi="Roboto Light;sans-serif"/>
                <w:b w:val="false"/>
                <w:color w:val="000000"/>
                <w:sz w:val="16"/>
              </w:rPr>
            </w:pPr>
            <w:r>
              <w:rPr>
                <w:rFonts w:ascii="Roboto Light;sans-serif" w:hAnsi="Roboto Light;sans-serif"/>
                <w:b w:val="false"/>
                <w:color w:val="000000"/>
                <w:sz w:val="16"/>
              </w:rPr>
              <w:t>To ensure your shares are voted, you may vote your shares via the Internet, by telephone, or by completing, signing, and mailing the enclosed proxy card or voting instruction form. Voting methods are described on the following page and on the proxy card or voting instruction form.</w:t>
            </w:r>
          </w:p>
        </w:tc>
        <w:tc>
          <w:tcPr>
            <w:tcW w:w="37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left"/>
        <w:rPr>
          <w:rFonts w:ascii="Roboto;sans-serif" w:hAnsi="Roboto;sans-serif"/>
          <w:b/>
          <w:color w:val="1946C8"/>
          <w:sz w:val="24"/>
        </w:rPr>
      </w:pPr>
      <w:r>
        <w:rPr>
          <w:rFonts w:ascii="Roboto;sans-serif" w:hAnsi="Roboto;sans-serif"/>
          <w:b/>
          <w:color w:val="1946C8"/>
          <w:sz w:val="24"/>
        </w:rPr>
        <w:t>Items of Business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9"/>
        <w:gridCol w:w="2876"/>
        <w:gridCol w:w="40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40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946C8"/>
            </w:tcBorders>
            <w:shd w:fill="1946C8" w:val="clear"/>
            <w:tcMar>
              <w:top w:w="30" w:type="dxa"/>
              <w:left w:w="0" w:type="dxa"/>
              <w:bottom w:w="0" w:type="dxa"/>
              <w:right w:w="0" w:type="dxa"/>
            </w:tcMar>
            <w:vAlign w:val="center"/>
          </w:tcPr>
          <w:p>
            <w:pPr>
              <w:pStyle w:val="TableContents"/>
              <w:bidi w:val="0"/>
              <w:spacing w:lineRule="auto" w:line="312" w:before="0" w:after="283"/>
              <w:jc w:val="center"/>
              <w:rPr>
                <w:rFonts w:ascii="Roboto;sans-serif" w:hAnsi="Roboto;sans-serif"/>
                <w:b/>
                <w:color w:val="F2F8FD"/>
                <w:sz w:val="24"/>
              </w:rPr>
            </w:pPr>
            <w:r>
              <w:rPr>
                <w:rFonts w:ascii="Roboto;sans-serif" w:hAnsi="Roboto;sans-serif"/>
                <w:b/>
                <w:color w:val="F2F8FD"/>
                <w:sz w:val="24"/>
              </w:rPr>
              <w:t>1</w:t>
            </w:r>
          </w:p>
        </w:tc>
        <w:tc>
          <w:tcPr>
            <w:tcW w:w="9863" w:type="dxa"/>
            <w:gridSpan w:val="3"/>
            <w:tcBorders>
              <w:top w:val="single" w:sz="8" w:space="0" w:color="1946C8"/>
            </w:tcBorders>
            <w:shd w:fill="FFFFFF" w:val="clear"/>
            <w:tcMar>
              <w:top w:w="30" w:type="dxa"/>
              <w:left w:w="0" w:type="dxa"/>
              <w:bottom w:w="0" w:type="dxa"/>
              <w:right w:w="0" w:type="dxa"/>
            </w:tcMar>
            <w:vAlign w:val="center"/>
          </w:tcPr>
          <w:p>
            <w:pPr>
              <w:pStyle w:val="TableContents"/>
              <w:bidi w:val="0"/>
              <w:spacing w:lineRule="atLeast" w:line="220" w:before="0" w:after="0"/>
              <w:jc w:val="left"/>
              <w:rPr>
                <w:rFonts w:ascii="Roboto Light;sans-serif" w:hAnsi="Roboto Light;sans-serif"/>
                <w:b w:val="false"/>
                <w:color w:val="000000"/>
                <w:sz w:val="16"/>
              </w:rPr>
            </w:pPr>
            <w:r>
              <w:rPr>
                <w:rFonts w:ascii="Roboto Light;sans-serif" w:hAnsi="Roboto Light;sans-serif"/>
                <w:b w:val="false"/>
                <w:color w:val="000000"/>
                <w:sz w:val="16"/>
              </w:rPr>
              <w:t>Election of the three Class III director nominees named in this Proxy Statement for a two-year term expiring at the 2028 Annual Meeting of Stockholders.</w:t>
            </w:r>
          </w:p>
        </w:tc>
      </w:tr>
      <w:tr>
        <w:trPr/>
        <w:tc>
          <w:tcPr>
            <w:tcW w:w="342" w:type="dxa"/>
            <w:gridSpan w:val="3"/>
            <w:tcBorders>
              <w:top w:val="single" w:sz="4" w:space="0" w:color="FFFFFF"/>
            </w:tcBorders>
            <w:shd w:fill="1946C8" w:val="clear"/>
            <w:tcMar>
              <w:top w:w="30" w:type="dxa"/>
              <w:left w:w="0" w:type="dxa"/>
              <w:bottom w:w="0" w:type="dxa"/>
              <w:right w:w="0" w:type="dxa"/>
            </w:tcMar>
            <w:vAlign w:val="center"/>
          </w:tcPr>
          <w:p>
            <w:pPr>
              <w:pStyle w:val="TableContents"/>
              <w:bidi w:val="0"/>
              <w:spacing w:lineRule="auto" w:line="312" w:before="0" w:after="283"/>
              <w:jc w:val="center"/>
              <w:rPr>
                <w:rFonts w:ascii="Roboto;sans-serif" w:hAnsi="Roboto;sans-serif"/>
                <w:b/>
                <w:color w:val="F2F8FD"/>
                <w:sz w:val="24"/>
              </w:rPr>
            </w:pPr>
            <w:r>
              <w:rPr>
                <w:rFonts w:ascii="Roboto;sans-serif" w:hAnsi="Roboto;sans-serif"/>
                <w:b/>
                <w:color w:val="F2F8FD"/>
                <w:sz w:val="24"/>
              </w:rPr>
              <w:t>2</w:t>
            </w:r>
          </w:p>
        </w:tc>
        <w:tc>
          <w:tcPr>
            <w:tcW w:w="9863" w:type="dxa"/>
            <w:gridSpan w:val="3"/>
            <w:tcBorders>
              <w:top w:val="single" w:sz="4" w:space="0" w:color="96D0FF"/>
            </w:tcBorders>
            <w:shd w:fill="FFFFFF" w:val="clear"/>
            <w:tcMar>
              <w:top w:w="30" w:type="dxa"/>
              <w:left w:w="0" w:type="dxa"/>
              <w:bottom w:w="0" w:type="dxa"/>
              <w:right w:w="0" w:type="dxa"/>
            </w:tcMar>
            <w:vAlign w:val="center"/>
          </w:tcPr>
          <w:p>
            <w:pPr>
              <w:pStyle w:val="TableContents"/>
              <w:bidi w:val="0"/>
              <w:spacing w:lineRule="atLeast" w:line="220" w:before="0" w:after="0"/>
              <w:jc w:val="left"/>
              <w:rPr>
                <w:rFonts w:ascii="Roboto Light;sans-serif" w:hAnsi="Roboto Light;sans-serif"/>
                <w:b w:val="false"/>
                <w:color w:val="000000"/>
                <w:sz w:val="16"/>
              </w:rPr>
            </w:pPr>
            <w:r>
              <w:rPr>
                <w:rFonts w:ascii="Roboto Light;sans-serif" w:hAnsi="Roboto Light;sans-serif"/>
                <w:b w:val="false"/>
                <w:color w:val="000000"/>
                <w:sz w:val="16"/>
              </w:rPr>
              <w:t>Ratification of the appointment of Deloitte &amp; Touche LLP as the Company’s independent registered public accounting firm for fiscal 2026.</w:t>
            </w:r>
          </w:p>
        </w:tc>
      </w:tr>
      <w:tr>
        <w:trPr/>
        <w:tc>
          <w:tcPr>
            <w:tcW w:w="342" w:type="dxa"/>
            <w:gridSpan w:val="3"/>
            <w:tcBorders>
              <w:top w:val="single" w:sz="4" w:space="0" w:color="FFFFFF"/>
            </w:tcBorders>
            <w:shd w:fill="1946C8" w:val="clear"/>
            <w:tcMar>
              <w:top w:w="30" w:type="dxa"/>
              <w:left w:w="0" w:type="dxa"/>
              <w:bottom w:w="0" w:type="dxa"/>
              <w:right w:w="0" w:type="dxa"/>
            </w:tcMar>
            <w:vAlign w:val="center"/>
          </w:tcPr>
          <w:p>
            <w:pPr>
              <w:pStyle w:val="TableContents"/>
              <w:bidi w:val="0"/>
              <w:spacing w:lineRule="auto" w:line="312" w:before="0" w:after="283"/>
              <w:jc w:val="center"/>
              <w:rPr>
                <w:rFonts w:ascii="Roboto;sans-serif" w:hAnsi="Roboto;sans-serif"/>
                <w:b/>
                <w:color w:val="F2F8FD"/>
                <w:sz w:val="24"/>
              </w:rPr>
            </w:pPr>
            <w:r>
              <w:rPr>
                <w:rFonts w:ascii="Roboto;sans-serif" w:hAnsi="Roboto;sans-serif"/>
                <w:b/>
                <w:color w:val="F2F8FD"/>
                <w:sz w:val="24"/>
              </w:rPr>
              <w:t>3</w:t>
            </w:r>
          </w:p>
        </w:tc>
        <w:tc>
          <w:tcPr>
            <w:tcW w:w="9863" w:type="dxa"/>
            <w:gridSpan w:val="3"/>
            <w:tcBorders>
              <w:top w:val="single" w:sz="4" w:space="0" w:color="96D0FF"/>
            </w:tcBorders>
            <w:shd w:fill="FFFFFF" w:val="clear"/>
            <w:tcMar>
              <w:top w:w="30" w:type="dxa"/>
              <w:left w:w="0" w:type="dxa"/>
              <w:bottom w:w="0" w:type="dxa"/>
              <w:right w:w="0" w:type="dxa"/>
            </w:tcMar>
            <w:vAlign w:val="center"/>
          </w:tcPr>
          <w:p>
            <w:pPr>
              <w:pStyle w:val="TableContents"/>
              <w:bidi w:val="0"/>
              <w:spacing w:lineRule="atLeast" w:line="200" w:before="0" w:after="0"/>
              <w:jc w:val="left"/>
              <w:rPr>
                <w:rFonts w:ascii="Roboto Light;sans-serif" w:hAnsi="Roboto Light;sans-serif"/>
                <w:b w:val="false"/>
                <w:color w:val="000000"/>
                <w:sz w:val="16"/>
              </w:rPr>
            </w:pPr>
            <w:r>
              <w:rPr>
                <w:rFonts w:ascii="Roboto Light;sans-serif" w:hAnsi="Roboto Light;sans-serif"/>
                <w:b w:val="false"/>
                <w:color w:val="000000"/>
                <w:sz w:val="16"/>
              </w:rPr>
              <w:t>Approval, on a non-binding advisory basis, of the fiscal 2025 compensation paid to the Company’s named executive officers.</w:t>
            </w:r>
          </w:p>
        </w:tc>
      </w:tr>
      <w:tr>
        <w:trPr/>
        <w:tc>
          <w:tcPr>
            <w:tcW w:w="342" w:type="dxa"/>
            <w:gridSpan w:val="3"/>
            <w:tcBorders>
              <w:top w:val="single" w:sz="4" w:space="0" w:color="FFFFFF"/>
              <w:bottom w:val="single" w:sz="8" w:space="0" w:color="1946C8"/>
            </w:tcBorders>
            <w:shd w:fill="1946C8" w:val="clear"/>
            <w:tcMar>
              <w:top w:w="30" w:type="dxa"/>
              <w:left w:w="0" w:type="dxa"/>
              <w:bottom w:w="30" w:type="dxa"/>
              <w:right w:w="0" w:type="dxa"/>
            </w:tcMar>
            <w:vAlign w:val="center"/>
          </w:tcPr>
          <w:p>
            <w:pPr>
              <w:pStyle w:val="TableContents"/>
              <w:bidi w:val="0"/>
              <w:spacing w:lineRule="auto" w:line="312" w:before="0" w:after="0"/>
              <w:jc w:val="center"/>
              <w:rPr>
                <w:rFonts w:ascii="Roboto;sans-serif" w:hAnsi="Roboto;sans-serif"/>
                <w:b/>
                <w:color w:val="F2F8FD"/>
                <w:sz w:val="24"/>
              </w:rPr>
            </w:pPr>
            <w:r>
              <w:rPr>
                <w:rFonts w:ascii="Roboto;sans-serif" w:hAnsi="Roboto;sans-serif"/>
                <w:b/>
                <w:color w:val="F2F8FD"/>
                <w:sz w:val="24"/>
              </w:rPr>
              <w:t>4</w:t>
            </w:r>
          </w:p>
        </w:tc>
        <w:tc>
          <w:tcPr>
            <w:tcW w:w="9863" w:type="dxa"/>
            <w:gridSpan w:val="3"/>
            <w:tcBorders>
              <w:top w:val="single" w:sz="4" w:space="0" w:color="96D0FF"/>
              <w:bottom w:val="single" w:sz="8" w:space="0" w:color="1946C8"/>
            </w:tcBorders>
            <w:tcMar>
              <w:top w:w="30" w:type="dxa"/>
              <w:left w:w="0" w:type="dxa"/>
              <w:bottom w:w="30" w:type="dxa"/>
              <w:right w:w="0" w:type="dxa"/>
            </w:tcMar>
            <w:vAlign w:val="center"/>
          </w:tcPr>
          <w:p>
            <w:pPr>
              <w:pStyle w:val="TableContents"/>
              <w:bidi w:val="0"/>
              <w:spacing w:lineRule="atLeast" w:line="200" w:before="0" w:after="0"/>
              <w:jc w:val="left"/>
              <w:rPr>
                <w:rFonts w:ascii="Roboto Light;sans-serif" w:hAnsi="Roboto Light;sans-serif"/>
                <w:b w:val="false"/>
                <w:color w:val="000000"/>
                <w:sz w:val="16"/>
              </w:rPr>
            </w:pPr>
            <w:r>
              <w:rPr>
                <w:rFonts w:ascii="Roboto Light;sans-serif" w:hAnsi="Roboto Light;sans-serif"/>
                <w:b w:val="false"/>
                <w:color w:val="000000"/>
                <w:sz w:val="16"/>
              </w:rPr>
              <w:t>To consider such other business as may properly come before the Annual Meeting and any adjournment or postponement thereof.</w:t>
            </w:r>
          </w:p>
        </w:tc>
      </w:tr>
    </w:tbl>
    <w:p>
      <w:pPr>
        <w:pStyle w:val="TextBody"/>
        <w:bidi w:val="0"/>
        <w:spacing w:lineRule="atLeast" w:line="240" w:before="0" w:after="180"/>
        <w:jc w:val="left"/>
        <w:rPr>
          <w:rFonts w:ascii="Roboto Light;sans-serif" w:hAnsi="Roboto Light;sans-serif"/>
          <w:b w:val="false"/>
          <w:color w:val="000000"/>
          <w:sz w:val="18"/>
        </w:rPr>
      </w:pPr>
      <w:r>
        <w:rPr>
          <w:rFonts w:ascii="Roboto Light;sans-serif" w:hAnsi="Roboto Light;sans-serif"/>
          <w:b w:val="false"/>
          <w:color w:val="000000"/>
          <w:sz w:val="18"/>
        </w:rPr>
        <w:t>In order to conserve natural resources and reduce the cost of printing and distributing the proxy materials, while providing our stockholders with access to the proxy materials in a fast and efficient manner, we are pleased to be able to take advantage of the SEC rule allowing companies to use a “Notice and Access” model to provide their stockholders with access to proxy materials via the Internet. On or about April 21, 2026, we began mailing Notice of Internet Availability of Proxy Materials (the “Notice of Internet Availability”) to our stockholders informing them that our Notice of Annual Meeting of Stockholders and Annual Report, proxy statement, and voting instructions are available on the Internet at www.proxyvote.com. As more fully described in the Notice of Internet Availability, all stockholders may choose to access our materials at www.proxyvote.com or may request to receive paper copies of the proxy materials.</w:t>
      </w:r>
    </w:p>
    <w:p>
      <w:pPr>
        <w:pStyle w:val="TextBody"/>
        <w:bidi w:val="0"/>
        <w:spacing w:lineRule="atLeast" w:line="240" w:before="120" w:after="283"/>
        <w:jc w:val="left"/>
        <w:rPr>
          <w:rFonts w:ascii="Roboto Light;sans-serif" w:hAnsi="Roboto Light;sans-serif"/>
          <w:b/>
          <w:color w:val="000000"/>
          <w:sz w:val="18"/>
        </w:rPr>
      </w:pPr>
      <w:r>
        <w:rPr>
          <w:rFonts w:ascii="Roboto Light;sans-serif" w:hAnsi="Roboto Light;sans-serif"/>
          <w:b/>
          <w:color w:val="000000"/>
          <w:sz w:val="18"/>
        </w:rPr>
        <w:t>By Order of the Board of Directors,</w:t>
      </w:r>
    </w:p>
    <w:p>
      <w:pPr>
        <w:pStyle w:val="TextBody"/>
        <w:bidi w:val="0"/>
        <w:spacing w:before="0" w:after="0"/>
        <w:jc w:val="left"/>
        <w:rPr/>
      </w:pPr>
      <w:r>
        <w:rPr/>
        <w:drawing>
          <wp:inline distT="0" distB="0" distL="0" distR="0">
            <wp:extent cx="1685925" cy="39052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685925" cy="390525"/>
                    </a:xfrm>
                    <a:prstGeom prst="rect">
                      <a:avLst/>
                    </a:prstGeom>
                  </pic:spPr>
                </pic:pic>
              </a:graphicData>
            </a:graphic>
          </wp:inline>
        </w:drawing>
      </w:r>
      <w:bookmarkStart w:id="10" w:name="i-11"/>
      <w:bookmarkEnd w:id="10"/>
    </w:p>
    <w:p>
      <w:pPr>
        <w:pStyle w:val="TextBody"/>
        <w:bidi w:val="0"/>
        <w:spacing w:lineRule="atLeast" w:line="240" w:before="0" w:after="0"/>
        <w:jc w:val="left"/>
        <w:rPr>
          <w:rFonts w:ascii="Roboto;sans-serif" w:hAnsi="Roboto;sans-serif"/>
          <w:b/>
          <w:color w:val="000000"/>
          <w:sz w:val="18"/>
        </w:rPr>
      </w:pPr>
      <w:r>
        <w:rPr>
          <w:rFonts w:ascii="Roboto;sans-serif" w:hAnsi="Roboto;sans-serif"/>
          <w:b/>
          <w:color w:val="000000"/>
          <w:sz w:val="18"/>
        </w:rPr>
        <w:t>Brandy Treadway</w:t>
      </w:r>
    </w:p>
    <w:p>
      <w:pPr>
        <w:pStyle w:val="TextBody"/>
        <w:bidi w:val="0"/>
        <w:spacing w:lineRule="atLeast" w:line="240" w:before="0" w:after="180"/>
        <w:jc w:val="left"/>
        <w:rPr>
          <w:rFonts w:ascii="Roboto Light;sans-serif" w:hAnsi="Roboto Light;sans-serif"/>
          <w:b w:val="false"/>
          <w:color w:val="000000"/>
          <w:sz w:val="18"/>
        </w:rPr>
      </w:pPr>
      <w:r>
        <w:rPr>
          <w:rFonts w:ascii="Roboto Light;sans-serif" w:hAnsi="Roboto Light;sans-serif"/>
          <w:b w:val="false"/>
          <w:color w:val="000000"/>
          <w:sz w:val="18"/>
        </w:rPr>
        <w:t>Executive Vice President, Chief Legal Officer, and Corporate Secretary</w:t>
      </w:r>
    </w:p>
    <w:p>
      <w:pPr>
        <w:pStyle w:val="TextBody"/>
        <w:bidi w:val="0"/>
        <w:spacing w:lineRule="atLeast" w:line="240" w:before="0" w:after="120"/>
        <w:jc w:val="left"/>
        <w:rPr>
          <w:rFonts w:ascii="Roboto Light;sans-serif" w:hAnsi="Roboto Light;sans-serif"/>
          <w:b w:val="false"/>
          <w:color w:val="000000"/>
          <w:sz w:val="16"/>
        </w:rPr>
      </w:pPr>
      <w:r>
        <w:rPr>
          <w:rFonts w:ascii="Roboto Light;sans-serif" w:hAnsi="Roboto Light;sans-serif"/>
          <w:b w:val="false"/>
          <w:color w:val="000000"/>
          <w:sz w:val="16"/>
        </w:rPr>
        <w:t>April 21, 2026</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60"/>
        <w:jc w:val="center"/>
        <w:rPr>
          <w:rFonts w:ascii="Roboto;sans-serif" w:hAnsi="Roboto;sans-serif"/>
          <w:b/>
          <w:color w:val="000000"/>
          <w:sz w:val="18"/>
        </w:rPr>
      </w:pPr>
      <w:r>
        <w:rPr>
          <w:rFonts w:ascii="Roboto;sans-serif" w:hAnsi="Roboto;sans-serif"/>
          <w:b/>
          <w:color w:val="000000"/>
          <w:sz w:val="18"/>
        </w:rPr>
        <w:t>Important Notice Regarding the Availability of Proxy Materials for the Annual Meeting to be Held on June 4, 2026.</w:t>
      </w:r>
    </w:p>
    <w:p>
      <w:pPr>
        <w:pStyle w:val="TextBody"/>
        <w:bidi w:val="0"/>
        <w:spacing w:lineRule="atLeast" w:line="240" w:before="0" w:after="240"/>
        <w:jc w:val="center"/>
        <w:rPr>
          <w:rFonts w:ascii="Roboto Light;sans-serif" w:hAnsi="Roboto Light;sans-serif"/>
          <w:b w:val="false"/>
          <w:color w:val="000000"/>
          <w:sz w:val="18"/>
        </w:rPr>
      </w:pPr>
      <w:r>
        <w:rPr>
          <w:rFonts w:ascii="Roboto Light;sans-serif" w:hAnsi="Roboto Light;sans-serif"/>
          <w:b w:val="false"/>
          <w:color w:val="000000"/>
          <w:sz w:val="18"/>
        </w:rPr>
        <w:t>This Proxy Statement and the Annual Report are available at www.proxyvote.com.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263525"/>
                <wp:effectExtent l="0" t="0" r="0" b="0"/>
                <wp:wrapNone/>
                <wp:docPr id="16" name="Frame5"/>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3"/>
                                          <a:stretch>
                                            <a:fillRect/>
                                          </a:stretch>
                                        </pic:blipFill>
                                        <pic:spPr bwMode="auto">
                                          <a:xfrm>
                                            <a:off x="0" y="0"/>
                                            <a:ext cx="266700" cy="200025"/>
                                          </a:xfrm>
                                          <a:prstGeom prst="rect">
                                            <a:avLst/>
                                          </a:prstGeom>
                                        </pic:spPr>
                                      </pic:pic>
                                    </a:graphicData>
                                  </a:graphic>
                                </wp:inline>
                              </w:drawing>
                            </w:r>
                            <w:bookmarkStart w:id="11" w:name="i-12"/>
                            <w:bookmarkEnd w:id="11"/>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descr=""/>
                                    <pic:cNvPicPr>
                                      <a:picLocks noChangeAspect="1" noChangeArrowheads="1"/>
                                    </pic:cNvPicPr>
                                  </pic:nvPicPr>
                                  <pic:blipFill>
                                    <a:blip r:embed="rId14"/>
                                    <a:stretch>
                                      <a:fillRect/>
                                    </a:stretch>
                                  </pic:blipFill>
                                  <pic:spPr bwMode="auto">
                                    <a:xfrm>
                                      <a:off x="0" y="0"/>
                                      <a:ext cx="266700" cy="200025"/>
                                    </a:xfrm>
                                    <a:prstGeom prst="rect">
                                      <a:avLst/>
                                    </a:prstGeom>
                                  </pic:spPr>
                                </pic:pic>
                              </a:graphicData>
                            </a:graphic>
                          </wp:inline>
                        </w:drawing>
                      </w:r>
                      <w:bookmarkStart w:id="12" w:name="i-12"/>
                      <w:bookmarkEnd w:id="12"/>
                    </w:p>
                  </w:txbxContent>
                </v:textbox>
                <w10:wrap type="none"/>
              </v:rect>
            </w:pict>
          </mc:Fallback>
        </mc:AlternateContent>
      </w:r>
    </w:p>
    <w:tbl>
      <w:tblPr>
        <w:tblW w:w="582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11"/>
        <w:gridCol w:w="1511"/>
        <w:gridCol w:w="21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r>
    </w:tbl>
    <w:p>
      <w:pPr>
        <w:pStyle w:val="TextBody"/>
        <w:bidi w:val="0"/>
        <w:spacing w:lineRule="auto" w:line="312" w:before="0" w:after="480"/>
        <w:jc w:val="left"/>
        <w:rPr>
          <w:rFonts w:ascii="Roboto;sans-serif" w:hAnsi="Roboto;sans-serif"/>
          <w:b/>
          <w:color w:val="1946C8"/>
          <w:sz w:val="54"/>
        </w:rPr>
      </w:pPr>
      <w:r>
        <w:rPr>
          <w:rFonts w:ascii="Roboto;sans-serif" w:hAnsi="Roboto;sans-serif"/>
          <w:b/>
          <w:color w:val="1946C8"/>
          <w:sz w:val="54"/>
        </w:rPr>
        <w:t>Basis of Presentation</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All references below to “Academy,” “we," “us,” “our,” or the “Company” refer to Academy Sports and Outdoors, Inc., a Delaware corporation and the current parent holding company of our operations, and its consolidated subsidiaries. We conduct our operations through our parent holding company’s indirect subsidiary Academy, Ltd., a Texas limited partnership doing business as “Academy Sports + Outdoors”. References to this “Proxy Statement” refer to the 2026 Proxy Statement of the Company. References to the “Annual Meeting” refer to the Company’s 2026 Annual Meeting of Stockholders to be held on June 4, 2026.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We operate on a retail fiscal calendar pursuant to which our fiscal year consists of 52 or 53 weeks, ending on the Saturday closest to January 31 (which such Saturday may occur on a date following January 31) each year. References to any year, quarter, or month mean our fiscal year, fiscal quarter, and fiscal month, respectively, unless the context requires otherwise. References to “2020,” “2021,” “2022,” “2023,” “2024,” “2025,” and “2026” or to such fiscal year relate to our fiscal years ended January 30, 2021, January 29, 2022, January 28, 2023, February 3, 2024, February 1, 2025, January 31, 2026, and January 30, 2027, respectively, unless the context requires otherwise.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Capitalized terms used but not defined herein have the meanings set forth in our Annual Report on Form 10-K for the fiscal year ended January 31, 2026 (the “Annual Report”), filed with the Securities and Exchange Commission (the “SEC”) on March 17, 2026. Numerical figures included in this Proxy Statement have been subject to rounding adjustments. Accordingly, numerical figures shown as totals in various tables may not be arithmetic aggregations of the figures that precede them.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This Proxy Statement contains forward-looking statements within the meaning of Section 27A of the Securities Act of 1933, as amended (the “Securities Act”), and Section 21E of the Securities Exchange Act of 1934, as amended (the “Exchange Act”). These forward-looking statements are based on the Company’s current expectations and are not guarantees of future performance. Words such as “outlook,” “guidance,” “anticipates,” “assume,” “believes,” “continues,” “could,” “estimates,” “expects,” “intends,” “may,” “plans,” “potential,” “predicts,” “projects,” “future,” “will,” “seeks,” “foreseeable,” or the negative version of these words or other comparable words or similar expressions are used to identify these forward-looking statements. In particular, forward-looking statements include, but are not limited to, the Company’s strategic plans and financial objectives, including the implementation of such plans, the growth of the Company’s business and operations, including the opening of new stores and the expansion into new markets, statements regarding the payment, timing or amount of dividends, share repurchases, or debt repayment/debt interest savings, statements we make about our expectations for our operations and business and our corporate responsibility (which we refer to as responsible leadership) progress, plans, and initiatives. Actual results may differ materially from these expectations due to changes in global, regional, or local economic, business, competitive, market, regulatory, environmental, and other factors that could affect overall consumer spending or our industry, including the possible effects of ongoing macroeconomic challenges, inflation and higher interest rates, trade policy changes or additional tariffs, geopolitical tensions, or changes to the financial health of our customers, many of which are beyond the Company’s control. Important factors that could cause actual results to differ materially from those in the forward-looking statements are set forth in the Company’s filings with the SEC, including the Annual Report under the caption “Part I, Item 1A. Risk Factors,” as may be updated from time to time in our periodic filings with the SEC. Any forward-looking statement in these materials speaks only as of the date released. The Company undertakes no obligation to publicly update or review any forward-looking statement, whether as a result of new information, future developments or otherwise, except as may be required by any applicable securities laws. Our sustainability-related initiatives are aspirational and may change. Statements regarding our initiatives are not guarantees or promises that they will be achieved.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pStyle w:val="TextBody"/>
        <w:bidi w:val="0"/>
        <w:spacing w:lineRule="atLeast" w:line="240" w:before="0" w:after="120"/>
        <w:jc w:val="left"/>
        <w:rPr>
          <w:rFonts w:ascii="Roboto Light;sans-serif" w:hAnsi="Roboto Light;sans-serif"/>
          <w:b w:val="false"/>
          <w:color w:val="000000"/>
          <w:sz w:val="18"/>
        </w:rPr>
      </w:pPr>
      <w:r>
        <w:rPr>
          <w:rFonts w:ascii="Roboto Light;sans-serif" w:hAnsi="Roboto Light;sans-serif"/>
          <w:b w:val="false"/>
          <w:color w:val="000000"/>
          <w:sz w:val="18"/>
        </w:rPr>
        <w:t>References to websites included throughout this Proxy Statement are provided for convenience only, and the contents of our websites do not constitute a part of and are not incorporated by reference into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263525"/>
                <wp:effectExtent l="0" t="0" r="0" b="0"/>
                <wp:wrapNone/>
                <wp:docPr id="19" name="Frame6"/>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2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 descr=""/>
                                          <pic:cNvPicPr>
                                            <a:picLocks noChangeAspect="1" noChangeArrowheads="1"/>
                                          </pic:cNvPicPr>
                                        </pic:nvPicPr>
                                        <pic:blipFill>
                                          <a:blip r:embed="rId15"/>
                                          <a:stretch>
                                            <a:fillRect/>
                                          </a:stretch>
                                        </pic:blipFill>
                                        <pic:spPr bwMode="auto">
                                          <a:xfrm>
                                            <a:off x="0" y="0"/>
                                            <a:ext cx="266700" cy="200025"/>
                                          </a:xfrm>
                                          <a:prstGeom prst="rect">
                                            <a:avLst/>
                                          </a:prstGeom>
                                        </pic:spPr>
                                      </pic:pic>
                                    </a:graphicData>
                                  </a:graphic>
                                </wp:inline>
                              </w:drawing>
                            </w:r>
                            <w:bookmarkStart w:id="13" w:name="i-13"/>
                            <w:bookmarkEnd w:id="13"/>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2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3" descr=""/>
                                    <pic:cNvPicPr>
                                      <a:picLocks noChangeAspect="1" noChangeArrowheads="1"/>
                                    </pic:cNvPicPr>
                                  </pic:nvPicPr>
                                  <pic:blipFill>
                                    <a:blip r:embed="rId16"/>
                                    <a:stretch>
                                      <a:fillRect/>
                                    </a:stretch>
                                  </pic:blipFill>
                                  <pic:spPr bwMode="auto">
                                    <a:xfrm>
                                      <a:off x="0" y="0"/>
                                      <a:ext cx="266700" cy="200025"/>
                                    </a:xfrm>
                                    <a:prstGeom prst="rect">
                                      <a:avLst/>
                                    </a:prstGeom>
                                  </pic:spPr>
                                </pic:pic>
                              </a:graphicData>
                            </a:graphic>
                          </wp:inline>
                        </w:drawing>
                      </w:r>
                      <w:bookmarkStart w:id="14" w:name="i-13"/>
                      <w:bookmarkEnd w:id="14"/>
                    </w:p>
                  </w:txbxContent>
                </v:textbox>
                <w10:wrap type="none"/>
              </v:rect>
            </w:pict>
          </mc:Fallback>
        </mc:AlternateContent>
      </w:r>
    </w:p>
    <w:tbl>
      <w:tblPr>
        <w:tblW w:w="5828" w:type="dxa"/>
        <w:jc w:val="left"/>
        <w:tblInd w:w="0" w:type="dxa"/>
        <w:tblLayout w:type="fixed"/>
        <w:tblCellMar>
          <w:top w:w="28" w:type="dxa"/>
          <w:left w:w="28" w:type="dxa"/>
          <w:bottom w:w="28" w:type="dxa"/>
          <w:right w:w="28" w:type="dxa"/>
        </w:tblCellMar>
      </w:tblPr>
      <w:tblGrid>
        <w:gridCol w:w="1858"/>
        <w:gridCol w:w="1630"/>
        <w:gridCol w:w="1641"/>
        <w:gridCol w:w="109"/>
        <w:gridCol w:w="109"/>
        <w:gridCol w:w="109"/>
        <w:gridCol w:w="109"/>
        <w:gridCol w:w="109"/>
        <w:gridCol w:w="154"/>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1</w:t>
            </w:r>
          </w:p>
        </w:tc>
      </w:tr>
    </w:tbl>
    <w:p>
      <w:pPr>
        <w:pStyle w:val="TextBody"/>
        <w:bidi w:val="0"/>
        <w:spacing w:lineRule="auto" w:line="312" w:before="0" w:after="720"/>
        <w:jc w:val="left"/>
        <w:rPr>
          <w:rFonts w:ascii="Roboto;sans-serif" w:hAnsi="Roboto;sans-serif"/>
          <w:b/>
          <w:color w:val="1946C8"/>
          <w:sz w:val="54"/>
        </w:rPr>
      </w:pPr>
      <w:r>
        <w:rPr>
          <w:rFonts w:ascii="Roboto;sans-serif" w:hAnsi="Roboto;sans-serif"/>
          <w:b/>
          <w:color w:val="1946C8"/>
          <w:sz w:val="54"/>
        </w:rPr>
        <w:t>Table of Contents</w:t>
      </w:r>
    </w:p>
    <w:tbl>
      <w:tblPr>
        <w:tblW w:w="7125" w:type="dxa"/>
        <w:jc w:val="left"/>
        <w:tblInd w:w="0" w:type="dxa"/>
        <w:tblLayout w:type="fixed"/>
        <w:tblCellMar>
          <w:top w:w="28" w:type="dxa"/>
          <w:left w:w="28" w:type="dxa"/>
          <w:bottom w:w="28" w:type="dxa"/>
          <w:right w:w="28" w:type="dxa"/>
        </w:tblCellMar>
      </w:tblPr>
      <w:tblGrid>
        <w:gridCol w:w="2437"/>
        <w:gridCol w:w="2144"/>
        <w:gridCol w:w="2153"/>
        <w:gridCol w:w="114"/>
        <w:gridCol w:w="114"/>
        <w:gridCol w:w="163"/>
      </w:tblGrid>
      <w:tr>
        <w:trPr/>
        <w:tc>
          <w:tcPr>
            <w:tcW w:w="2437"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1946C8"/>
                <w:sz w:val="16"/>
              </w:rPr>
            </w:pPr>
            <w:r>
              <w:rPr>
                <w:rFonts w:ascii="Roboto;sans-serif" w:hAnsi="Roboto;sans-serif"/>
                <w:b/>
                <w:color w:val="1946C8"/>
                <w:sz w:val="16"/>
              </w:rPr>
              <w:t>Notice of Annual Meeting of Stockholders</w:t>
            </w:r>
          </w:p>
        </w:tc>
        <w:tc>
          <w:tcPr>
            <w:tcW w:w="39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2ad592f4dc4b4b6f8a38b815f52d3bc1_19">
              <w:r>
                <w:rPr>
                  <w:rStyle w:val="InternetLink"/>
                  <w:rFonts w:ascii="Roboto;sans-serif" w:hAnsi="Roboto;sans-serif"/>
                  <w:b/>
                  <w:strike w:val="false"/>
                  <w:dstrike w:val="false"/>
                  <w:color w:val="1946C8"/>
                  <w:sz w:val="16"/>
                  <w:u w:val="none"/>
                  <w:effect w:val="none"/>
                </w:rPr>
                <w:t>i</w:t>
              </w:r>
            </w:hyperlink>
          </w:p>
        </w:tc>
      </w:tr>
      <w:tr>
        <w:trPr/>
        <w:tc>
          <w:tcPr>
            <w:tcW w:w="6734"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1946C8"/>
                <w:sz w:val="16"/>
              </w:rPr>
            </w:pPr>
            <w:r>
              <w:rPr>
                <w:rFonts w:ascii="Roboto;sans-serif" w:hAnsi="Roboto;sans-serif"/>
                <w:b/>
                <w:color w:val="1946C8"/>
                <w:sz w:val="16"/>
              </w:rPr>
              <w:t>Basis of Presentation</w:t>
            </w:r>
          </w:p>
        </w:tc>
        <w:tc>
          <w:tcPr>
            <w:tcW w:w="39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2ad592f4dc4b4b6f8a38b815f52d3bc1_16">
              <w:r>
                <w:rPr>
                  <w:rStyle w:val="InternetLink"/>
                  <w:rFonts w:ascii="Roboto;sans-serif" w:hAnsi="Roboto;sans-serif"/>
                  <w:b/>
                  <w:strike w:val="false"/>
                  <w:dstrike w:val="false"/>
                  <w:color w:val="1946C8"/>
                  <w:sz w:val="16"/>
                  <w:u w:val="none"/>
                  <w:effect w:val="none"/>
                </w:rPr>
                <w:t>ii</w:t>
              </w:r>
            </w:hyperlink>
          </w:p>
        </w:tc>
      </w:tr>
      <w:tr>
        <w:trPr/>
        <w:tc>
          <w:tcPr>
            <w:tcW w:w="6734"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1946C8"/>
                <w:sz w:val="16"/>
              </w:rPr>
            </w:pPr>
            <w:r>
              <w:rPr>
                <w:rFonts w:ascii="Roboto;sans-serif" w:hAnsi="Roboto;sans-serif"/>
                <w:b/>
                <w:color w:val="1946C8"/>
                <w:sz w:val="16"/>
              </w:rPr>
              <w:t>Proxy Voting Methods</w:t>
            </w:r>
          </w:p>
        </w:tc>
        <w:tc>
          <w:tcPr>
            <w:tcW w:w="39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2ad592f4dc4b4b6f8a38b815f52d3bc1_22">
              <w:r>
                <w:rPr>
                  <w:rStyle w:val="InternetLink"/>
                  <w:rFonts w:ascii="Roboto;sans-serif" w:hAnsi="Roboto;sans-serif"/>
                  <w:b/>
                  <w:strike w:val="false"/>
                  <w:dstrike w:val="false"/>
                  <w:color w:val="1946C8"/>
                  <w:sz w:val="16"/>
                  <w:u w:val="none"/>
                  <w:effect w:val="none"/>
                </w:rPr>
                <w:t>2</w:t>
              </w:r>
            </w:hyperlink>
          </w:p>
        </w:tc>
      </w:tr>
      <w:tr>
        <w:trPr/>
        <w:tc>
          <w:tcPr>
            <w:tcW w:w="6734"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1946C8"/>
                <w:sz w:val="16"/>
              </w:rPr>
            </w:pPr>
            <w:r>
              <w:rPr>
                <w:rFonts w:ascii="Roboto;sans-serif" w:hAnsi="Roboto;sans-serif"/>
                <w:b/>
                <w:color w:val="1946C8"/>
                <w:sz w:val="16"/>
              </w:rPr>
              <w:t>Proxy Statement - Annual Meeting of Stockholders</w:t>
            </w:r>
          </w:p>
        </w:tc>
        <w:tc>
          <w:tcPr>
            <w:tcW w:w="39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2ad592f4dc4b4b6f8a38b815f52d3bc1_25">
              <w:r>
                <w:rPr>
                  <w:rStyle w:val="InternetLink"/>
                  <w:rFonts w:ascii="Roboto;sans-serif" w:hAnsi="Roboto;sans-serif"/>
                  <w:b/>
                  <w:strike w:val="false"/>
                  <w:dstrike w:val="false"/>
                  <w:color w:val="1946C8"/>
                  <w:sz w:val="16"/>
                  <w:u w:val="none"/>
                  <w:effect w:val="none"/>
                </w:rPr>
                <w:t>3</w:t>
              </w:r>
            </w:hyperlink>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1024A"/>
                <w:sz w:val="16"/>
              </w:rPr>
            </w:pPr>
            <w:r>
              <w:rPr>
                <w:rFonts w:ascii="Roboto;sans-serif" w:hAnsi="Roboto;sans-serif"/>
                <w:b/>
                <w:color w:val="01024A"/>
                <w:sz w:val="16"/>
              </w:rPr>
              <w:t>General Information/Questions and Answers about the Annual Meeting</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25">
              <w:r>
                <w:rPr>
                  <w:rStyle w:val="InternetLink"/>
                  <w:rFonts w:ascii="Roboto;sans-serif" w:hAnsi="Roboto;sans-serif"/>
                  <w:b/>
                  <w:strike w:val="false"/>
                  <w:dstrike w:val="false"/>
                  <w:color w:val="01024A"/>
                  <w:sz w:val="16"/>
                  <w:u w:val="none"/>
                  <w:effect w:val="none"/>
                </w:rPr>
                <w:t>3</w:t>
              </w:r>
            </w:hyperlink>
          </w:p>
        </w:tc>
      </w:tr>
      <w:tr>
        <w:trPr/>
        <w:tc>
          <w:tcPr>
            <w:tcW w:w="6734"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1946C8"/>
                <w:sz w:val="16"/>
              </w:rPr>
            </w:pPr>
            <w:r>
              <w:rPr>
                <w:rFonts w:ascii="Roboto;sans-serif" w:hAnsi="Roboto;sans-serif"/>
                <w:b/>
                <w:color w:val="1946C8"/>
                <w:sz w:val="16"/>
              </w:rPr>
              <w:t>Proposal One - Election of Directors</w:t>
            </w:r>
          </w:p>
        </w:tc>
        <w:tc>
          <w:tcPr>
            <w:tcW w:w="39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2ad592f4dc4b4b6f8a38b815f52d3bc1_31">
              <w:r>
                <w:rPr>
                  <w:rStyle w:val="InternetLink"/>
                  <w:rFonts w:ascii="Roboto;sans-serif" w:hAnsi="Roboto;sans-serif"/>
                  <w:b/>
                  <w:strike w:val="false"/>
                  <w:dstrike w:val="false"/>
                  <w:color w:val="1946C8"/>
                  <w:sz w:val="16"/>
                  <w:u w:val="none"/>
                  <w:effect w:val="none"/>
                </w:rPr>
                <w:t>9</w:t>
              </w:r>
            </w:hyperlink>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1024A"/>
                <w:sz w:val="16"/>
              </w:rPr>
            </w:pPr>
            <w:r>
              <w:rPr>
                <w:rFonts w:ascii="Roboto;sans-serif" w:hAnsi="Roboto;sans-serif"/>
                <w:b/>
                <w:color w:val="01024A"/>
                <w:sz w:val="16"/>
              </w:rPr>
              <w:t>Board of Directors</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34">
              <w:r>
                <w:rPr>
                  <w:rStyle w:val="InternetLink"/>
                  <w:rFonts w:ascii="Roboto;sans-serif" w:hAnsi="Roboto;sans-serif"/>
                  <w:b/>
                  <w:strike w:val="false"/>
                  <w:dstrike w:val="false"/>
                  <w:color w:val="01024A"/>
                  <w:sz w:val="16"/>
                  <w:u w:val="none"/>
                  <w:effect w:val="none"/>
                </w:rPr>
                <w:t>9</w:t>
              </w:r>
            </w:hyperlink>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1024A"/>
                <w:sz w:val="16"/>
              </w:rPr>
            </w:pPr>
            <w:r>
              <w:rPr>
                <w:rFonts w:ascii="Roboto;sans-serif" w:hAnsi="Roboto;sans-serif"/>
                <w:b/>
                <w:color w:val="01024A"/>
                <w:sz w:val="16"/>
              </w:rPr>
              <w:t>Board Composition and Matrix</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37">
              <w:r>
                <w:rPr>
                  <w:rStyle w:val="InternetLink"/>
                  <w:rFonts w:ascii="Roboto;sans-serif" w:hAnsi="Roboto;sans-serif"/>
                  <w:b/>
                  <w:strike w:val="false"/>
                  <w:dstrike w:val="false"/>
                  <w:color w:val="01024A"/>
                  <w:sz w:val="16"/>
                  <w:u w:val="none"/>
                  <w:effect w:val="none"/>
                </w:rPr>
                <w:t>10</w:t>
              </w:r>
            </w:hyperlink>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1024A"/>
                <w:sz w:val="16"/>
              </w:rPr>
            </w:pPr>
            <w:r>
              <w:rPr>
                <w:rFonts w:ascii="Roboto;sans-serif" w:hAnsi="Roboto;sans-serif"/>
                <w:b/>
                <w:color w:val="01024A"/>
                <w:sz w:val="16"/>
              </w:rPr>
              <w:t>Board Skills Matrix</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43">
              <w:r>
                <w:rPr>
                  <w:rStyle w:val="InternetLink"/>
                  <w:rFonts w:ascii="Roboto;sans-serif" w:hAnsi="Roboto;sans-serif"/>
                  <w:b/>
                  <w:strike w:val="false"/>
                  <w:dstrike w:val="false"/>
                  <w:color w:val="01024A"/>
                  <w:sz w:val="16"/>
                  <w:u w:val="none"/>
                  <w:effect w:val="none"/>
                </w:rPr>
                <w:t>11</w:t>
              </w:r>
            </w:hyperlink>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1024A"/>
                <w:sz w:val="16"/>
              </w:rPr>
            </w:pPr>
            <w:r>
              <w:rPr>
                <w:rFonts w:ascii="Roboto;sans-serif" w:hAnsi="Roboto;sans-serif"/>
                <w:b/>
                <w:color w:val="01024A"/>
                <w:sz w:val="16"/>
              </w:rPr>
              <w:t>Nominees for Election to the Board of Directors</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46">
              <w:r>
                <w:rPr>
                  <w:rStyle w:val="InternetLink"/>
                  <w:rFonts w:ascii="Roboto;sans-serif" w:hAnsi="Roboto;sans-serif"/>
                  <w:b/>
                  <w:strike w:val="false"/>
                  <w:dstrike w:val="false"/>
                  <w:color w:val="01024A"/>
                  <w:sz w:val="16"/>
                  <w:u w:val="none"/>
                  <w:effect w:val="none"/>
                </w:rPr>
                <w:t>13</w:t>
              </w:r>
            </w:hyperlink>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1024A"/>
                <w:sz w:val="16"/>
              </w:rPr>
            </w:pPr>
            <w:r>
              <w:rPr>
                <w:rFonts w:ascii="Roboto;sans-serif" w:hAnsi="Roboto;sans-serif"/>
                <w:b/>
                <w:color w:val="01024A"/>
                <w:sz w:val="16"/>
              </w:rPr>
              <w:t>Board Governance</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52">
              <w:r>
                <w:rPr>
                  <w:rStyle w:val="InternetLink"/>
                  <w:rFonts w:ascii="Roboto;sans-serif" w:hAnsi="Roboto;sans-serif"/>
                  <w:b/>
                  <w:strike w:val="false"/>
                  <w:dstrike w:val="false"/>
                  <w:color w:val="01024A"/>
                  <w:sz w:val="16"/>
                  <w:u w:val="none"/>
                  <w:effect w:val="none"/>
                </w:rPr>
                <w:t>25</w:t>
              </w:r>
            </w:hyperlink>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1024A"/>
                <w:sz w:val="16"/>
              </w:rPr>
            </w:pPr>
            <w:r>
              <w:rPr>
                <w:rFonts w:ascii="Roboto;sans-serif" w:hAnsi="Roboto;sans-serif"/>
                <w:b w:val="false"/>
                <w:color w:val="01024A"/>
                <w:sz w:val="16"/>
              </w:rPr>
              <w:t>Board Governance Highlights</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55">
              <w:r>
                <w:rPr>
                  <w:rStyle w:val="InternetLink"/>
                  <w:rFonts w:ascii="Roboto Light;sans-serif" w:hAnsi="Roboto Light;sans-serif"/>
                  <w:b w:val="false"/>
                  <w:strike w:val="false"/>
                  <w:dstrike w:val="false"/>
                  <w:color w:val="01024A"/>
                  <w:sz w:val="16"/>
                  <w:u w:val="none"/>
                  <w:effect w:val="none"/>
                </w:rPr>
                <w:t>25</w:t>
              </w:r>
            </w:hyperlink>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1024A"/>
                <w:sz w:val="16"/>
              </w:rPr>
            </w:pPr>
            <w:r>
              <w:rPr>
                <w:rFonts w:ascii="Roboto;sans-serif" w:hAnsi="Roboto;sans-serif"/>
                <w:b w:val="false"/>
                <w:color w:val="01024A"/>
                <w:sz w:val="16"/>
              </w:rPr>
              <w:t>Board Oversight</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58">
              <w:r>
                <w:rPr>
                  <w:rStyle w:val="InternetLink"/>
                  <w:rFonts w:ascii="Roboto Light;sans-serif" w:hAnsi="Roboto Light;sans-serif"/>
                  <w:b w:val="false"/>
                  <w:strike w:val="false"/>
                  <w:dstrike w:val="false"/>
                  <w:color w:val="01024A"/>
                  <w:sz w:val="16"/>
                  <w:u w:val="none"/>
                  <w:effect w:val="none"/>
                </w:rPr>
                <w:t>26</w:t>
              </w:r>
            </w:hyperlink>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1024A"/>
                <w:sz w:val="16"/>
              </w:rPr>
            </w:pPr>
            <w:r>
              <w:rPr>
                <w:rFonts w:ascii="Roboto;sans-serif" w:hAnsi="Roboto;sans-serif"/>
                <w:b w:val="false"/>
                <w:color w:val="01024A"/>
                <w:sz w:val="16"/>
              </w:rPr>
              <w:t>Corporate Governance Guidelines</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61">
              <w:r>
                <w:rPr>
                  <w:rStyle w:val="InternetLink"/>
                  <w:rFonts w:ascii="Roboto Light;sans-serif" w:hAnsi="Roboto Light;sans-serif"/>
                  <w:b w:val="false"/>
                  <w:strike w:val="false"/>
                  <w:dstrike w:val="false"/>
                  <w:color w:val="01024A"/>
                  <w:sz w:val="16"/>
                  <w:u w:val="none"/>
                  <w:effect w:val="none"/>
                </w:rPr>
                <w:t>26</w:t>
              </w:r>
            </w:hyperlink>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1024A"/>
                <w:sz w:val="16"/>
              </w:rPr>
            </w:pPr>
            <w:r>
              <w:rPr>
                <w:rFonts w:ascii="Roboto;sans-serif" w:hAnsi="Roboto;sans-serif"/>
                <w:b w:val="false"/>
                <w:color w:val="01024A"/>
                <w:sz w:val="16"/>
              </w:rPr>
              <w:t>Director Independence</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64">
              <w:r>
                <w:rPr>
                  <w:rStyle w:val="InternetLink"/>
                  <w:rFonts w:ascii="Roboto Light;sans-serif" w:hAnsi="Roboto Light;sans-serif"/>
                  <w:b w:val="false"/>
                  <w:strike w:val="false"/>
                  <w:dstrike w:val="false"/>
                  <w:color w:val="01024A"/>
                  <w:sz w:val="16"/>
                  <w:u w:val="none"/>
                  <w:effect w:val="none"/>
                </w:rPr>
                <w:t>27</w:t>
              </w:r>
            </w:hyperlink>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1024A"/>
                <w:sz w:val="16"/>
              </w:rPr>
            </w:pPr>
            <w:r>
              <w:rPr>
                <w:rFonts w:ascii="Roboto;sans-serif" w:hAnsi="Roboto;sans-serif"/>
                <w:b w:val="false"/>
                <w:color w:val="01024A"/>
                <w:sz w:val="16"/>
              </w:rPr>
              <w:t>Leadership Structure of the Board</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67">
              <w:r>
                <w:rPr>
                  <w:rStyle w:val="InternetLink"/>
                  <w:rFonts w:ascii="Roboto Light;sans-serif" w:hAnsi="Roboto Light;sans-serif"/>
                  <w:b w:val="false"/>
                  <w:strike w:val="false"/>
                  <w:dstrike w:val="false"/>
                  <w:color w:val="01024A"/>
                  <w:sz w:val="16"/>
                  <w:u w:val="none"/>
                  <w:effect w:val="none"/>
                </w:rPr>
                <w:t>27</w:t>
              </w:r>
            </w:hyperlink>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1024A"/>
                <w:sz w:val="16"/>
              </w:rPr>
            </w:pPr>
            <w:r>
              <w:rPr>
                <w:rFonts w:ascii="Roboto;sans-serif" w:hAnsi="Roboto;sans-serif"/>
                <w:b w:val="false"/>
                <w:color w:val="01024A"/>
                <w:sz w:val="16"/>
              </w:rPr>
              <w:t>Executive Sessions</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70">
              <w:r>
                <w:rPr>
                  <w:rStyle w:val="InternetLink"/>
                  <w:rFonts w:ascii="Roboto Light;sans-serif" w:hAnsi="Roboto Light;sans-serif"/>
                  <w:b w:val="false"/>
                  <w:strike w:val="false"/>
                  <w:dstrike w:val="false"/>
                  <w:color w:val="01024A"/>
                  <w:sz w:val="16"/>
                  <w:u w:val="none"/>
                  <w:effect w:val="none"/>
                </w:rPr>
                <w:t>28</w:t>
              </w:r>
            </w:hyperlink>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1024A"/>
                <w:sz w:val="16"/>
              </w:rPr>
            </w:pPr>
            <w:r>
              <w:rPr>
                <w:rFonts w:ascii="Roboto;sans-serif" w:hAnsi="Roboto;sans-serif"/>
                <w:b w:val="false"/>
                <w:color w:val="01024A"/>
                <w:sz w:val="16"/>
              </w:rPr>
              <w:t>Board Committees</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70">
              <w:r>
                <w:rPr>
                  <w:rStyle w:val="InternetLink"/>
                  <w:rFonts w:ascii="Roboto Light;sans-serif" w:hAnsi="Roboto Light;sans-serif"/>
                  <w:b w:val="false"/>
                  <w:strike w:val="false"/>
                  <w:dstrike w:val="false"/>
                  <w:color w:val="01024A"/>
                  <w:sz w:val="16"/>
                  <w:u w:val="none"/>
                  <w:effect w:val="none"/>
                </w:rPr>
                <w:t>28</w:t>
              </w:r>
            </w:hyperlink>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1024A"/>
                <w:sz w:val="16"/>
              </w:rPr>
            </w:pPr>
            <w:r>
              <w:rPr>
                <w:rFonts w:ascii="Roboto;sans-serif" w:hAnsi="Roboto;sans-serif"/>
                <w:b w:val="false"/>
                <w:color w:val="01024A"/>
                <w:sz w:val="16"/>
              </w:rPr>
              <w:t>Board and Committee Meetings and Attendance</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76">
              <w:r>
                <w:rPr>
                  <w:rStyle w:val="InternetLink"/>
                  <w:rFonts w:ascii="Roboto Light;sans-serif" w:hAnsi="Roboto Light;sans-serif"/>
                  <w:b w:val="false"/>
                  <w:strike w:val="false"/>
                  <w:dstrike w:val="false"/>
                  <w:color w:val="01024A"/>
                  <w:sz w:val="16"/>
                  <w:u w:val="none"/>
                  <w:effect w:val="none"/>
                </w:rPr>
                <w:t>33</w:t>
              </w:r>
            </w:hyperlink>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1024A"/>
                <w:sz w:val="16"/>
              </w:rPr>
            </w:pPr>
            <w:r>
              <w:rPr>
                <w:rFonts w:ascii="Roboto;sans-serif" w:hAnsi="Roboto;sans-serif"/>
                <w:b w:val="false"/>
                <w:color w:val="01024A"/>
                <w:sz w:val="16"/>
              </w:rPr>
              <w:t>Board and Committee Evaluations</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79">
              <w:r>
                <w:rPr>
                  <w:rStyle w:val="InternetLink"/>
                  <w:rFonts w:ascii="Roboto Light;sans-serif" w:hAnsi="Roboto Light;sans-serif"/>
                  <w:b w:val="false"/>
                  <w:strike w:val="false"/>
                  <w:dstrike w:val="false"/>
                  <w:color w:val="01024A"/>
                  <w:sz w:val="16"/>
                  <w:u w:val="none"/>
                  <w:effect w:val="none"/>
                </w:rPr>
                <w:t>33</w:t>
              </w:r>
            </w:hyperlink>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1024A"/>
                <w:sz w:val="16"/>
              </w:rPr>
            </w:pPr>
            <w:r>
              <w:rPr>
                <w:rFonts w:ascii="Roboto;sans-serif" w:hAnsi="Roboto;sans-serif"/>
                <w:b w:val="false"/>
                <w:color w:val="01024A"/>
                <w:sz w:val="16"/>
              </w:rPr>
              <w:t>Director Nomination Process</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82">
              <w:r>
                <w:rPr>
                  <w:rStyle w:val="InternetLink"/>
                  <w:rFonts w:ascii="Roboto Light;sans-serif" w:hAnsi="Roboto Light;sans-serif"/>
                  <w:b w:val="false"/>
                  <w:strike w:val="false"/>
                  <w:dstrike w:val="false"/>
                  <w:color w:val="01024A"/>
                  <w:sz w:val="16"/>
                  <w:u w:val="none"/>
                  <w:effect w:val="none"/>
                </w:rPr>
                <w:t>34</w:t>
              </w:r>
            </w:hyperlink>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1024A"/>
                <w:sz w:val="16"/>
              </w:rPr>
            </w:pPr>
            <w:r>
              <w:rPr>
                <w:rFonts w:ascii="Roboto;sans-serif" w:hAnsi="Roboto;sans-serif"/>
                <w:b w:val="false"/>
                <w:color w:val="01024A"/>
                <w:sz w:val="16"/>
              </w:rPr>
              <w:t>Director Qualification Criteria</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85">
              <w:r>
                <w:rPr>
                  <w:rStyle w:val="InternetLink"/>
                  <w:rFonts w:ascii="Roboto Light;sans-serif" w:hAnsi="Roboto Light;sans-serif"/>
                  <w:b w:val="false"/>
                  <w:strike w:val="false"/>
                  <w:dstrike w:val="false"/>
                  <w:color w:val="01024A"/>
                  <w:sz w:val="16"/>
                  <w:u w:val="none"/>
                  <w:effect w:val="none"/>
                </w:rPr>
                <w:t>34</w:t>
              </w:r>
            </w:hyperlink>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1024A"/>
                <w:sz w:val="16"/>
              </w:rPr>
            </w:pPr>
            <w:r>
              <w:rPr>
                <w:rFonts w:ascii="Roboto;sans-serif" w:hAnsi="Roboto;sans-serif"/>
                <w:b w:val="false"/>
                <w:color w:val="01024A"/>
                <w:sz w:val="16"/>
              </w:rPr>
              <w:t>Director Orientation, Engagement, and Continuing Education</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88">
              <w:r>
                <w:rPr>
                  <w:rStyle w:val="InternetLink"/>
                  <w:rFonts w:ascii="Roboto Light;sans-serif" w:hAnsi="Roboto Light;sans-serif"/>
                  <w:b w:val="false"/>
                  <w:strike w:val="false"/>
                  <w:dstrike w:val="false"/>
                  <w:color w:val="01024A"/>
                  <w:sz w:val="16"/>
                  <w:u w:val="none"/>
                  <w:effect w:val="none"/>
                </w:rPr>
                <w:t>35</w:t>
              </w:r>
            </w:hyperlink>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1024A"/>
                <w:sz w:val="16"/>
              </w:rPr>
            </w:pPr>
            <w:r>
              <w:rPr>
                <w:rFonts w:ascii="Roboto;sans-serif" w:hAnsi="Roboto;sans-serif"/>
                <w:b w:val="false"/>
                <w:color w:val="01024A"/>
                <w:sz w:val="16"/>
              </w:rPr>
              <w:t xml:space="preserve">Management Succession </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91">
              <w:r>
                <w:rPr>
                  <w:rStyle w:val="InternetLink"/>
                  <w:rFonts w:ascii="Roboto Light;sans-serif" w:hAnsi="Roboto Light;sans-serif"/>
                  <w:b w:val="false"/>
                  <w:strike w:val="false"/>
                  <w:dstrike w:val="false"/>
                  <w:color w:val="01024A"/>
                  <w:sz w:val="16"/>
                  <w:u w:val="none"/>
                  <w:effect w:val="none"/>
                </w:rPr>
                <w:t>35</w:t>
              </w:r>
            </w:hyperlink>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1024A"/>
                <w:sz w:val="16"/>
              </w:rPr>
            </w:pPr>
            <w:r>
              <w:rPr>
                <w:rFonts w:ascii="Roboto;sans-serif" w:hAnsi="Roboto;sans-serif"/>
                <w:b w:val="false"/>
                <w:color w:val="01024A"/>
                <w:sz w:val="16"/>
              </w:rPr>
              <w:t>Stockholder Engagement</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94">
              <w:r>
                <w:rPr>
                  <w:rStyle w:val="InternetLink"/>
                  <w:rFonts w:ascii="Roboto Light;sans-serif" w:hAnsi="Roboto Light;sans-serif"/>
                  <w:b w:val="false"/>
                  <w:strike w:val="false"/>
                  <w:dstrike w:val="false"/>
                  <w:color w:val="01024A"/>
                  <w:sz w:val="16"/>
                  <w:u w:val="none"/>
                  <w:effect w:val="none"/>
                </w:rPr>
                <w:t>36</w:t>
              </w:r>
            </w:hyperlink>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1024A"/>
                <w:sz w:val="16"/>
              </w:rPr>
            </w:pPr>
            <w:r>
              <w:rPr>
                <w:rFonts w:ascii="Roboto;sans-serif" w:hAnsi="Roboto;sans-serif"/>
                <w:b w:val="false"/>
                <w:color w:val="01024A"/>
                <w:sz w:val="16"/>
              </w:rPr>
              <w:t>Responsible Leadership</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97">
              <w:r>
                <w:rPr>
                  <w:rStyle w:val="InternetLink"/>
                  <w:rFonts w:ascii="Roboto Light;sans-serif" w:hAnsi="Roboto Light;sans-serif"/>
                  <w:b w:val="false"/>
                  <w:strike w:val="false"/>
                  <w:dstrike w:val="false"/>
                  <w:color w:val="01024A"/>
                  <w:sz w:val="16"/>
                  <w:u w:val="none"/>
                  <w:effect w:val="none"/>
                </w:rPr>
                <w:t>37</w:t>
              </w:r>
            </w:hyperlink>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1024A"/>
                <w:sz w:val="16"/>
              </w:rPr>
            </w:pPr>
            <w:r>
              <w:rPr>
                <w:rFonts w:ascii="Roboto;sans-serif" w:hAnsi="Roboto;sans-serif"/>
                <w:b w:val="false"/>
                <w:color w:val="01024A"/>
                <w:sz w:val="16"/>
              </w:rPr>
              <w:t>Board Oversight of Risk Management</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100">
              <w:r>
                <w:rPr>
                  <w:rStyle w:val="InternetLink"/>
                  <w:rFonts w:ascii="Roboto Light;sans-serif" w:hAnsi="Roboto Light;sans-serif"/>
                  <w:b w:val="false"/>
                  <w:strike w:val="false"/>
                  <w:dstrike w:val="false"/>
                  <w:color w:val="01024A"/>
                  <w:sz w:val="16"/>
                  <w:u w:val="none"/>
                  <w:effect w:val="none"/>
                </w:rPr>
                <w:t>39</w:t>
              </w:r>
            </w:hyperlink>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1024A"/>
                <w:sz w:val="16"/>
              </w:rPr>
            </w:pPr>
            <w:r>
              <w:rPr>
                <w:rFonts w:ascii="Roboto;sans-serif" w:hAnsi="Roboto;sans-serif"/>
                <w:b w:val="false"/>
                <w:color w:val="01024A"/>
                <w:sz w:val="16"/>
              </w:rPr>
              <w:t>Code of Ethics</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103">
              <w:r>
                <w:rPr>
                  <w:rStyle w:val="InternetLink"/>
                  <w:rFonts w:ascii="Roboto Light;sans-serif" w:hAnsi="Roboto Light;sans-serif"/>
                  <w:b w:val="false"/>
                  <w:strike w:val="false"/>
                  <w:dstrike w:val="false"/>
                  <w:color w:val="01024A"/>
                  <w:sz w:val="16"/>
                  <w:u w:val="none"/>
                  <w:effect w:val="none"/>
                </w:rPr>
                <w:t>40</w:t>
              </w:r>
            </w:hyperlink>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1024A"/>
                <w:sz w:val="16"/>
              </w:rPr>
            </w:pPr>
            <w:r>
              <w:rPr>
                <w:rFonts w:ascii="Roboto;sans-serif" w:hAnsi="Roboto;sans-serif"/>
                <w:b w:val="false"/>
                <w:color w:val="01024A"/>
                <w:sz w:val="16"/>
              </w:rPr>
              <w:t>Insider Trading Policy</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106">
              <w:r>
                <w:rPr>
                  <w:rStyle w:val="InternetLink"/>
                  <w:rFonts w:ascii="Roboto Light;sans-serif" w:hAnsi="Roboto Light;sans-serif"/>
                  <w:b w:val="false"/>
                  <w:strike w:val="false"/>
                  <w:dstrike w:val="false"/>
                  <w:color w:val="01024A"/>
                  <w:sz w:val="16"/>
                  <w:u w:val="none"/>
                  <w:effect w:val="none"/>
                </w:rPr>
                <w:t>41</w:t>
              </w:r>
            </w:hyperlink>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1024A"/>
                <w:sz w:val="16"/>
              </w:rPr>
            </w:pPr>
            <w:r>
              <w:rPr>
                <w:rFonts w:ascii="Roboto;sans-serif" w:hAnsi="Roboto;sans-serif"/>
                <w:b w:val="false"/>
                <w:color w:val="01024A"/>
                <w:sz w:val="16"/>
              </w:rPr>
              <w:t>Communications with the Board</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112">
              <w:r>
                <w:rPr>
                  <w:rStyle w:val="InternetLink"/>
                  <w:rFonts w:ascii="Roboto Light;sans-serif" w:hAnsi="Roboto Light;sans-serif"/>
                  <w:b w:val="false"/>
                  <w:strike w:val="false"/>
                  <w:dstrike w:val="false"/>
                  <w:color w:val="01024A"/>
                  <w:sz w:val="16"/>
                  <w:u w:val="none"/>
                  <w:effect w:val="none"/>
                </w:rPr>
                <w:t>41</w:t>
              </w:r>
            </w:hyperlink>
          </w:p>
        </w:tc>
      </w:tr>
      <w:tr>
        <w:trPr/>
        <w:tc>
          <w:tcPr>
            <w:tcW w:w="6734" w:type="dxa"/>
            <w:gridSpan w:val="3"/>
            <w:tcBorders>
              <w:bottom w:val="single" w:sz="4" w:space="0" w:color="1946C8"/>
            </w:tcBorders>
            <w:shd w:fill="FFFFFF" w:val="clear"/>
            <w:tcMar>
              <w:top w:w="0" w:type="dxa"/>
              <w:left w:w="0" w:type="dxa"/>
              <w:bottom w:w="30" w:type="dxa"/>
              <w:right w:w="0" w:type="dxa"/>
            </w:tcMar>
            <w:vAlign w:val="center"/>
          </w:tcPr>
          <w:p>
            <w:pPr>
              <w:pStyle w:val="TableContents"/>
              <w:bidi w:val="0"/>
              <w:spacing w:lineRule="auto" w:line="312" w:before="0" w:after="283"/>
              <w:jc w:val="left"/>
              <w:rPr>
                <w:rFonts w:ascii="Roboto;sans-serif" w:hAnsi="Roboto;sans-serif"/>
                <w:b w:val="false"/>
                <w:color w:val="01024A"/>
                <w:sz w:val="16"/>
              </w:rPr>
            </w:pPr>
            <w:r>
              <w:rPr>
                <w:rFonts w:ascii="Roboto;sans-serif" w:hAnsi="Roboto;sans-serif"/>
                <w:b w:val="false"/>
                <w:color w:val="01024A"/>
                <w:sz w:val="16"/>
              </w:rPr>
              <w:t>Compensation of Directors</w:t>
            </w:r>
          </w:p>
        </w:tc>
        <w:tc>
          <w:tcPr>
            <w:tcW w:w="391" w:type="dxa"/>
            <w:gridSpan w:val="3"/>
            <w:tcBorders>
              <w:bottom w:val="single" w:sz="4" w:space="0" w:color="1946C8"/>
            </w:tcBorders>
            <w:shd w:fill="FFFFFF" w:val="clear"/>
            <w:tcMar>
              <w:top w:w="0" w:type="dxa"/>
              <w:left w:w="0" w:type="dxa"/>
              <w:bottom w:w="30" w:type="dxa"/>
              <w:right w:w="0" w:type="dxa"/>
            </w:tcMar>
            <w:vAlign w:val="center"/>
          </w:tcPr>
          <w:p>
            <w:pPr>
              <w:pStyle w:val="TableContents"/>
              <w:bidi w:val="0"/>
              <w:spacing w:lineRule="auto" w:line="312" w:before="0" w:after="0"/>
              <w:jc w:val="center"/>
              <w:rPr/>
            </w:pPr>
            <w:hyperlink w:anchor="i2ad592f4dc4b4b6f8a38b815f52d3bc1_112">
              <w:r>
                <w:rPr>
                  <w:rStyle w:val="InternetLink"/>
                  <w:rFonts w:ascii="Roboto Light;sans-serif" w:hAnsi="Roboto Light;sans-serif"/>
                  <w:b w:val="false"/>
                  <w:strike w:val="false"/>
                  <w:dstrike w:val="false"/>
                  <w:color w:val="01024A"/>
                  <w:sz w:val="16"/>
                  <w:u w:val="none"/>
                  <w:effect w:val="none"/>
                </w:rPr>
                <w:t>41</w:t>
              </w:r>
            </w:hyperlink>
          </w:p>
        </w:tc>
      </w:tr>
    </w:tbl>
    <w:tbl>
      <w:tblPr>
        <w:tblW w:w="10205" w:type="dxa"/>
        <w:jc w:val="left"/>
        <w:tblInd w:w="0" w:type="dxa"/>
        <w:tblLayout w:type="fixed"/>
        <w:tblCellMar>
          <w:top w:w="28" w:type="dxa"/>
          <w:left w:w="28" w:type="dxa"/>
          <w:bottom w:w="28" w:type="dxa"/>
          <w:right w:w="28" w:type="dxa"/>
        </w:tblCellMar>
      </w:tblPr>
      <w:tblGrid>
        <w:gridCol w:w="3581"/>
        <w:gridCol w:w="3074"/>
        <w:gridCol w:w="3089"/>
        <w:gridCol w:w="134"/>
        <w:gridCol w:w="134"/>
        <w:gridCol w:w="193"/>
      </w:tblGrid>
      <w:tr>
        <w:trPr/>
        <w:tc>
          <w:tcPr>
            <w:tcW w:w="3581" w:type="dxa"/>
            <w:tcBorders/>
            <w:vAlign w:val="center"/>
          </w:tcPr>
          <w:p>
            <w:pPr>
              <w:pStyle w:val="TableContents"/>
              <w:bidi w:val="0"/>
              <w:spacing w:before="0" w:after="283"/>
              <w:jc w:val="left"/>
              <w:rPr>
                <w:sz w:val="4"/>
                <w:szCs w:val="4"/>
              </w:rPr>
            </w:pPr>
            <w:r>
              <w:rPr>
                <w:sz w:val="4"/>
                <w:szCs w:val="4"/>
              </w:rPr>
            </w:r>
          </w:p>
        </w:tc>
        <w:tc>
          <w:tcPr>
            <w:tcW w:w="3074"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9744"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1946C8"/>
                <w:sz w:val="16"/>
              </w:rPr>
            </w:pPr>
            <w:r>
              <w:rPr>
                <w:rFonts w:ascii="Roboto;sans-serif" w:hAnsi="Roboto;sans-serif"/>
                <w:b/>
                <w:color w:val="1946C8"/>
                <w:sz w:val="16"/>
              </w:rPr>
              <w:t>Proposal Two - Ratification of Appointment of Independent Registered Public Accounting Firm</w:t>
            </w:r>
          </w:p>
        </w:tc>
        <w:tc>
          <w:tcPr>
            <w:tcW w:w="46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2ad592f4dc4b4b6f8a38b815f52d3bc1_115">
              <w:r>
                <w:rPr>
                  <w:rStyle w:val="InternetLink"/>
                  <w:rFonts w:ascii="Roboto;sans-serif" w:hAnsi="Roboto;sans-serif"/>
                  <w:b/>
                  <w:strike w:val="false"/>
                  <w:dstrike w:val="false"/>
                  <w:color w:val="1946C8"/>
                  <w:sz w:val="16"/>
                  <w:u w:val="none"/>
                  <w:effect w:val="none"/>
                </w:rPr>
                <w:t>45</w:t>
              </w:r>
            </w:hyperlink>
          </w:p>
        </w:tc>
      </w:tr>
      <w:tr>
        <w:trPr/>
        <w:tc>
          <w:tcPr>
            <w:tcW w:w="974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1024A"/>
                <w:sz w:val="16"/>
              </w:rPr>
            </w:pPr>
            <w:r>
              <w:rPr>
                <w:rFonts w:ascii="Roboto;sans-serif" w:hAnsi="Roboto;sans-serif"/>
                <w:b/>
                <w:color w:val="01024A"/>
                <w:sz w:val="16"/>
              </w:rPr>
              <w:t>Audit and Non-Audit Fees</w:t>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118">
              <w:r>
                <w:rPr>
                  <w:rStyle w:val="InternetLink"/>
                  <w:rFonts w:ascii="Roboto;sans-serif" w:hAnsi="Roboto;sans-serif"/>
                  <w:b/>
                  <w:strike w:val="false"/>
                  <w:dstrike w:val="false"/>
                  <w:color w:val="01024A"/>
                  <w:sz w:val="16"/>
                  <w:u w:val="none"/>
                  <w:effect w:val="none"/>
                </w:rPr>
                <w:t>46</w:t>
              </w:r>
            </w:hyperlink>
          </w:p>
        </w:tc>
      </w:tr>
      <w:tr>
        <w:trPr/>
        <w:tc>
          <w:tcPr>
            <w:tcW w:w="974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1024A"/>
                <w:sz w:val="16"/>
              </w:rPr>
            </w:pPr>
            <w:r>
              <w:rPr>
                <w:rFonts w:ascii="Roboto;sans-serif" w:hAnsi="Roboto;sans-serif"/>
                <w:b/>
                <w:color w:val="01024A"/>
                <w:sz w:val="16"/>
              </w:rPr>
              <w:t>Audit Committee Pre-Approval Policy</w:t>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121">
              <w:r>
                <w:rPr>
                  <w:rStyle w:val="InternetLink"/>
                  <w:rFonts w:ascii="Roboto;sans-serif" w:hAnsi="Roboto;sans-serif"/>
                  <w:b/>
                  <w:strike w:val="false"/>
                  <w:dstrike w:val="false"/>
                  <w:color w:val="01024A"/>
                  <w:sz w:val="16"/>
                  <w:u w:val="none"/>
                  <w:effect w:val="none"/>
                </w:rPr>
                <w:t>46</w:t>
              </w:r>
            </w:hyperlink>
          </w:p>
        </w:tc>
      </w:tr>
      <w:tr>
        <w:trPr/>
        <w:tc>
          <w:tcPr>
            <w:tcW w:w="974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1024A"/>
                <w:sz w:val="16"/>
              </w:rPr>
            </w:pPr>
            <w:r>
              <w:rPr>
                <w:rFonts w:ascii="Roboto;sans-serif" w:hAnsi="Roboto;sans-serif"/>
                <w:b/>
                <w:color w:val="01024A"/>
                <w:sz w:val="16"/>
              </w:rPr>
              <w:t>Report of the Audit Committee</w:t>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124">
              <w:r>
                <w:rPr>
                  <w:rStyle w:val="InternetLink"/>
                  <w:rFonts w:ascii="Roboto;sans-serif" w:hAnsi="Roboto;sans-serif"/>
                  <w:b/>
                  <w:strike w:val="false"/>
                  <w:dstrike w:val="false"/>
                  <w:color w:val="01024A"/>
                  <w:sz w:val="16"/>
                  <w:u w:val="none"/>
                  <w:effect w:val="none"/>
                </w:rPr>
                <w:t>47</w:t>
              </w:r>
            </w:hyperlink>
          </w:p>
        </w:tc>
      </w:tr>
      <w:tr>
        <w:trPr/>
        <w:tc>
          <w:tcPr>
            <w:tcW w:w="9744"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1946C8"/>
                <w:sz w:val="16"/>
              </w:rPr>
            </w:pPr>
            <w:r>
              <w:rPr>
                <w:rFonts w:ascii="Roboto;sans-serif" w:hAnsi="Roboto;sans-serif"/>
                <w:b/>
                <w:color w:val="1946C8"/>
                <w:sz w:val="16"/>
              </w:rPr>
              <w:t>Proposal Three - Non-Binding Advisory Vote, of the Fiscal 2025 Compensation Paid to the Company’s Named Executive Officers</w:t>
            </w:r>
          </w:p>
        </w:tc>
        <w:tc>
          <w:tcPr>
            <w:tcW w:w="46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2ad592f4dc4b4b6f8a38b815f52d3bc1_127">
              <w:r>
                <w:rPr>
                  <w:rStyle w:val="InternetLink"/>
                  <w:rFonts w:ascii="Roboto;sans-serif" w:hAnsi="Roboto;sans-serif"/>
                  <w:b/>
                  <w:strike w:val="false"/>
                  <w:dstrike w:val="false"/>
                  <w:color w:val="1946C8"/>
                  <w:sz w:val="16"/>
                  <w:u w:val="none"/>
                  <w:effect w:val="none"/>
                </w:rPr>
                <w:t>48</w:t>
              </w:r>
            </w:hyperlink>
          </w:p>
        </w:tc>
      </w:tr>
      <w:tr>
        <w:trPr/>
        <w:tc>
          <w:tcPr>
            <w:tcW w:w="974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1024A"/>
                <w:sz w:val="16"/>
              </w:rPr>
            </w:pPr>
            <w:r>
              <w:rPr>
                <w:rFonts w:ascii="Roboto;sans-serif" w:hAnsi="Roboto;sans-serif"/>
                <w:b/>
                <w:color w:val="01024A"/>
                <w:sz w:val="16"/>
              </w:rPr>
              <w:t>Compensation Discussion and Analysis</w:t>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130">
              <w:r>
                <w:rPr>
                  <w:rStyle w:val="InternetLink"/>
                  <w:rFonts w:ascii="Roboto;sans-serif" w:hAnsi="Roboto;sans-serif"/>
                  <w:b/>
                  <w:strike w:val="false"/>
                  <w:dstrike w:val="false"/>
                  <w:color w:val="01024A"/>
                  <w:sz w:val="16"/>
                  <w:u w:val="none"/>
                  <w:effect w:val="none"/>
                </w:rPr>
                <w:t>49</w:t>
              </w:r>
            </w:hyperlink>
          </w:p>
        </w:tc>
      </w:tr>
      <w:tr>
        <w:trPr/>
        <w:tc>
          <w:tcPr>
            <w:tcW w:w="974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1024A"/>
                <w:sz w:val="16"/>
              </w:rPr>
            </w:pPr>
            <w:r>
              <w:rPr>
                <w:rFonts w:ascii="Roboto;sans-serif" w:hAnsi="Roboto;sans-serif"/>
                <w:b/>
                <w:color w:val="01024A"/>
                <w:sz w:val="16"/>
              </w:rPr>
              <w:t>Compensation Committee Report</w:t>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133">
              <w:r>
                <w:rPr>
                  <w:rStyle w:val="InternetLink"/>
                  <w:rFonts w:ascii="Roboto;sans-serif" w:hAnsi="Roboto;sans-serif"/>
                  <w:b/>
                  <w:strike w:val="false"/>
                  <w:dstrike w:val="false"/>
                  <w:color w:val="01024A"/>
                  <w:sz w:val="16"/>
                  <w:u w:val="none"/>
                  <w:effect w:val="none"/>
                </w:rPr>
                <w:t>66</w:t>
              </w:r>
            </w:hyperlink>
          </w:p>
        </w:tc>
      </w:tr>
      <w:tr>
        <w:trPr/>
        <w:tc>
          <w:tcPr>
            <w:tcW w:w="974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1024A"/>
                <w:sz w:val="16"/>
              </w:rPr>
            </w:pPr>
            <w:r>
              <w:rPr>
                <w:rFonts w:ascii="Roboto;sans-serif" w:hAnsi="Roboto;sans-serif"/>
                <w:b/>
                <w:color w:val="01024A"/>
                <w:sz w:val="16"/>
              </w:rPr>
              <w:t>Summary Compensation Table</w:t>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136">
              <w:r>
                <w:rPr>
                  <w:rStyle w:val="InternetLink"/>
                  <w:rFonts w:ascii="Roboto;sans-serif" w:hAnsi="Roboto;sans-serif"/>
                  <w:b/>
                  <w:strike w:val="false"/>
                  <w:dstrike w:val="false"/>
                  <w:color w:val="01024A"/>
                  <w:sz w:val="16"/>
                  <w:u w:val="none"/>
                  <w:effect w:val="none"/>
                </w:rPr>
                <w:t>67</w:t>
              </w:r>
            </w:hyperlink>
          </w:p>
        </w:tc>
      </w:tr>
      <w:tr>
        <w:trPr/>
        <w:tc>
          <w:tcPr>
            <w:tcW w:w="974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1024A"/>
                <w:sz w:val="16"/>
              </w:rPr>
            </w:pPr>
            <w:r>
              <w:rPr>
                <w:rFonts w:ascii="Roboto;sans-serif" w:hAnsi="Roboto;sans-serif"/>
                <w:b/>
                <w:color w:val="01024A"/>
                <w:sz w:val="16"/>
              </w:rPr>
              <w:t>Grants of Plan Based Awards in 2025</w:t>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139">
              <w:r>
                <w:rPr>
                  <w:rStyle w:val="InternetLink"/>
                  <w:rFonts w:ascii="Roboto;sans-serif" w:hAnsi="Roboto;sans-serif"/>
                  <w:b/>
                  <w:strike w:val="false"/>
                  <w:dstrike w:val="false"/>
                  <w:color w:val="01024A"/>
                  <w:sz w:val="16"/>
                  <w:u w:val="none"/>
                  <w:effect w:val="none"/>
                </w:rPr>
                <w:t>68</w:t>
              </w:r>
            </w:hyperlink>
          </w:p>
        </w:tc>
      </w:tr>
      <w:tr>
        <w:trPr/>
        <w:tc>
          <w:tcPr>
            <w:tcW w:w="974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1024A"/>
                <w:sz w:val="16"/>
              </w:rPr>
            </w:pPr>
            <w:r>
              <w:rPr>
                <w:rFonts w:ascii="Roboto;sans-serif" w:hAnsi="Roboto;sans-serif"/>
                <w:b/>
                <w:color w:val="01024A"/>
                <w:sz w:val="16"/>
              </w:rPr>
              <w:t>Outstanding Equity Awards at 2025 Fiscal Year End</w:t>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142">
              <w:r>
                <w:rPr>
                  <w:rStyle w:val="InternetLink"/>
                  <w:rFonts w:ascii="Roboto;sans-serif" w:hAnsi="Roboto;sans-serif"/>
                  <w:b/>
                  <w:strike w:val="false"/>
                  <w:dstrike w:val="false"/>
                  <w:color w:val="01024A"/>
                  <w:sz w:val="16"/>
                  <w:u w:val="none"/>
                  <w:effect w:val="none"/>
                </w:rPr>
                <w:t>69</w:t>
              </w:r>
            </w:hyperlink>
          </w:p>
        </w:tc>
      </w:tr>
      <w:tr>
        <w:trPr/>
        <w:tc>
          <w:tcPr>
            <w:tcW w:w="974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1024A"/>
                <w:sz w:val="16"/>
              </w:rPr>
            </w:pPr>
            <w:r>
              <w:rPr>
                <w:rFonts w:ascii="Roboto;sans-serif" w:hAnsi="Roboto;sans-serif"/>
                <w:b/>
                <w:color w:val="01024A"/>
                <w:sz w:val="16"/>
              </w:rPr>
              <w:t>Option Exercises and Stock Awards Vested</w:t>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145">
              <w:r>
                <w:rPr>
                  <w:rStyle w:val="InternetLink"/>
                  <w:rFonts w:ascii="Roboto;sans-serif" w:hAnsi="Roboto;sans-serif"/>
                  <w:b/>
                  <w:strike w:val="false"/>
                  <w:dstrike w:val="false"/>
                  <w:color w:val="01024A"/>
                  <w:sz w:val="16"/>
                  <w:u w:val="none"/>
                  <w:effect w:val="none"/>
                </w:rPr>
                <w:t>71</w:t>
              </w:r>
            </w:hyperlink>
          </w:p>
        </w:tc>
      </w:tr>
      <w:tr>
        <w:trPr/>
        <w:tc>
          <w:tcPr>
            <w:tcW w:w="974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1024A"/>
                <w:sz w:val="16"/>
              </w:rPr>
            </w:pPr>
            <w:r>
              <w:rPr>
                <w:rFonts w:ascii="Roboto;sans-serif" w:hAnsi="Roboto;sans-serif"/>
                <w:b/>
                <w:color w:val="01024A"/>
                <w:sz w:val="16"/>
              </w:rPr>
              <w:t>Potential Payments Upon Qualifying Termination of Employment or Change of Control</w:t>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148">
              <w:r>
                <w:rPr>
                  <w:rStyle w:val="InternetLink"/>
                  <w:rFonts w:ascii="Roboto;sans-serif" w:hAnsi="Roboto;sans-serif"/>
                  <w:b/>
                  <w:strike w:val="false"/>
                  <w:dstrike w:val="false"/>
                  <w:color w:val="01024A"/>
                  <w:sz w:val="16"/>
                  <w:u w:val="none"/>
                  <w:effect w:val="none"/>
                </w:rPr>
                <w:t>72</w:t>
              </w:r>
            </w:hyperlink>
          </w:p>
        </w:tc>
      </w:tr>
      <w:tr>
        <w:trPr/>
        <w:tc>
          <w:tcPr>
            <w:tcW w:w="974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1024A"/>
                <w:sz w:val="16"/>
              </w:rPr>
            </w:pPr>
            <w:r>
              <w:rPr>
                <w:rFonts w:ascii="Roboto;sans-serif" w:hAnsi="Roboto;sans-serif"/>
                <w:b/>
                <w:color w:val="01024A"/>
                <w:sz w:val="16"/>
              </w:rPr>
              <w:t>Employment Agreements</w:t>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151">
              <w:r>
                <w:rPr>
                  <w:rStyle w:val="InternetLink"/>
                  <w:rFonts w:ascii="Roboto;sans-serif" w:hAnsi="Roboto;sans-serif"/>
                  <w:b/>
                  <w:strike w:val="false"/>
                  <w:dstrike w:val="false"/>
                  <w:color w:val="01024A"/>
                  <w:sz w:val="16"/>
                  <w:u w:val="none"/>
                  <w:effect w:val="none"/>
                </w:rPr>
                <w:t>73</w:t>
              </w:r>
            </w:hyperlink>
          </w:p>
        </w:tc>
      </w:tr>
      <w:tr>
        <w:trPr/>
        <w:tc>
          <w:tcPr>
            <w:tcW w:w="9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1024A"/>
                <w:sz w:val="16"/>
              </w:rPr>
            </w:pPr>
            <w:r>
              <w:rPr>
                <w:rFonts w:ascii="Roboto;sans-serif" w:hAnsi="Roboto;sans-serif"/>
                <w:b w:val="false"/>
                <w:color w:val="01024A"/>
                <w:sz w:val="16"/>
              </w:rPr>
              <w:t>Severance Arrangements</w:t>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154">
              <w:r>
                <w:rPr>
                  <w:rStyle w:val="InternetLink"/>
                  <w:rFonts w:ascii="Roboto;sans-serif" w:hAnsi="Roboto;sans-serif"/>
                  <w:b/>
                  <w:strike w:val="false"/>
                  <w:dstrike w:val="false"/>
                  <w:color w:val="01024A"/>
                  <w:sz w:val="16"/>
                  <w:u w:val="none"/>
                  <w:effect w:val="none"/>
                </w:rPr>
                <w:t>74</w:t>
              </w:r>
            </w:hyperlink>
          </w:p>
        </w:tc>
      </w:tr>
      <w:tr>
        <w:trPr/>
        <w:tc>
          <w:tcPr>
            <w:tcW w:w="9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1024A"/>
                <w:sz w:val="16"/>
              </w:rPr>
            </w:pPr>
            <w:r>
              <w:rPr>
                <w:rFonts w:ascii="Roboto;sans-serif" w:hAnsi="Roboto;sans-serif"/>
                <w:b w:val="false"/>
                <w:color w:val="01024A"/>
                <w:sz w:val="16"/>
              </w:rPr>
              <w:t>Equity Award Accelerated Vesting</w:t>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157">
              <w:r>
                <w:rPr>
                  <w:rStyle w:val="InternetLink"/>
                  <w:rFonts w:ascii="Roboto;sans-serif" w:hAnsi="Roboto;sans-serif"/>
                  <w:b/>
                  <w:strike w:val="false"/>
                  <w:dstrike w:val="false"/>
                  <w:color w:val="01024A"/>
                  <w:sz w:val="16"/>
                  <w:u w:val="none"/>
                  <w:effect w:val="none"/>
                </w:rPr>
                <w:t>75</w:t>
              </w:r>
            </w:hyperlink>
          </w:p>
        </w:tc>
      </w:tr>
      <w:tr>
        <w:trPr/>
        <w:tc>
          <w:tcPr>
            <w:tcW w:w="9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1024A"/>
                <w:sz w:val="16"/>
              </w:rPr>
            </w:pPr>
            <w:r>
              <w:rPr>
                <w:rFonts w:ascii="Roboto;sans-serif" w:hAnsi="Roboto;sans-serif"/>
                <w:b w:val="false"/>
                <w:color w:val="01024A"/>
                <w:sz w:val="16"/>
              </w:rPr>
              <w:t>CEO Pay Ratio</w:t>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160">
              <w:r>
                <w:rPr>
                  <w:rStyle w:val="InternetLink"/>
                  <w:rFonts w:ascii="Roboto;sans-serif" w:hAnsi="Roboto;sans-serif"/>
                  <w:b/>
                  <w:strike w:val="false"/>
                  <w:dstrike w:val="false"/>
                  <w:color w:val="01024A"/>
                  <w:sz w:val="16"/>
                  <w:u w:val="none"/>
                  <w:effect w:val="none"/>
                </w:rPr>
                <w:t>76</w:t>
              </w:r>
            </w:hyperlink>
          </w:p>
        </w:tc>
      </w:tr>
      <w:tr>
        <w:trPr/>
        <w:tc>
          <w:tcPr>
            <w:tcW w:w="974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1024A"/>
                <w:sz w:val="16"/>
              </w:rPr>
            </w:pPr>
            <w:r>
              <w:rPr>
                <w:rFonts w:ascii="Roboto;sans-serif" w:hAnsi="Roboto;sans-serif"/>
                <w:b w:val="false"/>
                <w:color w:val="01024A"/>
                <w:sz w:val="16"/>
              </w:rPr>
              <w:t>Pay versus Performance</w:t>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163">
              <w:r>
                <w:rPr>
                  <w:rStyle w:val="InternetLink"/>
                  <w:rFonts w:ascii="Roboto;sans-serif" w:hAnsi="Roboto;sans-serif"/>
                  <w:b/>
                  <w:strike w:val="false"/>
                  <w:dstrike w:val="false"/>
                  <w:color w:val="1B4093"/>
                  <w:sz w:val="16"/>
                  <w:u w:val="none"/>
                  <w:effect w:val="none"/>
                </w:rPr>
                <w:t>77</w:t>
              </w:r>
            </w:hyperlink>
          </w:p>
        </w:tc>
      </w:tr>
      <w:tr>
        <w:trPr/>
        <w:tc>
          <w:tcPr>
            <w:tcW w:w="9744"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1946C8"/>
                <w:sz w:val="16"/>
              </w:rPr>
            </w:pPr>
            <w:r>
              <w:rPr>
                <w:rFonts w:ascii="Roboto;sans-serif" w:hAnsi="Roboto;sans-serif"/>
                <w:b/>
                <w:color w:val="1946C8"/>
                <w:sz w:val="16"/>
              </w:rPr>
              <w:t>Ownership of Securities</w:t>
            </w:r>
          </w:p>
        </w:tc>
        <w:tc>
          <w:tcPr>
            <w:tcW w:w="46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2ad592f4dc4b4b6f8a38b815f52d3bc1_205">
              <w:r>
                <w:rPr>
                  <w:rStyle w:val="InternetLink"/>
                  <w:rFonts w:ascii="Roboto;sans-serif" w:hAnsi="Roboto;sans-serif"/>
                  <w:b/>
                  <w:strike w:val="false"/>
                  <w:dstrike w:val="false"/>
                  <w:color w:val="1946C8"/>
                  <w:sz w:val="16"/>
                  <w:u w:val="none"/>
                  <w:effect w:val="none"/>
                </w:rPr>
                <w:t>81</w:t>
              </w:r>
            </w:hyperlink>
          </w:p>
        </w:tc>
      </w:tr>
      <w:tr>
        <w:trPr/>
        <w:tc>
          <w:tcPr>
            <w:tcW w:w="974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1024A"/>
                <w:sz w:val="16"/>
              </w:rPr>
            </w:pPr>
            <w:r>
              <w:rPr>
                <w:rFonts w:ascii="Roboto;sans-serif" w:hAnsi="Roboto;sans-serif"/>
                <w:b/>
                <w:color w:val="01024A"/>
                <w:sz w:val="16"/>
              </w:rPr>
              <w:t>Beneficial Ownership of Company Common Stock</w:t>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205">
              <w:r>
                <w:rPr>
                  <w:rStyle w:val="InternetLink"/>
                  <w:rFonts w:ascii="Roboto;sans-serif" w:hAnsi="Roboto;sans-serif"/>
                  <w:b/>
                  <w:strike w:val="false"/>
                  <w:dstrike w:val="false"/>
                  <w:color w:val="01024A"/>
                  <w:sz w:val="16"/>
                  <w:u w:val="none"/>
                  <w:effect w:val="none"/>
                </w:rPr>
                <w:t>81</w:t>
              </w:r>
            </w:hyperlink>
          </w:p>
        </w:tc>
      </w:tr>
      <w:tr>
        <w:trPr/>
        <w:tc>
          <w:tcPr>
            <w:tcW w:w="9744"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1946C8"/>
                <w:sz w:val="16"/>
              </w:rPr>
            </w:pPr>
            <w:r>
              <w:rPr>
                <w:rFonts w:ascii="Roboto;sans-serif" w:hAnsi="Roboto;sans-serif"/>
                <w:b/>
                <w:color w:val="1946C8"/>
                <w:sz w:val="16"/>
              </w:rPr>
              <w:t>Transactions with Related Persons</w:t>
            </w:r>
          </w:p>
        </w:tc>
        <w:tc>
          <w:tcPr>
            <w:tcW w:w="46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2ad592f4dc4b4b6f8a38b815f52d3bc1_208">
              <w:r>
                <w:rPr>
                  <w:rStyle w:val="InternetLink"/>
                  <w:rFonts w:ascii="Roboto;sans-serif" w:hAnsi="Roboto;sans-serif"/>
                  <w:b/>
                  <w:strike w:val="false"/>
                  <w:dstrike w:val="false"/>
                  <w:color w:val="1946C8"/>
                  <w:sz w:val="16"/>
                  <w:u w:val="none"/>
                  <w:effect w:val="none"/>
                </w:rPr>
                <w:t>84</w:t>
              </w:r>
            </w:hyperlink>
          </w:p>
        </w:tc>
      </w:tr>
      <w:tr>
        <w:trPr/>
        <w:tc>
          <w:tcPr>
            <w:tcW w:w="9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1024A"/>
                <w:sz w:val="16"/>
              </w:rPr>
            </w:pPr>
            <w:r>
              <w:rPr>
                <w:rFonts w:ascii="Roboto;sans-serif" w:hAnsi="Roboto;sans-serif"/>
                <w:b/>
                <w:color w:val="01024A"/>
                <w:sz w:val="16"/>
              </w:rPr>
              <w:t>Related Party Transaction Policy</w:t>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color w:val="000000"/>
                <w:sz w:val="16"/>
              </w:rPr>
            </w:pPr>
            <w:r>
              <w:rPr>
                <w:rFonts w:ascii="Roboto;sans-serif" w:hAnsi="Roboto;sans-serif"/>
                <w:b/>
                <w:color w:val="000000"/>
                <w:sz w:val="16"/>
              </w:rPr>
              <w:t>84</w:t>
            </w:r>
          </w:p>
        </w:tc>
      </w:tr>
      <w:tr>
        <w:trPr/>
        <w:tc>
          <w:tcPr>
            <w:tcW w:w="974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1024A"/>
                <w:sz w:val="16"/>
              </w:rPr>
            </w:pPr>
            <w:r>
              <w:rPr>
                <w:rFonts w:ascii="Roboto;sans-serif" w:hAnsi="Roboto;sans-serif"/>
                <w:b/>
                <w:color w:val="01024A"/>
                <w:sz w:val="16"/>
              </w:rPr>
              <w:t>Related Party Transactions</w:t>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color w:val="000000"/>
                <w:sz w:val="16"/>
              </w:rPr>
            </w:pPr>
            <w:r>
              <w:rPr>
                <w:rFonts w:ascii="Roboto;sans-serif" w:hAnsi="Roboto;sans-serif"/>
                <w:b/>
                <w:color w:val="000000"/>
                <w:sz w:val="16"/>
              </w:rPr>
              <w:t>84</w:t>
            </w:r>
          </w:p>
        </w:tc>
      </w:tr>
      <w:tr>
        <w:trPr/>
        <w:tc>
          <w:tcPr>
            <w:tcW w:w="9744"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1946C8"/>
                <w:sz w:val="16"/>
              </w:rPr>
            </w:pPr>
            <w:r>
              <w:rPr>
                <w:rFonts w:ascii="Roboto;sans-serif" w:hAnsi="Roboto;sans-serif"/>
                <w:b/>
                <w:color w:val="1946C8"/>
                <w:sz w:val="16"/>
              </w:rPr>
              <w:t>Stockholder Proposals for the 2027 Annual Meeting of Stockholders</w:t>
            </w:r>
          </w:p>
        </w:tc>
        <w:tc>
          <w:tcPr>
            <w:tcW w:w="46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2ad592f4dc4b4b6f8a38b815f52d3bc1_211">
              <w:r>
                <w:rPr>
                  <w:rStyle w:val="InternetLink"/>
                  <w:rFonts w:ascii="Roboto;sans-serif" w:hAnsi="Roboto;sans-serif"/>
                  <w:b/>
                  <w:strike w:val="false"/>
                  <w:dstrike w:val="false"/>
                  <w:color w:val="1946C8"/>
                  <w:sz w:val="16"/>
                  <w:u w:val="none"/>
                  <w:effect w:val="none"/>
                </w:rPr>
                <w:t>85</w:t>
              </w:r>
            </w:hyperlink>
          </w:p>
        </w:tc>
      </w:tr>
      <w:tr>
        <w:trPr/>
        <w:tc>
          <w:tcPr>
            <w:tcW w:w="9744"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1946C8"/>
                <w:sz w:val="16"/>
              </w:rPr>
            </w:pPr>
            <w:r>
              <w:rPr>
                <w:rFonts w:ascii="Roboto;sans-serif" w:hAnsi="Roboto;sans-serif"/>
                <w:b/>
                <w:color w:val="1946C8"/>
                <w:sz w:val="16"/>
              </w:rPr>
              <w:t>Householding of Proxy Materials</w:t>
            </w:r>
          </w:p>
        </w:tc>
        <w:tc>
          <w:tcPr>
            <w:tcW w:w="46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2ad592f4dc4b4b6f8a38b815f52d3bc1_214">
              <w:r>
                <w:rPr>
                  <w:rStyle w:val="InternetLink"/>
                  <w:rFonts w:ascii="Roboto;sans-serif" w:hAnsi="Roboto;sans-serif"/>
                  <w:b/>
                  <w:strike w:val="false"/>
                  <w:dstrike w:val="false"/>
                  <w:color w:val="1946C8"/>
                  <w:sz w:val="16"/>
                  <w:u w:val="none"/>
                  <w:effect w:val="none"/>
                </w:rPr>
                <w:t>86</w:t>
              </w:r>
            </w:hyperlink>
          </w:p>
        </w:tc>
      </w:tr>
      <w:tr>
        <w:trPr/>
        <w:tc>
          <w:tcPr>
            <w:tcW w:w="9744"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1946C8"/>
                <w:sz w:val="16"/>
              </w:rPr>
            </w:pPr>
            <w:r>
              <w:rPr>
                <w:rFonts w:ascii="Roboto;sans-serif" w:hAnsi="Roboto;sans-serif"/>
                <w:b/>
                <w:color w:val="1946C8"/>
                <w:sz w:val="16"/>
              </w:rPr>
              <w:t>Other Business</w:t>
            </w:r>
          </w:p>
        </w:tc>
        <w:tc>
          <w:tcPr>
            <w:tcW w:w="46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0"/>
              <w:jc w:val="center"/>
              <w:rPr/>
            </w:pPr>
            <w:hyperlink w:anchor="i2ad592f4dc4b4b6f8a38b815f52d3bc1_217">
              <w:r>
                <w:rPr>
                  <w:rStyle w:val="InternetLink"/>
                  <w:rFonts w:ascii="Roboto;sans-serif" w:hAnsi="Roboto;sans-serif"/>
                  <w:b/>
                  <w:strike w:val="false"/>
                  <w:dstrike w:val="false"/>
                  <w:color w:val="1946C8"/>
                  <w:sz w:val="16"/>
                  <w:u w:val="none"/>
                  <w:effect w:val="none"/>
                </w:rPr>
                <w:t>87</w:t>
              </w:r>
            </w:hyperlink>
          </w:p>
        </w:tc>
      </w:tr>
      <w:tr>
        <w:trPr/>
        <w:tc>
          <w:tcPr>
            <w:tcW w:w="974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1024A"/>
                <w:sz w:val="16"/>
              </w:rPr>
            </w:pPr>
            <w:r>
              <w:rPr>
                <w:rFonts w:ascii="Roboto;sans-serif" w:hAnsi="Roboto;sans-serif"/>
                <w:b/>
                <w:color w:val="01024A"/>
                <w:sz w:val="16"/>
              </w:rPr>
              <w:t>Voluntary Electronic Delivery of Proxy Materials</w:t>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pPr>
            <w:hyperlink w:anchor="i2ad592f4dc4b4b6f8a38b815f52d3bc1_217">
              <w:r>
                <w:rPr>
                  <w:rStyle w:val="InternetLink"/>
                  <w:rFonts w:ascii="Roboto;sans-serif" w:hAnsi="Roboto;sans-serif"/>
                  <w:b/>
                  <w:strike w:val="false"/>
                  <w:dstrike w:val="false"/>
                  <w:color w:val="01024A"/>
                  <w:sz w:val="16"/>
                  <w:u w:val="none"/>
                  <w:effect w:val="none"/>
                </w:rPr>
                <w:t>87</w:t>
              </w:r>
            </w:hyperlink>
          </w:p>
        </w:tc>
      </w:tr>
      <w:tr>
        <w:trPr/>
        <w:tc>
          <w:tcPr>
            <w:tcW w:w="9744" w:type="dxa"/>
            <w:gridSpan w:val="3"/>
            <w:tcBorders>
              <w:top w:val="single" w:sz="4" w:space="0" w:color="1946C8"/>
              <w:bottom w:val="single" w:sz="4" w:space="0" w:color="1946C8"/>
            </w:tcBorders>
            <w:shd w:fill="FFFFFF" w:val="clear"/>
            <w:tcMar>
              <w:top w:w="30" w:type="dxa"/>
              <w:left w:w="0" w:type="dxa"/>
              <w:bottom w:w="30" w:type="dxa"/>
              <w:right w:w="0" w:type="dxa"/>
            </w:tcMar>
            <w:vAlign w:val="center"/>
          </w:tcPr>
          <w:p>
            <w:pPr>
              <w:pStyle w:val="TableContents"/>
              <w:bidi w:val="0"/>
              <w:spacing w:lineRule="auto" w:line="312" w:before="0" w:after="283"/>
              <w:jc w:val="left"/>
              <w:rPr>
                <w:rFonts w:ascii="Roboto;sans-serif" w:hAnsi="Roboto;sans-serif"/>
                <w:b/>
                <w:color w:val="1946C8"/>
                <w:sz w:val="16"/>
              </w:rPr>
            </w:pPr>
            <w:r>
              <w:rPr>
                <w:rFonts w:ascii="Roboto;sans-serif" w:hAnsi="Roboto;sans-serif"/>
                <w:b/>
                <w:color w:val="1946C8"/>
                <w:sz w:val="16"/>
              </w:rPr>
              <w:t>Annex A - Reconciliations of GAAP to Non-GAAP Financial Measures</w:t>
            </w:r>
          </w:p>
        </w:tc>
        <w:tc>
          <w:tcPr>
            <w:tcW w:w="461" w:type="dxa"/>
            <w:gridSpan w:val="3"/>
            <w:tcBorders>
              <w:top w:val="single" w:sz="4" w:space="0" w:color="1946C8"/>
              <w:bottom w:val="single" w:sz="4" w:space="0" w:color="1946C8"/>
            </w:tcBorders>
            <w:shd w:fill="FFFFFF" w:val="clear"/>
            <w:tcMar>
              <w:top w:w="30" w:type="dxa"/>
              <w:left w:w="0" w:type="dxa"/>
              <w:bottom w:w="30" w:type="dxa"/>
              <w:right w:w="0" w:type="dxa"/>
            </w:tcMar>
            <w:vAlign w:val="center"/>
          </w:tcPr>
          <w:p>
            <w:pPr>
              <w:pStyle w:val="TableContents"/>
              <w:bidi w:val="0"/>
              <w:spacing w:lineRule="auto" w:line="312" w:before="0" w:after="0"/>
              <w:jc w:val="center"/>
              <w:rPr/>
            </w:pPr>
            <w:r>
              <w:rPr>
                <w:rFonts w:ascii="Roboto;sans-serif" w:hAnsi="Roboto;sans-serif"/>
                <w:b/>
                <w:color w:val="1946C8"/>
                <w:sz w:val="16"/>
              </w:rPr>
              <w:t>A</w:t>
            </w:r>
            <w:hyperlink w:anchor="i2ad592f4dc4b4b6f8a38b815f52d3bc1_229">
              <w:r>
                <w:rPr>
                  <w:rStyle w:val="InternetLink"/>
                  <w:rFonts w:ascii="Roboto;sans-serif" w:hAnsi="Roboto;sans-serif"/>
                  <w:b/>
                  <w:strike w:val="false"/>
                  <w:dstrike w:val="false"/>
                  <w:color w:val="1946C8"/>
                  <w:sz w:val="16"/>
                  <w:u w:val="none"/>
                  <w:effect w:val="none"/>
                </w:rPr>
                <w:t>-1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263525"/>
                <wp:effectExtent l="0" t="0" r="0" b="0"/>
                <wp:wrapNone/>
                <wp:docPr id="22" name="Frame7"/>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4" descr=""/>
                                          <pic:cNvPicPr>
                                            <a:picLocks noChangeAspect="1" noChangeArrowheads="1"/>
                                          </pic:cNvPicPr>
                                        </pic:nvPicPr>
                                        <pic:blipFill>
                                          <a:blip r:embed="rId17"/>
                                          <a:stretch>
                                            <a:fillRect/>
                                          </a:stretch>
                                        </pic:blipFill>
                                        <pic:spPr bwMode="auto">
                                          <a:xfrm>
                                            <a:off x="0" y="0"/>
                                            <a:ext cx="266700" cy="200025"/>
                                          </a:xfrm>
                                          <a:prstGeom prst="rect">
                                            <a:avLst/>
                                          </a:prstGeom>
                                        </pic:spPr>
                                      </pic:pic>
                                    </a:graphicData>
                                  </a:graphic>
                                </wp:inline>
                              </w:drawing>
                            </w:r>
                            <w:bookmarkStart w:id="15" w:name="i-14"/>
                            <w:bookmarkEnd w:id="15"/>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2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 descr=""/>
                                    <pic:cNvPicPr>
                                      <a:picLocks noChangeAspect="1" noChangeArrowheads="1"/>
                                    </pic:cNvPicPr>
                                  </pic:nvPicPr>
                                  <pic:blipFill>
                                    <a:blip r:embed="rId18"/>
                                    <a:stretch>
                                      <a:fillRect/>
                                    </a:stretch>
                                  </pic:blipFill>
                                  <pic:spPr bwMode="auto">
                                    <a:xfrm>
                                      <a:off x="0" y="0"/>
                                      <a:ext cx="266700" cy="200025"/>
                                    </a:xfrm>
                                    <a:prstGeom prst="rect">
                                      <a:avLst/>
                                    </a:prstGeom>
                                  </pic:spPr>
                                </pic:pic>
                              </a:graphicData>
                            </a:graphic>
                          </wp:inline>
                        </w:drawing>
                      </w:r>
                      <w:bookmarkStart w:id="16" w:name="i-14"/>
                      <w:bookmarkEnd w:id="16"/>
                    </w:p>
                  </w:txbxContent>
                </v:textbox>
                <w10:wrap type="none"/>
              </v:rect>
            </w:pict>
          </mc:Fallback>
        </mc:AlternateContent>
      </w:r>
    </w:p>
    <w:tbl>
      <w:tblPr>
        <w:tblW w:w="582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11"/>
        <w:gridCol w:w="1511"/>
        <w:gridCol w:w="21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r>
    </w:tbl>
    <w:p>
      <w:pPr>
        <w:pStyle w:val="TextBody"/>
        <w:bidi w:val="0"/>
        <w:spacing w:lineRule="auto" w:line="312" w:before="0" w:after="720"/>
        <w:jc w:val="left"/>
        <w:rPr>
          <w:rFonts w:ascii="Roboto;sans-serif" w:hAnsi="Roboto;sans-serif"/>
          <w:b/>
          <w:color w:val="1946C8"/>
          <w:sz w:val="54"/>
        </w:rPr>
      </w:pPr>
      <w:r>
        <w:rPr>
          <w:rFonts w:ascii="Roboto;sans-serif" w:hAnsi="Roboto;sans-serif"/>
          <w:b/>
          <w:color w:val="1946C8"/>
          <w:sz w:val="54"/>
        </w:rPr>
        <w:t>Proxy Voting Methods</w:t>
      </w:r>
    </w:p>
    <w:tbl>
      <w:tblPr>
        <w:tblW w:w="10205" w:type="dxa"/>
        <w:jc w:val="left"/>
        <w:tblInd w:w="0" w:type="dxa"/>
        <w:tblLayout w:type="fixed"/>
        <w:tblCellMar>
          <w:top w:w="28" w:type="dxa"/>
          <w:left w:w="28" w:type="dxa"/>
          <w:bottom w:w="28" w:type="dxa"/>
          <w:right w:w="28" w:type="dxa"/>
        </w:tblCellMar>
      </w:tblPr>
      <w:tblGrid>
        <w:gridCol w:w="265"/>
        <w:gridCol w:w="232"/>
        <w:gridCol w:w="234"/>
        <w:gridCol w:w="1472"/>
        <w:gridCol w:w="1472"/>
        <w:gridCol w:w="1472"/>
        <w:gridCol w:w="1472"/>
        <w:gridCol w:w="1472"/>
        <w:gridCol w:w="2114"/>
      </w:tblGrid>
      <w:tr>
        <w:trPr/>
        <w:tc>
          <w:tcPr>
            <w:tcW w:w="26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00050" cy="400050"/>
                  <wp:effectExtent l="0" t="0" r="0" b="0"/>
                  <wp:docPr id="2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5" descr=""/>
                          <pic:cNvPicPr>
                            <a:picLocks noChangeAspect="1" noChangeArrowheads="1"/>
                          </pic:cNvPicPr>
                        </pic:nvPicPr>
                        <pic:blipFill>
                          <a:blip r:embed="rId19"/>
                          <a:stretch>
                            <a:fillRect/>
                          </a:stretch>
                        </pic:blipFill>
                        <pic:spPr bwMode="auto">
                          <a:xfrm>
                            <a:off x="0" y="0"/>
                            <a:ext cx="400050" cy="400050"/>
                          </a:xfrm>
                          <a:prstGeom prst="rect">
                            <a:avLst/>
                          </a:prstGeom>
                        </pic:spPr>
                      </pic:pic>
                    </a:graphicData>
                  </a:graphic>
                </wp:inline>
              </w:drawing>
            </w:r>
            <w:bookmarkStart w:id="17" w:name="i-15"/>
            <w:bookmarkEnd w:id="17"/>
          </w:p>
        </w:tc>
        <w:tc>
          <w:tcPr>
            <w:tcW w:w="9474" w:type="dxa"/>
            <w:gridSpan w:val="6"/>
            <w:tcBorders/>
            <w:shd w:fill="FFFFFF" w:val="clear"/>
            <w:tcMar>
              <w:top w:w="0" w:type="dxa"/>
              <w:left w:w="0" w:type="dxa"/>
              <w:bottom w:w="0" w:type="dxa"/>
              <w:right w:w="0" w:type="dxa"/>
            </w:tcMar>
            <w:vAlign w:val="center"/>
          </w:tcPr>
          <w:p>
            <w:pPr>
              <w:pStyle w:val="TableContents"/>
              <w:bidi w:val="0"/>
              <w:spacing w:lineRule="auto" w:line="312" w:before="120" w:after="283"/>
              <w:jc w:val="left"/>
              <w:rPr>
                <w:rFonts w:ascii="Roboto;sans-serif" w:hAnsi="Roboto;sans-serif"/>
                <w:b/>
                <w:color w:val="E81111"/>
                <w:sz w:val="16"/>
              </w:rPr>
            </w:pPr>
            <w:r>
              <w:rPr>
                <w:rFonts w:ascii="Roboto;sans-serif" w:hAnsi="Roboto;sans-serif"/>
                <w:b/>
                <w:color w:val="E81111"/>
                <w:sz w:val="16"/>
              </w:rPr>
              <w:t>VOTING CUTOFF FOR VOTING BY PROXY</w:t>
            </w:r>
          </w:p>
          <w:p>
            <w:pPr>
              <w:pStyle w:val="TableContents"/>
              <w:bidi w:val="0"/>
              <w:spacing w:lineRule="auto" w:line="288" w:before="0" w:after="120"/>
              <w:jc w:val="left"/>
              <w:rPr>
                <w:rFonts w:ascii="Roboto;sans-serif" w:hAnsi="Roboto;sans-serif"/>
                <w:b/>
                <w:color w:val="1946C8"/>
                <w:sz w:val="24"/>
              </w:rPr>
            </w:pPr>
            <w:r>
              <w:rPr>
                <w:rFonts w:ascii="Roboto;sans-serif" w:hAnsi="Roboto;sans-serif"/>
                <w:b/>
                <w:color w:val="1946C8"/>
                <w:sz w:val="24"/>
              </w:rPr>
              <w:t>If you are a stockholder of record, your vote by proxy must be received by 10:59 p.m. Central Time on June 3, 2026 to be counted. If you hold shares through a broker, bank or other nominee, please refer to information from your bank, broker or nominee for voting instructions.</w:t>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240"/>
        <w:jc w:val="left"/>
        <w:rPr/>
      </w:pPr>
      <w:r>
        <w:rPr>
          <w:rFonts w:ascii="Roboto Light;sans-serif" w:hAnsi="Roboto Light;sans-serif"/>
          <w:b w:val="false"/>
          <w:color w:val="000000"/>
          <w:sz w:val="18"/>
        </w:rPr>
        <w:t xml:space="preserve">If, as of the close of business on April 9, 2026 (the “Record Date”), you were a stockholder of record or held shares through a broker or bank, you may vote your shares by proxy, which includes voting via the Internet, by telephone or by mail, or you may vote in person at the 2026 Annual Meeting of Stockholders (the “Annual Meeting”). You may also revoke your proxies at the times and in the manners described in the Questions and Answers about the Annual Meeting section of this Proxy Statement. </w:t>
      </w:r>
      <w:r>
        <w:rPr>
          <w:rFonts w:ascii="Roboto;sans-serif" w:hAnsi="Roboto;sans-serif"/>
          <w:b/>
          <w:color w:val="000000"/>
          <w:sz w:val="18"/>
        </w:rPr>
        <w:t>For shares you hold through a broker, bank or other nominee, you may submit voting instructions to your broker, bank or other nominee. Please refer to information from your broker, bank or other nominee on how to submit voting instructions.</w:t>
      </w:r>
    </w:p>
    <w:tbl>
      <w:tblPr>
        <w:tblW w:w="10205" w:type="dxa"/>
        <w:jc w:val="left"/>
        <w:tblInd w:w="0" w:type="dxa"/>
        <w:tblLayout w:type="fixed"/>
        <w:tblCellMar>
          <w:top w:w="28" w:type="dxa"/>
          <w:left w:w="28" w:type="dxa"/>
          <w:bottom w:w="28" w:type="dxa"/>
          <w:right w:w="28" w:type="dxa"/>
        </w:tblCellMar>
      </w:tblPr>
      <w:tblGrid>
        <w:gridCol w:w="418"/>
        <w:gridCol w:w="367"/>
        <w:gridCol w:w="369"/>
        <w:gridCol w:w="109"/>
        <w:gridCol w:w="109"/>
        <w:gridCol w:w="109"/>
        <w:gridCol w:w="109"/>
        <w:gridCol w:w="109"/>
        <w:gridCol w:w="109"/>
        <w:gridCol w:w="840"/>
        <w:gridCol w:w="840"/>
        <w:gridCol w:w="850"/>
        <w:gridCol w:w="109"/>
        <w:gridCol w:w="109"/>
        <w:gridCol w:w="109"/>
        <w:gridCol w:w="109"/>
        <w:gridCol w:w="109"/>
        <w:gridCol w:w="109"/>
        <w:gridCol w:w="109"/>
        <w:gridCol w:w="109"/>
        <w:gridCol w:w="109"/>
        <w:gridCol w:w="696"/>
        <w:gridCol w:w="696"/>
        <w:gridCol w:w="703"/>
        <w:gridCol w:w="109"/>
        <w:gridCol w:w="109"/>
        <w:gridCol w:w="109"/>
        <w:gridCol w:w="109"/>
        <w:gridCol w:w="109"/>
        <w:gridCol w:w="109"/>
        <w:gridCol w:w="109"/>
        <w:gridCol w:w="109"/>
        <w:gridCol w:w="109"/>
        <w:gridCol w:w="475"/>
        <w:gridCol w:w="475"/>
        <w:gridCol w:w="480"/>
        <w:gridCol w:w="109"/>
        <w:gridCol w:w="109"/>
        <w:gridCol w:w="162"/>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5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1946C8"/>
                <w:sz w:val="32"/>
              </w:rPr>
            </w:pPr>
            <w:r>
              <w:rPr>
                <w:rFonts w:ascii="Roboto;sans-serif" w:hAnsi="Roboto;sans-serif"/>
                <w:b/>
                <w:color w:val="1946C8"/>
                <w:sz w:val="32"/>
              </w:rPr>
              <w:t xml:space="preserve">To vote </w:t>
              <w:br/>
              <w:t>by proxy: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shd w:fill="ECF8FE" w:val="clear"/>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361950" cy="361950"/>
                  <wp:effectExtent l="0" t="0" r="0" b="0"/>
                  <wp:docPr id="2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6" descr=""/>
                          <pic:cNvPicPr>
                            <a:picLocks noChangeAspect="1" noChangeArrowheads="1"/>
                          </pic:cNvPicPr>
                        </pic:nvPicPr>
                        <pic:blipFill>
                          <a:blip r:embed="rId20"/>
                          <a:stretch>
                            <a:fillRect/>
                          </a:stretch>
                        </pic:blipFill>
                        <pic:spPr bwMode="auto">
                          <a:xfrm>
                            <a:off x="0" y="0"/>
                            <a:ext cx="361950" cy="361950"/>
                          </a:xfrm>
                          <a:prstGeom prst="rect">
                            <a:avLst/>
                          </a:prstGeom>
                        </pic:spPr>
                      </pic:pic>
                    </a:graphicData>
                  </a:graphic>
                </wp:inline>
              </w:drawing>
            </w:r>
            <w:bookmarkStart w:id="18" w:name="i-16"/>
            <w:bookmarkEnd w:id="18"/>
            <w:r>
              <w:rPr>
                <w:color w:val="000000"/>
              </w:rPr>
              <w:t xml:space="preserve"> </w:t>
            </w:r>
            <w:r>
              <w:rPr/>
              <w:drawing>
                <wp:inline distT="0" distB="0" distL="0" distR="0">
                  <wp:extent cx="361950" cy="361950"/>
                  <wp:effectExtent l="0" t="0" r="0" b="0"/>
                  <wp:docPr id="2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7" descr=""/>
                          <pic:cNvPicPr>
                            <a:picLocks noChangeAspect="1" noChangeArrowheads="1"/>
                          </pic:cNvPicPr>
                        </pic:nvPicPr>
                        <pic:blipFill>
                          <a:blip r:embed="rId21"/>
                          <a:stretch>
                            <a:fillRect/>
                          </a:stretch>
                        </pic:blipFill>
                        <pic:spPr bwMode="auto">
                          <a:xfrm>
                            <a:off x="0" y="0"/>
                            <a:ext cx="361950" cy="361950"/>
                          </a:xfrm>
                          <a:prstGeom prst="rect">
                            <a:avLst/>
                          </a:prstGeom>
                        </pic:spPr>
                      </pic:pic>
                    </a:graphicData>
                  </a:graphic>
                </wp:inline>
              </w:drawing>
            </w:r>
            <w:bookmarkStart w:id="19" w:name="i-17"/>
            <w:bookmarkEnd w:id="19"/>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ECF8FE"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2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8" descr=""/>
                          <pic:cNvPicPr>
                            <a:picLocks noChangeAspect="1" noChangeArrowheads="1"/>
                          </pic:cNvPicPr>
                        </pic:nvPicPr>
                        <pic:blipFill>
                          <a:blip r:embed="rId22"/>
                          <a:stretch>
                            <a:fillRect/>
                          </a:stretch>
                        </pic:blipFill>
                        <pic:spPr bwMode="auto">
                          <a:xfrm>
                            <a:off x="0" y="0"/>
                            <a:ext cx="361950" cy="361950"/>
                          </a:xfrm>
                          <a:prstGeom prst="rect">
                            <a:avLst/>
                          </a:prstGeom>
                        </pic:spPr>
                      </pic:pic>
                    </a:graphicData>
                  </a:graphic>
                </wp:inline>
              </w:drawing>
            </w:r>
            <w:bookmarkStart w:id="20" w:name="i-18"/>
            <w:bookmarkEnd w:id="20"/>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ECF8FE"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2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9" descr=""/>
                          <pic:cNvPicPr>
                            <a:picLocks noChangeAspect="1" noChangeArrowheads="1"/>
                          </pic:cNvPicPr>
                        </pic:nvPicPr>
                        <pic:blipFill>
                          <a:blip r:embed="rId23"/>
                          <a:stretch>
                            <a:fillRect/>
                          </a:stretch>
                        </pic:blipFill>
                        <pic:spPr bwMode="auto">
                          <a:xfrm>
                            <a:off x="0" y="0"/>
                            <a:ext cx="361950" cy="361950"/>
                          </a:xfrm>
                          <a:prstGeom prst="rect">
                            <a:avLst/>
                          </a:prstGeom>
                        </pic:spPr>
                      </pic:pic>
                    </a:graphicData>
                  </a:graphic>
                </wp:inline>
              </w:drawing>
            </w:r>
            <w:bookmarkStart w:id="21" w:name="i-19"/>
            <w:bookmarkEnd w:id="21"/>
          </w:p>
        </w:tc>
        <w:tc>
          <w:tcPr>
            <w:tcW w:w="380"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shd w:fill="ECF8FE"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E81111"/>
                <w:sz w:val="18"/>
              </w:rPr>
            </w:pPr>
            <w:r>
              <w:rPr>
                <w:rFonts w:ascii="Roboto;sans-serif" w:hAnsi="Roboto;sans-serif"/>
                <w:b/>
                <w:color w:val="E81111"/>
                <w:sz w:val="18"/>
              </w:rPr>
              <w:t xml:space="preserve">By Internet or </w:t>
            </w:r>
          </w:p>
          <w:p>
            <w:pPr>
              <w:pStyle w:val="TableContents"/>
              <w:bidi w:val="0"/>
              <w:spacing w:lineRule="auto" w:line="288" w:before="0" w:after="120"/>
              <w:jc w:val="left"/>
              <w:rPr>
                <w:rFonts w:ascii="Roboto;sans-serif" w:hAnsi="Roboto;sans-serif"/>
                <w:b/>
                <w:color w:val="E81111"/>
                <w:sz w:val="18"/>
              </w:rPr>
            </w:pPr>
            <w:r>
              <w:rPr>
                <w:rFonts w:ascii="Roboto;sans-serif" w:hAnsi="Roboto;sans-serif"/>
                <w:b/>
                <w:color w:val="E81111"/>
                <w:sz w:val="18"/>
              </w:rPr>
              <w:t>QR Code</w:t>
            </w:r>
          </w:p>
          <w:p>
            <w:pPr>
              <w:pStyle w:val="TableContents"/>
              <w:bidi w:val="0"/>
              <w:spacing w:lineRule="auto" w:line="288" w:before="60" w:after="283"/>
              <w:jc w:val="left"/>
              <w:rPr>
                <w:rFonts w:ascii="Roboto;sans-serif" w:hAnsi="Roboto;sans-serif"/>
                <w:b w:val="false"/>
                <w:color w:val="000000"/>
                <w:sz w:val="16"/>
              </w:rPr>
            </w:pPr>
            <w:r>
              <w:rPr>
                <w:rFonts w:ascii="Roboto;sans-serif" w:hAnsi="Roboto;sans-serif"/>
                <w:b w:val="false"/>
                <w:color w:val="000000"/>
                <w:sz w:val="16"/>
              </w:rPr>
              <w:t>Go to the website www.proxyvote.com and follow the instructions, 24 hours a day, seven days a week, or scan the QR code on your proxy card.</w:t>
            </w:r>
          </w:p>
          <w:p>
            <w:pPr>
              <w:pStyle w:val="TableContents"/>
              <w:bidi w:val="0"/>
              <w:spacing w:before="0" w:after="0"/>
              <w:jc w:val="left"/>
              <w:rPr/>
            </w:pPr>
            <w:r>
              <w:rPr/>
            </w:r>
          </w:p>
          <w:p>
            <w:pPr>
              <w:pStyle w:val="TableContents"/>
              <w:bidi w:val="0"/>
              <w:spacing w:lineRule="auto" w:line="288" w:before="0" w:after="0"/>
              <w:jc w:val="left"/>
              <w:rPr>
                <w:rFonts w:ascii="Roboto;sans-serif" w:hAnsi="Roboto;sans-serif"/>
                <w:b w:val="false"/>
                <w:color w:val="000000"/>
                <w:sz w:val="16"/>
              </w:rPr>
            </w:pPr>
            <w:r>
              <w:rPr>
                <w:rFonts w:ascii="Roboto;sans-serif" w:hAnsi="Roboto;sans-serif"/>
                <w:b w:val="false"/>
                <w:color w:val="000000"/>
                <w:sz w:val="16"/>
              </w:rPr>
              <w:t>You will need the 16-digit control number included on your proxy card to obtain your records and to create an electronic voting instruction form. If you vote via the Internet, you do not need to mail a proxy card.</w:t>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ECF8FE" w:val="clear"/>
            <w:tcMar>
              <w:top w:w="0" w:type="dxa"/>
              <w:left w:w="0" w:type="dxa"/>
              <w:bottom w:w="0" w:type="dxa"/>
              <w:right w:w="0" w:type="dxa"/>
            </w:tcMar>
            <w:vAlign w:val="center"/>
          </w:tcPr>
          <w:p>
            <w:pPr>
              <w:pStyle w:val="TableContents"/>
              <w:bidi w:val="0"/>
              <w:spacing w:lineRule="auto" w:line="288" w:before="0" w:after="120"/>
              <w:jc w:val="left"/>
              <w:rPr>
                <w:rFonts w:ascii="Roboto;sans-serif" w:hAnsi="Roboto;sans-serif"/>
                <w:b/>
                <w:color w:val="E81111"/>
                <w:sz w:val="18"/>
              </w:rPr>
            </w:pPr>
            <w:r>
              <w:rPr>
                <w:rFonts w:ascii="Roboto;sans-serif" w:hAnsi="Roboto;sans-serif"/>
                <w:b/>
                <w:color w:val="E81111"/>
                <w:sz w:val="18"/>
              </w:rPr>
              <w:t>By Telephone</w:t>
            </w:r>
          </w:p>
          <w:p>
            <w:pPr>
              <w:pStyle w:val="TableContents"/>
              <w:bidi w:val="0"/>
              <w:spacing w:lineRule="auto" w:line="288" w:before="0" w:after="0"/>
              <w:jc w:val="left"/>
              <w:rPr>
                <w:rFonts w:ascii="Roboto;sans-serif" w:hAnsi="Roboto;sans-serif"/>
                <w:b w:val="false"/>
                <w:color w:val="000000"/>
                <w:sz w:val="16"/>
              </w:rPr>
            </w:pPr>
            <w:r>
              <w:rPr>
                <w:rFonts w:ascii="Roboto;sans-serif" w:hAnsi="Roboto;sans-serif"/>
                <w:b w:val="false"/>
                <w:color w:val="000000"/>
                <w:sz w:val="16"/>
              </w:rPr>
              <w:t>You can vote your shares by calling the number provided on the proxy card. The telephone voting procedures are designed to authenticate your identity and to allow you to vote your shares and confirm that your voting instructions have been properly recorded.</w:t>
            </w:r>
          </w:p>
          <w:p>
            <w:pPr>
              <w:pStyle w:val="TableContents"/>
              <w:bidi w:val="0"/>
              <w:spacing w:before="0" w:after="0"/>
              <w:jc w:val="left"/>
              <w:rPr/>
            </w:pPr>
            <w:r>
              <w:rPr/>
            </w:r>
          </w:p>
          <w:p>
            <w:pPr>
              <w:pStyle w:val="TableContents"/>
              <w:bidi w:val="0"/>
              <w:spacing w:lineRule="auto" w:line="288" w:before="0" w:after="0"/>
              <w:jc w:val="left"/>
              <w:rPr>
                <w:rFonts w:ascii="Roboto;sans-serif" w:hAnsi="Roboto;sans-serif"/>
                <w:b w:val="false"/>
                <w:color w:val="000000"/>
                <w:sz w:val="16"/>
              </w:rPr>
            </w:pPr>
            <w:r>
              <w:rPr>
                <w:rFonts w:ascii="Roboto;sans-serif" w:hAnsi="Roboto;sans-serif"/>
                <w:b w:val="false"/>
                <w:color w:val="000000"/>
                <w:sz w:val="16"/>
              </w:rPr>
              <w:t>You will need the 16-digit control number included on your proxy card to obtain your records and to create an electronic voting instruction form. If you vote via the telephone, you do not need to mail a proxy card.</w:t>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ECF8FE" w:val="clear"/>
            <w:tcMar>
              <w:top w:w="0" w:type="dxa"/>
              <w:left w:w="0" w:type="dxa"/>
              <w:bottom w:w="0" w:type="dxa"/>
              <w:right w:w="0" w:type="dxa"/>
            </w:tcMar>
            <w:vAlign w:val="center"/>
          </w:tcPr>
          <w:p>
            <w:pPr>
              <w:pStyle w:val="TableContents"/>
              <w:bidi w:val="0"/>
              <w:spacing w:lineRule="auto" w:line="288" w:before="0" w:after="120"/>
              <w:jc w:val="left"/>
              <w:rPr>
                <w:rFonts w:ascii="Roboto;sans-serif" w:hAnsi="Roboto;sans-serif"/>
                <w:b/>
                <w:color w:val="E81111"/>
                <w:sz w:val="18"/>
              </w:rPr>
            </w:pPr>
            <w:r>
              <w:rPr>
                <w:rFonts w:ascii="Roboto;sans-serif" w:hAnsi="Roboto;sans-serif"/>
                <w:b/>
                <w:color w:val="E81111"/>
                <w:sz w:val="18"/>
              </w:rPr>
              <w:t>By Mail</w:t>
            </w:r>
          </w:p>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Mark your selections on the proxy card.</w:t>
            </w:r>
          </w:p>
          <w:p>
            <w:pPr>
              <w:pStyle w:val="TableContents"/>
              <w:bidi w:val="0"/>
              <w:spacing w:before="0" w:after="0"/>
              <w:jc w:val="left"/>
              <w:rPr/>
            </w:pPr>
            <w:r>
              <w:rPr/>
            </w:r>
          </w:p>
          <w:p>
            <w:pPr>
              <w:pStyle w:val="TableContents"/>
              <w:bidi w:val="0"/>
              <w:spacing w:lineRule="auto" w:line="288" w:before="0" w:after="0"/>
              <w:jc w:val="left"/>
              <w:rPr>
                <w:rFonts w:ascii="Roboto;sans-serif" w:hAnsi="Roboto;sans-serif"/>
                <w:b w:val="false"/>
                <w:color w:val="000000"/>
                <w:sz w:val="16"/>
              </w:rPr>
            </w:pPr>
            <w:r>
              <w:rPr>
                <w:rFonts w:ascii="Roboto;sans-serif" w:hAnsi="Roboto;sans-serif"/>
                <w:b w:val="false"/>
                <w:color w:val="000000"/>
                <w:sz w:val="16"/>
              </w:rPr>
              <w:t>Date and sign your name exactly as it appears on your proxy card.</w:t>
            </w:r>
          </w:p>
          <w:p>
            <w:pPr>
              <w:pStyle w:val="TableContents"/>
              <w:bidi w:val="0"/>
              <w:spacing w:before="0" w:after="0"/>
              <w:jc w:val="left"/>
              <w:rPr/>
            </w:pPr>
            <w:r>
              <w:rPr/>
            </w:r>
          </w:p>
          <w:p>
            <w:pPr>
              <w:pStyle w:val="TableContents"/>
              <w:bidi w:val="0"/>
              <w:spacing w:lineRule="auto" w:line="288" w:before="0" w:after="0"/>
              <w:jc w:val="left"/>
              <w:rPr>
                <w:rFonts w:ascii="Roboto;sans-serif" w:hAnsi="Roboto;sans-serif"/>
                <w:b w:val="false"/>
                <w:color w:val="000000"/>
                <w:sz w:val="16"/>
              </w:rPr>
            </w:pPr>
            <w:r>
              <w:rPr>
                <w:rFonts w:ascii="Roboto;sans-serif" w:hAnsi="Roboto;sans-serif"/>
                <w:b w:val="false"/>
                <w:color w:val="000000"/>
                <w:sz w:val="16"/>
              </w:rPr>
              <w:t>Mail the proxy card in the enclosed postage-paid envelope provided to you.</w:t>
            </w:r>
          </w:p>
        </w:tc>
        <w:tc>
          <w:tcPr>
            <w:tcW w:w="380"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263525"/>
                <wp:effectExtent l="0" t="0" r="0" b="0"/>
                <wp:wrapNone/>
                <wp:docPr id="30" name="Frame8"/>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3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0" descr=""/>
                                          <pic:cNvPicPr>
                                            <a:picLocks noChangeAspect="1" noChangeArrowheads="1"/>
                                          </pic:cNvPicPr>
                                        </pic:nvPicPr>
                                        <pic:blipFill>
                                          <a:blip r:embed="rId24"/>
                                          <a:stretch>
                                            <a:fillRect/>
                                          </a:stretch>
                                        </pic:blipFill>
                                        <pic:spPr bwMode="auto">
                                          <a:xfrm>
                                            <a:off x="0" y="0"/>
                                            <a:ext cx="266700" cy="200025"/>
                                          </a:xfrm>
                                          <a:prstGeom prst="rect">
                                            <a:avLst/>
                                          </a:prstGeom>
                                        </pic:spPr>
                                      </pic:pic>
                                    </a:graphicData>
                                  </a:graphic>
                                </wp:inline>
                              </w:drawing>
                            </w:r>
                            <w:bookmarkStart w:id="22" w:name="i-20"/>
                            <w:bookmarkEnd w:id="2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3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0" descr=""/>
                                    <pic:cNvPicPr>
                                      <a:picLocks noChangeAspect="1" noChangeArrowheads="1"/>
                                    </pic:cNvPicPr>
                                  </pic:nvPicPr>
                                  <pic:blipFill>
                                    <a:blip r:embed="rId25"/>
                                    <a:stretch>
                                      <a:fillRect/>
                                    </a:stretch>
                                  </pic:blipFill>
                                  <pic:spPr bwMode="auto">
                                    <a:xfrm>
                                      <a:off x="0" y="0"/>
                                      <a:ext cx="266700" cy="200025"/>
                                    </a:xfrm>
                                    <a:prstGeom prst="rect">
                                      <a:avLst/>
                                    </a:prstGeom>
                                  </pic:spPr>
                                </pic:pic>
                              </a:graphicData>
                            </a:graphic>
                          </wp:inline>
                        </w:drawing>
                      </w:r>
                      <w:bookmarkStart w:id="23" w:name="i-20"/>
                      <w:bookmarkEnd w:id="23"/>
                    </w:p>
                  </w:txbxContent>
                </v:textbox>
                <w10:wrap type="none"/>
              </v:rect>
            </w:pict>
          </mc:Fallback>
        </mc:AlternateContent>
      </w:r>
    </w:p>
    <w:tbl>
      <w:tblPr>
        <w:tblW w:w="5828"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09"/>
        <w:gridCol w:w="109"/>
        <w:gridCol w:w="154"/>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3</w:t>
            </w:r>
          </w:p>
        </w:tc>
      </w:tr>
    </w:tbl>
    <w:p>
      <w:pPr>
        <w:pStyle w:val="TextBody"/>
        <w:bidi w:val="0"/>
        <w:spacing w:lineRule="auto" w:line="288" w:before="0" w:after="120"/>
        <w:jc w:val="left"/>
        <w:rPr>
          <w:rFonts w:ascii="Roboto;sans-serif" w:hAnsi="Roboto;sans-serif"/>
          <w:b/>
          <w:color w:val="1946C8"/>
          <w:sz w:val="54"/>
        </w:rPr>
      </w:pPr>
      <w:r>
        <w:rPr>
          <w:rFonts w:ascii="Roboto;sans-serif" w:hAnsi="Roboto;sans-serif"/>
          <w:b/>
          <w:color w:val="1946C8"/>
          <w:sz w:val="54"/>
        </w:rPr>
        <w:t>Proxy Statement</w:t>
        <w:br/>
        <w:t>Annual Meeting of Stockholders</w:t>
      </w:r>
    </w:p>
    <w:p>
      <w:pPr>
        <w:pStyle w:val="TextBody"/>
        <w:bidi w:val="0"/>
        <w:spacing w:lineRule="auto" w:line="288" w:before="0" w:after="300"/>
        <w:jc w:val="left"/>
        <w:rPr>
          <w:rFonts w:ascii="Roboto;sans-serif" w:hAnsi="Roboto;sans-serif"/>
          <w:b/>
          <w:color w:val="E81111"/>
          <w:sz w:val="20"/>
        </w:rPr>
      </w:pPr>
      <w:r>
        <w:rPr>
          <w:rFonts w:ascii="Roboto;sans-serif" w:hAnsi="Roboto;sans-serif"/>
          <w:b/>
          <w:color w:val="E81111"/>
          <w:sz w:val="20"/>
        </w:rPr>
        <w:t>June 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Roboto;sans-serif" w:hAnsi="Roboto;sans-serif"/>
          <w:b/>
          <w:color w:val="1946C8"/>
          <w:sz w:val="24"/>
        </w:rPr>
      </w:pPr>
      <w:r>
        <w:rPr>
          <w:rFonts w:ascii="Roboto;sans-serif" w:hAnsi="Roboto;sans-serif"/>
          <w:b/>
          <w:color w:val="1946C8"/>
          <w:sz w:val="24"/>
        </w:rPr>
        <w:t>General Information</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We have delivered this Proxy Statement to you in connection with the solicitation by the Board of Directors of Academy (the “Board” or “Board of Directors”) of proxies to be voted at the Annual Meeting to be held on June 4, 2026, and at any postponements or adjournments of the Annual Meeting. You are invited to attend the Annual Meeting and vote your shares in person.</w:t>
      </w:r>
    </w:p>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 xml:space="preserve">Questions and Answers about the Annual Meeting </w:t>
      </w:r>
    </w:p>
    <w:tbl>
      <w:tblPr>
        <w:tblW w:w="10205" w:type="dxa"/>
        <w:jc w:val="left"/>
        <w:tblInd w:w="0" w:type="dxa"/>
        <w:tblLayout w:type="fixed"/>
        <w:tblCellMar>
          <w:top w:w="28" w:type="dxa"/>
          <w:left w:w="28" w:type="dxa"/>
          <w:bottom w:w="28" w:type="dxa"/>
          <w:right w:w="28" w:type="dxa"/>
        </w:tblCellMar>
      </w:tblPr>
      <w:tblGrid>
        <w:gridCol w:w="169"/>
        <w:gridCol w:w="149"/>
        <w:gridCol w:w="150"/>
        <w:gridCol w:w="465"/>
        <w:gridCol w:w="465"/>
        <w:gridCol w:w="467"/>
        <w:gridCol w:w="109"/>
        <w:gridCol w:w="109"/>
        <w:gridCol w:w="109"/>
        <w:gridCol w:w="1148"/>
        <w:gridCol w:w="506"/>
        <w:gridCol w:w="490"/>
        <w:gridCol w:w="2205"/>
        <w:gridCol w:w="1625"/>
        <w:gridCol w:w="1662"/>
        <w:gridCol w:w="109"/>
        <w:gridCol w:w="109"/>
        <w:gridCol w:w="159"/>
      </w:tblGrid>
      <w:tr>
        <w:trPr/>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8" w:type="dxa"/>
            <w:gridSpan w:val="3"/>
            <w:vMerge w:val="restart"/>
            <w:tcBorders>
              <w:top w:val="single" w:sz="8" w:space="0" w:color="1946C8"/>
            </w:tcBorders>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E81111"/>
                <w:sz w:val="36"/>
              </w:rPr>
            </w:pPr>
            <w:r>
              <w:rPr>
                <w:rFonts w:ascii="Roboto;sans-serif" w:hAnsi="Roboto;sans-serif"/>
                <w:b/>
                <w:color w:val="E81111"/>
                <w:sz w:val="36"/>
              </w:rPr>
              <w:t>Q:</w:t>
            </w:r>
          </w:p>
        </w:tc>
        <w:tc>
          <w:tcPr>
            <w:tcW w:w="139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2"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 w:type="dxa"/>
            <w:gridSpan w:val="3"/>
            <w:vMerge w:val="continue"/>
            <w:tcBorders>
              <w:top w:val="single" w:sz="8" w:space="0" w:color="1946C8"/>
            </w:tcBorders>
            <w:tcMar>
              <w:top w:w="30" w:type="dxa"/>
              <w:left w:w="0" w:type="dxa"/>
              <w:bottom w:w="0" w:type="dxa"/>
              <w:right w:w="0" w:type="dxa"/>
            </w:tcMar>
            <w:vAlign w:val="center"/>
          </w:tcPr>
          <w:p>
            <w:pPr>
              <w:pStyle w:val="Normal"/>
              <w:bidi w:val="0"/>
              <w:jc w:val="left"/>
              <w:rPr/>
            </w:pPr>
            <w:r>
              <w:rPr/>
            </w:r>
          </w:p>
        </w:tc>
        <w:tc>
          <w:tcPr>
            <w:tcW w:w="139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1946C8"/>
                <w:sz w:val="18"/>
              </w:rPr>
            </w:pPr>
            <w:r>
              <w:rPr>
                <w:rFonts w:ascii="Roboto;sans-serif" w:hAnsi="Roboto;sans-serif"/>
                <w:b/>
                <w:color w:val="1946C8"/>
                <w:sz w:val="18"/>
              </w:rPr>
              <w:t>WHAT AM I VOTING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6" w:type="dxa"/>
            <w:gridSpan w:val="6"/>
            <w:tcBorders/>
            <w:tcMar>
              <w:top w:w="0" w:type="dxa"/>
              <w:left w:w="0" w:type="dxa"/>
              <w:bottom w:w="0" w:type="dxa"/>
              <w:right w:w="0" w:type="dxa"/>
            </w:tcMar>
            <w:vAlign w:val="center"/>
          </w:tcPr>
          <w:p>
            <w:pPr>
              <w:pStyle w:val="TableContents"/>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There are three proposals scheduled to be voted on at the Annual Meeting:</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E81111"/>
                <w:sz w:val="28"/>
              </w:rPr>
            </w:pPr>
            <w:r>
              <w:rPr>
                <w:rFonts w:ascii="Roboto;sans-serif" w:hAnsi="Roboto;sans-serif"/>
                <w:b/>
                <w:color w:val="E81111"/>
                <w:sz w:val="28"/>
              </w:rPr>
              <w:t>Proposal One</w:t>
            </w:r>
          </w:p>
        </w:tc>
        <w:tc>
          <w:tcPr>
            <w:tcW w:w="5492" w:type="dxa"/>
            <w:gridSpan w:val="3"/>
            <w:tcBorders>
              <w:top w:val="single" w:sz="4" w:space="0" w:color="1946C8"/>
            </w:tcBorders>
            <w:tcMar>
              <w:top w:w="30" w:type="dxa"/>
              <w:left w:w="0" w:type="dxa"/>
              <w:bottom w:w="0" w:type="dxa"/>
              <w:right w:w="0" w:type="dxa"/>
            </w:tcMar>
            <w:vAlign w:val="center"/>
          </w:tcPr>
          <w:p>
            <w:pPr>
              <w:pStyle w:val="TableContents"/>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Election of the three Class III director nominees named in this Proxy Statement for a two-year term expiring at the 2028 Annual Meeting of Stockholders.</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E81111"/>
                <w:sz w:val="28"/>
              </w:rPr>
            </w:pPr>
            <w:r>
              <w:rPr>
                <w:rFonts w:ascii="Roboto;sans-serif" w:hAnsi="Roboto;sans-serif"/>
                <w:b/>
                <w:color w:val="E81111"/>
                <w:sz w:val="28"/>
              </w:rPr>
              <w:t>Proposal Two</w:t>
            </w:r>
          </w:p>
        </w:tc>
        <w:tc>
          <w:tcPr>
            <w:tcW w:w="5492" w:type="dxa"/>
            <w:gridSpan w:val="3"/>
            <w:tcBorders>
              <w:top w:val="single" w:sz="4" w:space="0" w:color="1946C8"/>
            </w:tcBorders>
            <w:tcMar>
              <w:top w:w="30" w:type="dxa"/>
              <w:left w:w="0" w:type="dxa"/>
              <w:bottom w:w="0" w:type="dxa"/>
              <w:right w:w="0" w:type="dxa"/>
            </w:tcMar>
            <w:vAlign w:val="center"/>
          </w:tcPr>
          <w:p>
            <w:pPr>
              <w:pStyle w:val="TableContents"/>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Ratification of the appointment of Deloitte &amp; Touche LLP as the Company’s independent registered public accounting firm for fiscal 2026.</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E81111"/>
                <w:sz w:val="28"/>
              </w:rPr>
            </w:pPr>
            <w:r>
              <w:rPr>
                <w:rFonts w:ascii="Roboto;sans-serif" w:hAnsi="Roboto;sans-serif"/>
                <w:b/>
                <w:color w:val="E81111"/>
                <w:sz w:val="28"/>
              </w:rPr>
              <w:t>Proposal Three</w:t>
            </w:r>
          </w:p>
        </w:tc>
        <w:tc>
          <w:tcPr>
            <w:tcW w:w="5492" w:type="dxa"/>
            <w:gridSpan w:val="3"/>
            <w:tcBorders>
              <w:top w:val="single" w:sz="4" w:space="0" w:color="1946C8"/>
            </w:tcBorders>
            <w:tcMar>
              <w:top w:w="3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rPr>
            </w:pPr>
            <w:r>
              <w:rPr>
                <w:rFonts w:ascii="Roboto Light;sans-serif" w:hAnsi="Roboto Light;sans-serif"/>
                <w:b w:val="false"/>
                <w:color w:val="000000"/>
                <w:sz w:val="18"/>
              </w:rPr>
              <w:t>Approval, on a non-binding advisory basis, of the fiscal 2025 compensation paid to the Company’s named executive officers.</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1"/>
        <w:gridCol w:w="142"/>
        <w:gridCol w:w="143"/>
        <w:gridCol w:w="661"/>
        <w:gridCol w:w="661"/>
        <w:gridCol w:w="663"/>
        <w:gridCol w:w="109"/>
        <w:gridCol w:w="109"/>
        <w:gridCol w:w="109"/>
        <w:gridCol w:w="2179"/>
        <w:gridCol w:w="2179"/>
        <w:gridCol w:w="3089"/>
      </w:tblGrid>
      <w:tr>
        <w:trPr/>
        <w:tc>
          <w:tcPr>
            <w:tcW w:w="16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446" w:type="dxa"/>
            <w:gridSpan w:val="3"/>
            <w:vMerge w:val="restart"/>
            <w:tcBorders>
              <w:top w:val="single" w:sz="8" w:space="0" w:color="1946C8"/>
            </w:tcBorders>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E81111"/>
                <w:sz w:val="36"/>
              </w:rPr>
            </w:pPr>
            <w:r>
              <w:rPr>
                <w:rFonts w:ascii="Roboto;sans-serif" w:hAnsi="Roboto;sans-serif"/>
                <w:b/>
                <w:color w:val="E81111"/>
                <w:sz w:val="36"/>
              </w:rPr>
              <w:t>Q:</w:t>
            </w:r>
          </w:p>
        </w:tc>
        <w:tc>
          <w:tcPr>
            <w:tcW w:w="1985"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 w:type="dxa"/>
            <w:gridSpan w:val="3"/>
            <w:vMerge w:val="continue"/>
            <w:tcBorders>
              <w:top w:val="single" w:sz="8" w:space="0" w:color="1946C8"/>
            </w:tcBorders>
            <w:tcMar>
              <w:top w:w="30" w:type="dxa"/>
              <w:left w:w="0" w:type="dxa"/>
              <w:bottom w:w="0" w:type="dxa"/>
              <w:right w:w="0" w:type="dxa"/>
            </w:tcMar>
            <w:vAlign w:val="center"/>
          </w:tcPr>
          <w:p>
            <w:pPr>
              <w:pStyle w:val="Normal"/>
              <w:bidi w:val="0"/>
              <w:jc w:val="left"/>
              <w:rPr/>
            </w:pPr>
            <w:r>
              <w:rPr/>
            </w:r>
          </w:p>
        </w:tc>
        <w:tc>
          <w:tcPr>
            <w:tcW w:w="1985"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1946C8"/>
                <w:sz w:val="18"/>
              </w:rPr>
            </w:pPr>
            <w:r>
              <w:rPr>
                <w:rFonts w:ascii="Roboto;sans-serif" w:hAnsi="Roboto;sans-serif"/>
                <w:b/>
                <w:color w:val="1946C8"/>
                <w:sz w:val="18"/>
              </w:rPr>
              <w:t>COULD OTHER MATTERS BE DECIDED AT THE ANNUAL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7" w:type="dxa"/>
            <w:gridSpan w:val="3"/>
            <w:vMerge w:val="restart"/>
            <w:tcBorders/>
            <w:tcMar>
              <w:top w:w="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rPr>
            </w:pPr>
            <w:r>
              <w:rPr>
                <w:rFonts w:ascii="Roboto Light;sans-serif" w:hAnsi="Roboto Light;sans-serif"/>
                <w:b w:val="false"/>
                <w:color w:val="000000"/>
                <w:sz w:val="18"/>
              </w:rPr>
              <w:t>As of the date of this Proxy Statement, we do not know of any matters to be raised at the Annual Meeting other than those referred to in this Proxy Statement. If other matters are properly presented at the Annual Meeting for consideration and you are a stockholder of record and have submitted a proxy card, the persons named in your proxy card will have the discretion to vote on those matters for you.</w:t>
            </w:r>
          </w:p>
        </w:tc>
      </w:tr>
      <w:tr>
        <w:trPr/>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7"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165"/>
        <w:gridCol w:w="146"/>
        <w:gridCol w:w="147"/>
        <w:gridCol w:w="512"/>
        <w:gridCol w:w="512"/>
        <w:gridCol w:w="513"/>
        <w:gridCol w:w="109"/>
        <w:gridCol w:w="109"/>
        <w:gridCol w:w="109"/>
        <w:gridCol w:w="2308"/>
        <w:gridCol w:w="2308"/>
        <w:gridCol w:w="3267"/>
      </w:tblGrid>
      <w:tr>
        <w:trPr/>
        <w:tc>
          <w:tcPr>
            <w:tcW w:w="1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458" w:type="dxa"/>
            <w:gridSpan w:val="3"/>
            <w:vMerge w:val="restart"/>
            <w:tcBorders>
              <w:top w:val="single" w:sz="8" w:space="0" w:color="1946C8"/>
            </w:tcBorders>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E81111"/>
                <w:sz w:val="36"/>
              </w:rPr>
            </w:pPr>
            <w:r>
              <w:rPr>
                <w:rFonts w:ascii="Roboto;sans-serif" w:hAnsi="Roboto;sans-serif"/>
                <w:b/>
                <w:color w:val="E81111"/>
                <w:sz w:val="36"/>
              </w:rPr>
              <w:t>Q:</w:t>
            </w:r>
          </w:p>
        </w:tc>
        <w:tc>
          <w:tcPr>
            <w:tcW w:w="153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3"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 w:type="dxa"/>
            <w:gridSpan w:val="3"/>
            <w:vMerge w:val="continue"/>
            <w:tcBorders>
              <w:top w:val="single" w:sz="8" w:space="0" w:color="1946C8"/>
            </w:tcBorders>
            <w:tcMar>
              <w:top w:w="30" w:type="dxa"/>
              <w:left w:w="0" w:type="dxa"/>
              <w:bottom w:w="0" w:type="dxa"/>
              <w:right w:w="0" w:type="dxa"/>
            </w:tcMar>
            <w:vAlign w:val="center"/>
          </w:tcPr>
          <w:p>
            <w:pPr>
              <w:pStyle w:val="Normal"/>
              <w:bidi w:val="0"/>
              <w:jc w:val="left"/>
              <w:rPr/>
            </w:pPr>
            <w:r>
              <w:rPr/>
            </w:r>
          </w:p>
        </w:tc>
        <w:tc>
          <w:tcPr>
            <w:tcW w:w="15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1946C8"/>
                <w:sz w:val="18"/>
              </w:rPr>
            </w:pPr>
            <w:r>
              <w:rPr>
                <w:rFonts w:ascii="Roboto;sans-serif" w:hAnsi="Roboto;sans-serif"/>
                <w:b/>
                <w:color w:val="1946C8"/>
                <w:sz w:val="18"/>
              </w:rPr>
              <w:t>WHO IS ENTITLED TO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3"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Helvetica Light;sans-serif" w:hAnsi="Helvetica Light;sans-serif"/>
                <w:b w:val="false"/>
                <w:color w:val="000000"/>
                <w:sz w:val="18"/>
              </w:rPr>
            </w:pPr>
            <w:r>
              <w:rPr>
                <w:rFonts w:ascii="Helvetica Light;sans-serif" w:hAnsi="Helvetica Light;sans-serif"/>
                <w:b w:val="false"/>
                <w:color w:val="000000"/>
                <w:sz w:val="18"/>
              </w:rPr>
              <w:t>Stockholders of record as of the close of business on the Record Date may vote at the Annual Meeting. As of the Record Date, there were 64,508,134 shares of common stock outstanding. You have one vote for each share of common stock held by you as of the Record Date, including shares:</w:t>
            </w:r>
          </w:p>
          <w:p>
            <w:pPr>
              <w:pStyle w:val="TableContents"/>
              <w:bidi w:val="0"/>
              <w:spacing w:lineRule="auto" w:line="288" w:before="0" w:after="120"/>
              <w:ind w:left="0" w:right="0" w:hanging="288"/>
              <w:jc w:val="left"/>
              <w:rPr/>
            </w:pPr>
            <w:r>
              <w:rPr>
                <w:color w:val="000000"/>
              </w:rPr>
              <w:t>•</w:t>
            </w:r>
            <w:r>
              <w:rPr>
                <w:rFonts w:ascii="Roboto Light;sans-serif" w:hAnsi="Roboto Light;sans-serif"/>
                <w:b w:val="false"/>
                <w:color w:val="000000"/>
                <w:sz w:val="18"/>
              </w:rPr>
              <w:t>Held directly in your name as “stockholder of record” (also referred to as “registered stockholder”); and</w:t>
            </w:r>
          </w:p>
          <w:p>
            <w:pPr>
              <w:pStyle w:val="TableContents"/>
              <w:bidi w:val="0"/>
              <w:spacing w:lineRule="auto" w:line="288" w:before="0" w:after="0"/>
              <w:ind w:left="0" w:right="0" w:hanging="288"/>
              <w:jc w:val="left"/>
              <w:rPr/>
            </w:pPr>
            <w:r>
              <w:rPr>
                <w:color w:val="000000"/>
              </w:rPr>
              <w:t>•</w:t>
            </w:r>
            <w:r>
              <w:rPr>
                <w:rFonts w:ascii="Roboto Light;sans-serif" w:hAnsi="Roboto Light;sans-serif"/>
                <w:b w:val="false"/>
                <w:color w:val="000000"/>
                <w:sz w:val="18"/>
              </w:rPr>
              <w:t>Held for you in an account with a broker, bank or other nominee (shares held in “street name” or “beneficially”). Street name holders generally cannot vote their shares directly and instead must instruct the brokerage firm, bank or nominee how to vote their shares.</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3"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263525"/>
                <wp:effectExtent l="0" t="0" r="0" b="0"/>
                <wp:wrapNone/>
                <wp:docPr id="33" name="Frame9"/>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3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1" descr=""/>
                                          <pic:cNvPicPr>
                                            <a:picLocks noChangeAspect="1" noChangeArrowheads="1"/>
                                          </pic:cNvPicPr>
                                        </pic:nvPicPr>
                                        <pic:blipFill>
                                          <a:blip r:embed="rId26"/>
                                          <a:stretch>
                                            <a:fillRect/>
                                          </a:stretch>
                                        </pic:blipFill>
                                        <pic:spPr bwMode="auto">
                                          <a:xfrm>
                                            <a:off x="0" y="0"/>
                                            <a:ext cx="266700" cy="200025"/>
                                          </a:xfrm>
                                          <a:prstGeom prst="rect">
                                            <a:avLst/>
                                          </a:prstGeom>
                                        </pic:spPr>
                                      </pic:pic>
                                    </a:graphicData>
                                  </a:graphic>
                                </wp:inline>
                              </w:drawing>
                            </w:r>
                            <w:bookmarkStart w:id="24" w:name="i-21"/>
                            <w:bookmarkEnd w:id="2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3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1" descr=""/>
                                    <pic:cNvPicPr>
                                      <a:picLocks noChangeAspect="1" noChangeArrowheads="1"/>
                                    </pic:cNvPicPr>
                                  </pic:nvPicPr>
                                  <pic:blipFill>
                                    <a:blip r:embed="rId27"/>
                                    <a:stretch>
                                      <a:fillRect/>
                                    </a:stretch>
                                  </pic:blipFill>
                                  <pic:spPr bwMode="auto">
                                    <a:xfrm>
                                      <a:off x="0" y="0"/>
                                      <a:ext cx="266700" cy="200025"/>
                                    </a:xfrm>
                                    <a:prstGeom prst="rect">
                                      <a:avLst/>
                                    </a:prstGeom>
                                  </pic:spPr>
                                </pic:pic>
                              </a:graphicData>
                            </a:graphic>
                          </wp:inline>
                        </w:drawing>
                      </w:r>
                      <w:bookmarkStart w:id="25" w:name="i-21"/>
                      <w:bookmarkEnd w:id="25"/>
                    </w:p>
                  </w:txbxContent>
                </v:textbox>
                <w10:wrap type="none"/>
              </v:rect>
            </w:pict>
          </mc:Fallback>
        </mc:AlternateContent>
      </w:r>
    </w:p>
    <w:tbl>
      <w:tblPr>
        <w:tblW w:w="522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33"/>
        <w:gridCol w:w="1333"/>
        <w:gridCol w:w="1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tbl>
      <w:tblPr>
        <w:tblW w:w="10205" w:type="dxa"/>
        <w:jc w:val="left"/>
        <w:tblInd w:w="0" w:type="dxa"/>
        <w:tblLayout w:type="fixed"/>
        <w:tblCellMar>
          <w:top w:w="28" w:type="dxa"/>
          <w:left w:w="28" w:type="dxa"/>
          <w:bottom w:w="28" w:type="dxa"/>
          <w:right w:w="28" w:type="dxa"/>
        </w:tblCellMar>
      </w:tblPr>
      <w:tblGrid>
        <w:gridCol w:w="163"/>
        <w:gridCol w:w="144"/>
        <w:gridCol w:w="145"/>
        <w:gridCol w:w="639"/>
        <w:gridCol w:w="639"/>
        <w:gridCol w:w="641"/>
        <w:gridCol w:w="109"/>
        <w:gridCol w:w="109"/>
        <w:gridCol w:w="109"/>
        <w:gridCol w:w="2195"/>
        <w:gridCol w:w="2195"/>
        <w:gridCol w:w="3117"/>
      </w:tblGrid>
      <w:tr>
        <w:trPr/>
        <w:tc>
          <w:tcPr>
            <w:tcW w:w="16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3117" w:type="dxa"/>
            <w:tcBorders/>
            <w:vAlign w:val="center"/>
          </w:tcPr>
          <w:p>
            <w:pPr>
              <w:pStyle w:val="TableContents"/>
              <w:bidi w:val="0"/>
              <w:spacing w:before="0" w:after="283"/>
              <w:jc w:val="left"/>
              <w:rPr>
                <w:sz w:val="4"/>
                <w:szCs w:val="4"/>
              </w:rPr>
            </w:pPr>
            <w:r>
              <w:rPr>
                <w:sz w:val="4"/>
                <w:szCs w:val="4"/>
              </w:rPr>
            </w:r>
          </w:p>
        </w:tc>
      </w:tr>
      <w:tr>
        <w:trPr/>
        <w:tc>
          <w:tcPr>
            <w:tcW w:w="452" w:type="dxa"/>
            <w:gridSpan w:val="3"/>
            <w:vMerge w:val="restart"/>
            <w:tcBorders>
              <w:top w:val="single" w:sz="8" w:space="0" w:color="1946C8"/>
            </w:tcBorders>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E81111"/>
                <w:sz w:val="36"/>
              </w:rPr>
            </w:pPr>
            <w:r>
              <w:rPr>
                <w:rFonts w:ascii="Roboto;sans-serif" w:hAnsi="Roboto;sans-serif"/>
                <w:b/>
                <w:color w:val="E81111"/>
                <w:sz w:val="36"/>
              </w:rPr>
              <w:t>Q:</w:t>
            </w:r>
          </w:p>
        </w:tc>
        <w:tc>
          <w:tcPr>
            <w:tcW w:w="1919"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 w:type="dxa"/>
            <w:gridSpan w:val="3"/>
            <w:vMerge w:val="continue"/>
            <w:tcBorders>
              <w:top w:val="single" w:sz="8" w:space="0" w:color="1946C8"/>
            </w:tcBorders>
            <w:tcMar>
              <w:top w:w="30" w:type="dxa"/>
              <w:left w:w="0" w:type="dxa"/>
              <w:bottom w:w="0" w:type="dxa"/>
              <w:right w:w="0" w:type="dxa"/>
            </w:tcMar>
            <w:vAlign w:val="center"/>
          </w:tcPr>
          <w:p>
            <w:pPr>
              <w:pStyle w:val="Normal"/>
              <w:bidi w:val="0"/>
              <w:jc w:val="left"/>
              <w:rPr/>
            </w:pPr>
            <w:r>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1946C8"/>
                <w:sz w:val="18"/>
              </w:rPr>
            </w:pPr>
            <w:r>
              <w:rPr>
                <w:rFonts w:ascii="Roboto;sans-serif" w:hAnsi="Roboto;sans-serif"/>
                <w:b/>
                <w:color w:val="1946C8"/>
                <w:sz w:val="18"/>
              </w:rPr>
              <w:t>WHAT CONSTITUTES A QUORUM?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7" w:type="dxa"/>
            <w:gridSpan w:val="3"/>
            <w:vMerge w:val="restart"/>
            <w:tcBorders/>
            <w:tcMar>
              <w:top w:w="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rPr>
            </w:pPr>
            <w:r>
              <w:rPr>
                <w:rFonts w:ascii="Roboto Light;sans-serif" w:hAnsi="Roboto Light;sans-serif"/>
                <w:b w:val="false"/>
                <w:color w:val="000000"/>
                <w:sz w:val="18"/>
              </w:rPr>
              <w:t>The holders of a majority of the voting power of the issued and outstanding shares of stock entitled to vote at the Annual Meeting must be present in person or represented by proxy to constitute a quorum for the Annual Meeting. Abstentions and “broker non-votes” are counted as present for purposes of determining a quorum.</w:t>
            </w:r>
          </w:p>
        </w:tc>
      </w:tr>
      <w:tr>
        <w:trPr/>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7"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155"/>
        <w:gridCol w:w="136"/>
        <w:gridCol w:w="137"/>
        <w:gridCol w:w="441"/>
        <w:gridCol w:w="441"/>
        <w:gridCol w:w="442"/>
        <w:gridCol w:w="109"/>
        <w:gridCol w:w="109"/>
        <w:gridCol w:w="109"/>
        <w:gridCol w:w="2376"/>
        <w:gridCol w:w="2376"/>
        <w:gridCol w:w="3374"/>
      </w:tblGrid>
      <w:tr>
        <w:trPr/>
        <w:tc>
          <w:tcPr>
            <w:tcW w:w="15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3374" w:type="dxa"/>
            <w:tcBorders/>
            <w:vAlign w:val="center"/>
          </w:tcPr>
          <w:p>
            <w:pPr>
              <w:pStyle w:val="TableContents"/>
              <w:bidi w:val="0"/>
              <w:spacing w:before="0" w:after="283"/>
              <w:jc w:val="left"/>
              <w:rPr>
                <w:sz w:val="4"/>
                <w:szCs w:val="4"/>
              </w:rPr>
            </w:pPr>
            <w:r>
              <w:rPr>
                <w:sz w:val="4"/>
                <w:szCs w:val="4"/>
              </w:rPr>
            </w:r>
          </w:p>
        </w:tc>
      </w:tr>
      <w:tr>
        <w:trPr/>
        <w:tc>
          <w:tcPr>
            <w:tcW w:w="428" w:type="dxa"/>
            <w:gridSpan w:val="3"/>
            <w:vMerge w:val="restart"/>
            <w:tcBorders>
              <w:top w:val="single" w:sz="8" w:space="0" w:color="1946C8"/>
            </w:tcBorders>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E81111"/>
                <w:sz w:val="36"/>
              </w:rPr>
            </w:pPr>
            <w:r>
              <w:rPr>
                <w:rFonts w:ascii="Roboto;sans-serif" w:hAnsi="Roboto;sans-serif"/>
                <w:b/>
                <w:color w:val="E81111"/>
                <w:sz w:val="36"/>
              </w:rPr>
              <w:t>Q:</w:t>
            </w:r>
          </w:p>
        </w:tc>
        <w:tc>
          <w:tcPr>
            <w:tcW w:w="1324"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 w:type="dxa"/>
            <w:gridSpan w:val="3"/>
            <w:vMerge w:val="continue"/>
            <w:tcBorders>
              <w:top w:val="single" w:sz="8" w:space="0" w:color="1946C8"/>
            </w:tcBorders>
            <w:tcMar>
              <w:top w:w="30" w:type="dxa"/>
              <w:left w:w="0" w:type="dxa"/>
              <w:bottom w:w="0" w:type="dxa"/>
              <w:right w:w="0" w:type="dxa"/>
            </w:tcMar>
            <w:vAlign w:val="center"/>
          </w:tcPr>
          <w:p>
            <w:pPr>
              <w:pStyle w:val="Normal"/>
              <w:bidi w:val="0"/>
              <w:jc w:val="left"/>
              <w:rPr/>
            </w:pPr>
            <w:r>
              <w:rPr/>
            </w:r>
          </w:p>
        </w:tc>
        <w:tc>
          <w:tcPr>
            <w:tcW w:w="13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1946C8"/>
                <w:sz w:val="18"/>
              </w:rPr>
            </w:pPr>
            <w:r>
              <w:rPr>
                <w:rFonts w:ascii="Roboto;sans-serif" w:hAnsi="Roboto;sans-serif"/>
                <w:b/>
                <w:color w:val="1946C8"/>
                <w:sz w:val="18"/>
              </w:rPr>
              <w:t>HOW MAY I VOTE, AND HOW IS MY VOTE COUNTED?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vMerge w:val="restart"/>
            <w:tcBorders/>
            <w:tcMar>
              <w:top w:w="0" w:type="dxa"/>
              <w:left w:w="0" w:type="dxa"/>
              <w:bottom w:w="0" w:type="dxa"/>
              <w:right w:w="0" w:type="dxa"/>
            </w:tcMar>
            <w:vAlign w:val="center"/>
          </w:tcPr>
          <w:p>
            <w:pPr>
              <w:pStyle w:val="TableContents"/>
              <w:bidi w:val="0"/>
              <w:spacing w:lineRule="atLeast" w:line="240" w:before="0" w:after="240"/>
              <w:jc w:val="left"/>
              <w:rPr/>
            </w:pPr>
            <w:r>
              <w:rPr>
                <w:rFonts w:ascii="Roboto Light;sans-serif" w:hAnsi="Roboto Light;sans-serif"/>
                <w:b w:val="false"/>
                <w:color w:val="000000"/>
                <w:sz w:val="18"/>
              </w:rPr>
              <w:t xml:space="preserve">With respect to the election of directors (Proposal One), you may vote </w:t>
            </w:r>
            <w:r>
              <w:rPr>
                <w:color w:val="000000"/>
              </w:rPr>
              <w:t>“</w:t>
            </w:r>
            <w:r>
              <w:rPr>
                <w:rFonts w:ascii="Roboto;sans-serif" w:hAnsi="Roboto;sans-serif"/>
                <w:b/>
                <w:color w:val="000000"/>
                <w:sz w:val="18"/>
              </w:rPr>
              <w:t>FOR</w:t>
            </w:r>
            <w:r>
              <w:rPr>
                <w:color w:val="000000"/>
              </w:rPr>
              <w:t xml:space="preserve">” </w:t>
            </w:r>
            <w:r>
              <w:rPr>
                <w:rFonts w:ascii="Roboto Light;sans-serif" w:hAnsi="Roboto Light;sans-serif"/>
                <w:b w:val="false"/>
                <w:color w:val="000000"/>
                <w:sz w:val="18"/>
              </w:rPr>
              <w:t xml:space="preserve">or </w:t>
            </w:r>
            <w:r>
              <w:rPr>
                <w:color w:val="000000"/>
              </w:rPr>
              <w:t>“</w:t>
            </w:r>
            <w:r>
              <w:rPr>
                <w:rFonts w:ascii="Roboto;sans-serif" w:hAnsi="Roboto;sans-serif"/>
                <w:b/>
                <w:color w:val="000000"/>
                <w:sz w:val="18"/>
              </w:rPr>
              <w:t>WITHHOLD”</w:t>
            </w:r>
            <w:r>
              <w:rPr>
                <w:color w:val="000000"/>
              </w:rPr>
              <w:t xml:space="preserve"> </w:t>
            </w:r>
            <w:r>
              <w:rPr>
                <w:rFonts w:ascii="Roboto Light;sans-serif" w:hAnsi="Roboto Light;sans-serif"/>
                <w:b w:val="false"/>
                <w:color w:val="000000"/>
                <w:sz w:val="18"/>
              </w:rPr>
              <w:t>with respect to each director nominee. Votes that are “withheld” will not count as a vote “FOR” or “AGAINST” a director nominee because directors are elected by plurality voting. Broker non-votes, if any, will have no effect on the outcome of Proposal One. With respect to the ratification of the appointment of our independent registered public accounting firm (Proposal Two) and the non-binding advisory vote to approve the compensation of our named executive officers (Proposal Three), you may vote “</w:t>
            </w:r>
            <w:r>
              <w:rPr>
                <w:rFonts w:ascii="Roboto;sans-serif" w:hAnsi="Roboto;sans-serif"/>
                <w:b/>
                <w:color w:val="000000"/>
                <w:sz w:val="18"/>
              </w:rPr>
              <w:t>FOR</w:t>
            </w:r>
            <w:r>
              <w:rPr>
                <w:rFonts w:ascii="Roboto Light;sans-serif" w:hAnsi="Roboto Light;sans-serif"/>
                <w:b w:val="false"/>
                <w:color w:val="000000"/>
                <w:sz w:val="18"/>
              </w:rPr>
              <w:t>,” “</w:t>
            </w:r>
            <w:r>
              <w:rPr>
                <w:rFonts w:ascii="Roboto;sans-serif" w:hAnsi="Roboto;sans-serif"/>
                <w:b/>
                <w:color w:val="000000"/>
                <w:sz w:val="18"/>
              </w:rPr>
              <w:t>AGAINST</w:t>
            </w:r>
            <w:r>
              <w:rPr>
                <w:rFonts w:ascii="Roboto Light;sans-serif" w:hAnsi="Roboto Light;sans-serif"/>
                <w:b w:val="false"/>
                <w:color w:val="000000"/>
                <w:sz w:val="18"/>
              </w:rPr>
              <w:t>,” or “</w:t>
            </w:r>
            <w:r>
              <w:rPr>
                <w:rFonts w:ascii="Roboto;sans-serif" w:hAnsi="Roboto;sans-serif"/>
                <w:b/>
                <w:color w:val="000000"/>
                <w:sz w:val="18"/>
              </w:rPr>
              <w:t>ABSTAIN</w:t>
            </w:r>
            <w:r>
              <w:rPr>
                <w:rFonts w:ascii="Roboto Light;sans-serif" w:hAnsi="Roboto Light;sans-serif"/>
                <w:b w:val="false"/>
                <w:color w:val="000000"/>
                <w:sz w:val="18"/>
              </w:rPr>
              <w:t xml:space="preserve">.” For each of Proposals Two and Three, abstentions will have the effect of a vote “against” the proposal. For Proposal Two, which we consider a routine matter, we expect that there should be no broker non-votes (brokers may, but are not required to, exercise discretionary voting on this proposal because it is typically classified as “routine” under the stock exchange rules), but to the extent there are any broker non-votes, they will have no effect on the outcome of the proposal. For Proposal Three, broker non-votes, if any, will have no effect on the outcome of the proposal. </w:t>
            </w:r>
          </w:p>
          <w:p>
            <w:pPr>
              <w:pStyle w:val="TableContents"/>
              <w:bidi w:val="0"/>
              <w:spacing w:lineRule="atLeast" w:line="240" w:before="0" w:after="0"/>
              <w:jc w:val="left"/>
              <w:rPr>
                <w:rFonts w:ascii="Roboto Light;sans-serif" w:hAnsi="Roboto Light;sans-serif"/>
                <w:b w:val="false"/>
                <w:color w:val="000000"/>
                <w:sz w:val="18"/>
              </w:rPr>
            </w:pPr>
            <w:r>
              <w:rPr>
                <w:rFonts w:ascii="Roboto Light;sans-serif" w:hAnsi="Roboto Light;sans-serif"/>
                <w:b w:val="false"/>
                <w:color w:val="000000"/>
                <w:sz w:val="18"/>
              </w:rPr>
              <w:t>You are not required to attend the Annual Meeting in person to vote. The Board is soliciting proxies so that you can submit your proxy before the Annual Meeting. If you vote by proxy, you will be designating Wendy Beck and Theresa Palermo, each with power of substitution as your proxy, and together as your proxies, to vote your shares as you instruct. If you just sign and submit your proxy card, without voting instructions, your shares will be voted in accordance with the recommendation of the Board with respect to the proposals. The proxies also have discretionary authority to vote to adjourn our Annual Meeting, including for the purposes of soliciting votes in accordance with our Board’s recommendations, or if any other business properly comes before the meeting. If any other business comes before the Annual Meeting, the proxies will vote on those matters in accordance with their best judgment.</w:t>
            </w:r>
          </w:p>
        </w:tc>
      </w:tr>
      <w:tr>
        <w:trPr/>
        <w:tc>
          <w:tcPr>
            <w:tcW w:w="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156"/>
        <w:gridCol w:w="138"/>
        <w:gridCol w:w="139"/>
        <w:gridCol w:w="456"/>
        <w:gridCol w:w="456"/>
        <w:gridCol w:w="457"/>
        <w:gridCol w:w="109"/>
        <w:gridCol w:w="109"/>
        <w:gridCol w:w="109"/>
        <w:gridCol w:w="2364"/>
        <w:gridCol w:w="2364"/>
        <w:gridCol w:w="3348"/>
      </w:tblGrid>
      <w:tr>
        <w:trPr/>
        <w:tc>
          <w:tcPr>
            <w:tcW w:w="15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3348" w:type="dxa"/>
            <w:tcBorders/>
            <w:vAlign w:val="center"/>
          </w:tcPr>
          <w:p>
            <w:pPr>
              <w:pStyle w:val="TableContents"/>
              <w:bidi w:val="0"/>
              <w:spacing w:before="0" w:after="283"/>
              <w:jc w:val="left"/>
              <w:rPr>
                <w:sz w:val="4"/>
                <w:szCs w:val="4"/>
              </w:rPr>
            </w:pPr>
            <w:r>
              <w:rPr>
                <w:sz w:val="4"/>
                <w:szCs w:val="4"/>
              </w:rPr>
            </w:r>
          </w:p>
        </w:tc>
      </w:tr>
      <w:tr>
        <w:trPr/>
        <w:tc>
          <w:tcPr>
            <w:tcW w:w="433" w:type="dxa"/>
            <w:gridSpan w:val="3"/>
            <w:vMerge w:val="restart"/>
            <w:tcBorders>
              <w:top w:val="single" w:sz="8" w:space="0" w:color="1946C8"/>
            </w:tcBorders>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E81111"/>
                <w:sz w:val="36"/>
              </w:rPr>
            </w:pPr>
            <w:r>
              <w:rPr>
                <w:rFonts w:ascii="Roboto;sans-serif" w:hAnsi="Roboto;sans-serif"/>
                <w:b/>
                <w:color w:val="E81111"/>
                <w:sz w:val="36"/>
              </w:rPr>
              <w:t>Q:</w:t>
            </w:r>
          </w:p>
        </w:tc>
        <w:tc>
          <w:tcPr>
            <w:tcW w:w="1369"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6"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 w:type="dxa"/>
            <w:gridSpan w:val="3"/>
            <w:vMerge w:val="continue"/>
            <w:tcBorders>
              <w:top w:val="single" w:sz="8" w:space="0" w:color="1946C8"/>
            </w:tcBorders>
            <w:tcMar>
              <w:top w:w="30" w:type="dxa"/>
              <w:left w:w="0" w:type="dxa"/>
              <w:bottom w:w="0" w:type="dxa"/>
              <w:right w:w="0" w:type="dxa"/>
            </w:tcMar>
            <w:vAlign w:val="center"/>
          </w:tcPr>
          <w:p>
            <w:pPr>
              <w:pStyle w:val="Normal"/>
              <w:bidi w:val="0"/>
              <w:jc w:val="left"/>
              <w:rPr/>
            </w:pPr>
            <w:r>
              <w:rPr/>
            </w:r>
          </w:p>
        </w:tc>
        <w:tc>
          <w:tcPr>
            <w:tcW w:w="1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1946C8"/>
                <w:sz w:val="18"/>
              </w:rPr>
            </w:pPr>
            <w:r>
              <w:rPr>
                <w:rFonts w:ascii="Roboto;sans-serif" w:hAnsi="Roboto;sans-serif"/>
                <w:b/>
                <w:color w:val="1946C8"/>
                <w:sz w:val="18"/>
              </w:rPr>
              <w:t>WHAT IS A “BROKER NON-VOTE”?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6" w:type="dxa"/>
            <w:gridSpan w:val="3"/>
            <w:vMerge w:val="restart"/>
            <w:tcBorders/>
            <w:tcMar>
              <w:top w:w="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rPr>
            </w:pPr>
            <w:r>
              <w:rPr>
                <w:rFonts w:ascii="Roboto Light;sans-serif" w:hAnsi="Roboto Light;sans-serif"/>
                <w:b w:val="false"/>
                <w:color w:val="000000"/>
                <w:sz w:val="18"/>
              </w:rPr>
              <w:t>A broker non-vote occurs when shares held through a broker are not voted with respect to a proposal because (1) the broker has not received voting instructions from the stockholder who beneficially owns the shares, and (2) the broker does not have discretionary authority to vote on the proposal. Even with respect to matters which brokers may otherwise have discretionary authority, some brokers may choose not to exercise such authority. We urge you to promptly provide voting instructions to your broker so that your shares are voted on all of the proposals, even if you do not plan to attend the Annual Meeting. Broker non-votes are counted for purposes of establishing a quorum, but because those shares are not entitled to vote on certain proposals, they will not be counted in the vote on such proposals.</w:t>
            </w:r>
          </w:p>
        </w:tc>
      </w:tr>
      <w:tr>
        <w:trPr/>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263525"/>
                <wp:effectExtent l="0" t="0" r="0" b="0"/>
                <wp:wrapNone/>
                <wp:docPr id="36" name="Frame10"/>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3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2" descr=""/>
                                          <pic:cNvPicPr>
                                            <a:picLocks noChangeAspect="1" noChangeArrowheads="1"/>
                                          </pic:cNvPicPr>
                                        </pic:nvPicPr>
                                        <pic:blipFill>
                                          <a:blip r:embed="rId28"/>
                                          <a:stretch>
                                            <a:fillRect/>
                                          </a:stretch>
                                        </pic:blipFill>
                                        <pic:spPr bwMode="auto">
                                          <a:xfrm>
                                            <a:off x="0" y="0"/>
                                            <a:ext cx="266700" cy="200025"/>
                                          </a:xfrm>
                                          <a:prstGeom prst="rect">
                                            <a:avLst/>
                                          </a:prstGeom>
                                        </pic:spPr>
                                      </pic:pic>
                                    </a:graphicData>
                                  </a:graphic>
                                </wp:inline>
                              </w:drawing>
                            </w:r>
                            <w:bookmarkStart w:id="26" w:name="i-22"/>
                            <w:bookmarkEnd w:id="2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3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2" descr=""/>
                                    <pic:cNvPicPr>
                                      <a:picLocks noChangeAspect="1" noChangeArrowheads="1"/>
                                    </pic:cNvPicPr>
                                  </pic:nvPicPr>
                                  <pic:blipFill>
                                    <a:blip r:embed="rId29"/>
                                    <a:stretch>
                                      <a:fillRect/>
                                    </a:stretch>
                                  </pic:blipFill>
                                  <pic:spPr bwMode="auto">
                                    <a:xfrm>
                                      <a:off x="0" y="0"/>
                                      <a:ext cx="266700" cy="200025"/>
                                    </a:xfrm>
                                    <a:prstGeom prst="rect">
                                      <a:avLst/>
                                    </a:prstGeom>
                                  </pic:spPr>
                                </pic:pic>
                              </a:graphicData>
                            </a:graphic>
                          </wp:inline>
                        </w:drawing>
                      </w:r>
                      <w:bookmarkStart w:id="27" w:name="i-22"/>
                      <w:bookmarkEnd w:id="27"/>
                    </w:p>
                  </w:txbxContent>
                </v:textbox>
                <w10:wrap type="none"/>
              </v:rect>
            </w:pict>
          </mc:Fallback>
        </mc:AlternateContent>
      </w:r>
    </w:p>
    <w:tbl>
      <w:tblPr>
        <w:tblW w:w="5828"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09"/>
        <w:gridCol w:w="109"/>
        <w:gridCol w:w="154"/>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5</w:t>
            </w:r>
          </w:p>
        </w:tc>
      </w:tr>
    </w:tbl>
    <w:tbl>
      <w:tblPr>
        <w:tblW w:w="10205" w:type="dxa"/>
        <w:jc w:val="left"/>
        <w:tblInd w:w="0" w:type="dxa"/>
        <w:tblLayout w:type="fixed"/>
        <w:tblCellMar>
          <w:top w:w="28" w:type="dxa"/>
          <w:left w:w="28" w:type="dxa"/>
          <w:bottom w:w="28" w:type="dxa"/>
          <w:right w:w="28" w:type="dxa"/>
        </w:tblCellMar>
      </w:tblPr>
      <w:tblGrid>
        <w:gridCol w:w="164"/>
        <w:gridCol w:w="145"/>
        <w:gridCol w:w="146"/>
        <w:gridCol w:w="834"/>
        <w:gridCol w:w="834"/>
        <w:gridCol w:w="837"/>
        <w:gridCol w:w="109"/>
        <w:gridCol w:w="109"/>
        <w:gridCol w:w="109"/>
        <w:gridCol w:w="2025"/>
        <w:gridCol w:w="2025"/>
        <w:gridCol w:w="2868"/>
      </w:tblGrid>
      <w:tr>
        <w:trPr/>
        <w:tc>
          <w:tcPr>
            <w:tcW w:w="16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r>
      <w:tr>
        <w:trPr/>
        <w:tc>
          <w:tcPr>
            <w:tcW w:w="455" w:type="dxa"/>
            <w:gridSpan w:val="3"/>
            <w:vMerge w:val="restart"/>
            <w:tcBorders>
              <w:top w:val="single" w:sz="8" w:space="0" w:color="1946C8"/>
            </w:tcBorders>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E81111"/>
                <w:sz w:val="36"/>
              </w:rPr>
            </w:pPr>
            <w:r>
              <w:rPr>
                <w:rFonts w:ascii="Roboto;sans-serif" w:hAnsi="Roboto;sans-serif"/>
                <w:b/>
                <w:color w:val="E81111"/>
                <w:sz w:val="36"/>
              </w:rPr>
              <w:t>Q:</w:t>
            </w:r>
          </w:p>
        </w:tc>
        <w:tc>
          <w:tcPr>
            <w:tcW w:w="2505"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8"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 w:type="dxa"/>
            <w:gridSpan w:val="3"/>
            <w:vMerge w:val="continue"/>
            <w:tcBorders>
              <w:top w:val="single" w:sz="8" w:space="0" w:color="1946C8"/>
            </w:tcBorders>
            <w:tcMar>
              <w:top w:w="30" w:type="dxa"/>
              <w:left w:w="0" w:type="dxa"/>
              <w:bottom w:w="0" w:type="dxa"/>
              <w:right w:w="0" w:type="dxa"/>
            </w:tcMar>
            <w:vAlign w:val="center"/>
          </w:tcPr>
          <w:p>
            <w:pPr>
              <w:pStyle w:val="Normal"/>
              <w:bidi w:val="0"/>
              <w:jc w:val="left"/>
              <w:rPr/>
            </w:pPr>
            <w:r>
              <w:rPr/>
            </w:r>
          </w:p>
        </w:tc>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1946C8"/>
                <w:sz w:val="18"/>
              </w:rPr>
            </w:pPr>
            <w:r>
              <w:rPr>
                <w:rFonts w:ascii="Roboto;sans-serif" w:hAnsi="Roboto;sans-serif"/>
                <w:b/>
                <w:color w:val="1946C8"/>
                <w:sz w:val="18"/>
              </w:rPr>
              <w:t>HOW MANY VOTES ARE REQUIRED TO APPROVE EACH 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8" w:type="dxa"/>
            <w:gridSpan w:val="3"/>
            <w:vMerge w:val="restart"/>
            <w:tcBorders/>
            <w:tcMar>
              <w:top w:w="0" w:type="dxa"/>
              <w:left w:w="0" w:type="dxa"/>
              <w:bottom w:w="0" w:type="dxa"/>
              <w:right w:w="0" w:type="dxa"/>
            </w:tcMar>
            <w:vAlign w:val="center"/>
          </w:tcPr>
          <w:p>
            <w:pPr>
              <w:pStyle w:val="TableContents"/>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Under the Company’s Amended and Restated Bylaws (the “Bylaws”), directors are elected by a plurality vote, which means that the three director nominees with the greatest number of votes cast, even if less than a majority, will be elected. There is no cumulative voting.</w:t>
            </w:r>
          </w:p>
          <w:p>
            <w:pPr>
              <w:pStyle w:val="TableContents"/>
              <w:bidi w:val="0"/>
              <w:spacing w:lineRule="atLeast" w:line="240" w:before="0" w:after="0"/>
              <w:jc w:val="left"/>
              <w:rPr>
                <w:rFonts w:ascii="Roboto Light;sans-serif" w:hAnsi="Roboto Light;sans-serif"/>
                <w:b w:val="false"/>
                <w:color w:val="000000"/>
                <w:sz w:val="18"/>
              </w:rPr>
            </w:pPr>
            <w:r>
              <w:rPr>
                <w:rFonts w:ascii="Roboto Light;sans-serif" w:hAnsi="Roboto Light;sans-serif"/>
                <w:b w:val="false"/>
                <w:color w:val="000000"/>
                <w:sz w:val="18"/>
              </w:rPr>
              <w:t xml:space="preserve">For any other proposal being considered at the Annual Meeting, under the Bylaws, approval of the proposal requires the vote of the holders of a majority of the voting power of the shares of stock present in person or represented by proxy and entitled to vote on the proposal. </w:t>
            </w:r>
          </w:p>
        </w:tc>
      </w:tr>
      <w:tr>
        <w:trPr/>
        <w:tc>
          <w:tcPr>
            <w:tcW w:w="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8"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170"/>
        <w:gridCol w:w="150"/>
        <w:gridCol w:w="151"/>
        <w:gridCol w:w="908"/>
        <w:gridCol w:w="908"/>
        <w:gridCol w:w="910"/>
        <w:gridCol w:w="109"/>
        <w:gridCol w:w="109"/>
        <w:gridCol w:w="109"/>
        <w:gridCol w:w="484"/>
        <w:gridCol w:w="391"/>
        <w:gridCol w:w="391"/>
        <w:gridCol w:w="1911"/>
        <w:gridCol w:w="1444"/>
        <w:gridCol w:w="2060"/>
      </w:tblGrid>
      <w:tr>
        <w:trPr/>
        <w:tc>
          <w:tcPr>
            <w:tcW w:w="17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r>
      <w:tr>
        <w:trPr/>
        <w:tc>
          <w:tcPr>
            <w:tcW w:w="471" w:type="dxa"/>
            <w:gridSpan w:val="3"/>
            <w:vMerge w:val="restart"/>
            <w:tcBorders>
              <w:top w:val="single" w:sz="8" w:space="0" w:color="1946C8"/>
            </w:tcBorders>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E81111"/>
                <w:sz w:val="36"/>
              </w:rPr>
            </w:pPr>
            <w:r>
              <w:rPr>
                <w:rFonts w:ascii="Roboto;sans-serif" w:hAnsi="Roboto;sans-serif"/>
                <w:b/>
                <w:color w:val="E81111"/>
                <w:sz w:val="36"/>
              </w:rPr>
              <w:t>Q:</w:t>
            </w:r>
          </w:p>
        </w:tc>
        <w:tc>
          <w:tcPr>
            <w:tcW w:w="2726"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 w:type="dxa"/>
            <w:gridSpan w:val="3"/>
            <w:vMerge w:val="continue"/>
            <w:tcBorders>
              <w:top w:val="single" w:sz="8" w:space="0" w:color="1946C8"/>
            </w:tcBorders>
            <w:tcMar>
              <w:top w:w="30" w:type="dxa"/>
              <w:left w:w="0" w:type="dxa"/>
              <w:bottom w:w="0" w:type="dxa"/>
              <w:right w:w="0" w:type="dxa"/>
            </w:tcMar>
            <w:vAlign w:val="center"/>
          </w:tcPr>
          <w:p>
            <w:pPr>
              <w:pStyle w:val="Normal"/>
              <w:bidi w:val="0"/>
              <w:jc w:val="left"/>
              <w:rPr/>
            </w:pPr>
            <w:r>
              <w:rPr/>
            </w:r>
          </w:p>
        </w:tc>
        <w:tc>
          <w:tcPr>
            <w:tcW w:w="27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1946C8"/>
                <w:sz w:val="18"/>
              </w:rPr>
            </w:pPr>
            <w:r>
              <w:rPr>
                <w:rFonts w:ascii="Roboto;sans-serif" w:hAnsi="Roboto;sans-serif"/>
                <w:b/>
                <w:color w:val="1946C8"/>
                <w:sz w:val="18"/>
              </w:rPr>
              <w:t>HOW DOES THE BOARD RECOMMEND THAT I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1" w:type="dxa"/>
            <w:gridSpan w:val="6"/>
            <w:tcBorders/>
            <w:tcMar>
              <w:top w:w="0" w:type="dxa"/>
              <w:left w:w="0" w:type="dxa"/>
              <w:bottom w:w="0" w:type="dxa"/>
              <w:right w:w="0" w:type="dxa"/>
            </w:tcMar>
            <w:vAlign w:val="center"/>
          </w:tcPr>
          <w:p>
            <w:pPr>
              <w:pStyle w:val="TableContents"/>
              <w:bidi w:val="0"/>
              <w:spacing w:lineRule="atLeast" w:line="240" w:before="0" w:after="120"/>
              <w:jc w:val="left"/>
              <w:rPr>
                <w:rFonts w:ascii="Roboto Light;sans-serif" w:hAnsi="Roboto Light;sans-serif"/>
                <w:b w:val="false"/>
                <w:color w:val="000000"/>
                <w:sz w:val="18"/>
              </w:rPr>
            </w:pPr>
            <w:r>
              <w:rPr>
                <w:rFonts w:ascii="Roboto Light;sans-serif" w:hAnsi="Roboto Light;sans-serif"/>
                <w:b w:val="false"/>
                <w:color w:val="000000"/>
                <w:sz w:val="18"/>
              </w:rPr>
              <w:t>The Board recommends that you vote your shares:</w:t>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op w:val="single" w:sz="4"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E81111"/>
              </w:rPr>
            </w:pPr>
            <w:r>
              <w:rPr>
                <w:color w:val="E81111"/>
              </w:rPr>
              <w:t>“</w:t>
            </w:r>
            <w:r>
              <w:rPr>
                <w:rFonts w:ascii="Roboto;sans-serif" w:hAnsi="Roboto;sans-serif"/>
                <w:b/>
                <w:color w:val="E81111"/>
                <w:sz w:val="28"/>
              </w:rPr>
              <w:t>FOR”</w:t>
            </w:r>
          </w:p>
        </w:tc>
        <w:tc>
          <w:tcPr>
            <w:tcW w:w="5415" w:type="dxa"/>
            <w:gridSpan w:val="3"/>
            <w:tcBorders/>
            <w:tcMar>
              <w:top w:w="0" w:type="dxa"/>
              <w:left w:w="0" w:type="dxa"/>
              <w:bottom w:w="0" w:type="dxa"/>
              <w:right w:w="0" w:type="dxa"/>
            </w:tcMar>
            <w:vAlign w:val="center"/>
          </w:tcPr>
          <w:p>
            <w:pPr>
              <w:pStyle w:val="TableContents"/>
              <w:bidi w:val="0"/>
              <w:spacing w:lineRule="atLeast" w:line="240" w:before="0" w:after="120"/>
              <w:jc w:val="left"/>
              <w:rPr>
                <w:rFonts w:ascii="Roboto Light;sans-serif" w:hAnsi="Roboto Light;sans-serif"/>
                <w:b w:val="false"/>
                <w:color w:val="000000"/>
                <w:sz w:val="18"/>
              </w:rPr>
            </w:pPr>
            <w:r>
              <w:rPr>
                <w:rFonts w:ascii="Roboto Light;sans-serif" w:hAnsi="Roboto Light;sans-serif"/>
                <w:b w:val="false"/>
                <w:color w:val="000000"/>
                <w:sz w:val="18"/>
              </w:rPr>
              <w:t>each of the three Class III director nominees named in this Proxy Statement.</w:t>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op w:val="single" w:sz="4"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E81111"/>
              </w:rPr>
            </w:pPr>
            <w:r>
              <w:rPr>
                <w:color w:val="E81111"/>
              </w:rPr>
              <w:t>“</w:t>
            </w:r>
            <w:r>
              <w:rPr>
                <w:rFonts w:ascii="Roboto;sans-serif" w:hAnsi="Roboto;sans-serif"/>
                <w:b/>
                <w:color w:val="E81111"/>
                <w:sz w:val="28"/>
              </w:rPr>
              <w:t>FOR”</w:t>
            </w:r>
          </w:p>
        </w:tc>
        <w:tc>
          <w:tcPr>
            <w:tcW w:w="5415" w:type="dxa"/>
            <w:gridSpan w:val="3"/>
            <w:tcBorders/>
            <w:tcMar>
              <w:top w:w="0" w:type="dxa"/>
              <w:left w:w="0" w:type="dxa"/>
              <w:bottom w:w="0" w:type="dxa"/>
              <w:right w:w="0" w:type="dxa"/>
            </w:tcMar>
            <w:vAlign w:val="center"/>
          </w:tcPr>
          <w:p>
            <w:pPr>
              <w:pStyle w:val="TableContents"/>
              <w:bidi w:val="0"/>
              <w:spacing w:lineRule="atLeast" w:line="240" w:before="0" w:after="120"/>
              <w:jc w:val="left"/>
              <w:rPr>
                <w:rFonts w:ascii="Roboto Light;sans-serif" w:hAnsi="Roboto Light;sans-serif"/>
                <w:b w:val="false"/>
                <w:color w:val="000000"/>
                <w:sz w:val="18"/>
              </w:rPr>
            </w:pPr>
            <w:r>
              <w:rPr>
                <w:rFonts w:ascii="Roboto Light;sans-serif" w:hAnsi="Roboto Light;sans-serif"/>
                <w:b w:val="false"/>
                <w:color w:val="000000"/>
                <w:sz w:val="18"/>
              </w:rPr>
              <w:t>the ratification of the appointment of Deloitte &amp; Touche LLP as the Company’s independent registered public accounting firm for fiscal 2026.</w:t>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op w:val="single" w:sz="4"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E81111"/>
              </w:rPr>
            </w:pPr>
            <w:r>
              <w:rPr>
                <w:color w:val="E81111"/>
              </w:rPr>
              <w:t>“</w:t>
            </w:r>
            <w:r>
              <w:rPr>
                <w:rFonts w:ascii="Roboto;sans-serif" w:hAnsi="Roboto;sans-serif"/>
                <w:b/>
                <w:color w:val="E81111"/>
                <w:sz w:val="28"/>
              </w:rPr>
              <w:t>FOR”</w:t>
            </w:r>
          </w:p>
        </w:tc>
        <w:tc>
          <w:tcPr>
            <w:tcW w:w="5415"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rPr>
            </w:pPr>
            <w:r>
              <w:rPr>
                <w:rFonts w:ascii="Roboto Light;sans-serif" w:hAnsi="Roboto Light;sans-serif"/>
                <w:b w:val="false"/>
                <w:color w:val="000000"/>
                <w:sz w:val="18"/>
              </w:rPr>
              <w:t>the approval, on a non-binding advisory basis, of the fiscal 2025 compensation paid to the Company’s named executive officers.</w:t>
            </w:r>
          </w:p>
        </w:tc>
      </w:tr>
    </w:tbl>
    <w:tbl>
      <w:tblPr>
        <w:tblW w:w="10205" w:type="dxa"/>
        <w:jc w:val="left"/>
        <w:tblInd w:w="0" w:type="dxa"/>
        <w:tblLayout w:type="fixed"/>
        <w:tblCellMar>
          <w:top w:w="28" w:type="dxa"/>
          <w:left w:w="28" w:type="dxa"/>
          <w:bottom w:w="28" w:type="dxa"/>
          <w:right w:w="28" w:type="dxa"/>
        </w:tblCellMar>
      </w:tblPr>
      <w:tblGrid>
        <w:gridCol w:w="182"/>
        <w:gridCol w:w="160"/>
        <w:gridCol w:w="162"/>
        <w:gridCol w:w="699"/>
        <w:gridCol w:w="699"/>
        <w:gridCol w:w="701"/>
        <w:gridCol w:w="109"/>
        <w:gridCol w:w="109"/>
        <w:gridCol w:w="109"/>
        <w:gridCol w:w="2127"/>
        <w:gridCol w:w="2127"/>
        <w:gridCol w:w="3021"/>
      </w:tblGrid>
      <w:tr>
        <w:trPr/>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3021" w:type="dxa"/>
            <w:tcBorders/>
            <w:vAlign w:val="center"/>
          </w:tcPr>
          <w:p>
            <w:pPr>
              <w:pStyle w:val="TableContents"/>
              <w:bidi w:val="0"/>
              <w:spacing w:before="0" w:after="283"/>
              <w:jc w:val="left"/>
              <w:rPr>
                <w:sz w:val="4"/>
                <w:szCs w:val="4"/>
              </w:rPr>
            </w:pPr>
            <w:r>
              <w:rPr>
                <w:sz w:val="4"/>
                <w:szCs w:val="4"/>
              </w:rPr>
            </w:r>
          </w:p>
        </w:tc>
      </w:tr>
      <w:tr>
        <w:trPr/>
        <w:tc>
          <w:tcPr>
            <w:tcW w:w="504" w:type="dxa"/>
            <w:gridSpan w:val="3"/>
            <w:vMerge w:val="restart"/>
            <w:tcBorders>
              <w:top w:val="single" w:sz="8" w:space="0" w:color="1946C8"/>
            </w:tcBorders>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E81111"/>
                <w:sz w:val="36"/>
              </w:rPr>
            </w:pPr>
            <w:r>
              <w:rPr>
                <w:rFonts w:ascii="Roboto;sans-serif" w:hAnsi="Roboto;sans-serif"/>
                <w:b/>
                <w:color w:val="E81111"/>
                <w:sz w:val="36"/>
              </w:rPr>
              <w:t>Q:</w:t>
            </w:r>
          </w:p>
        </w:tc>
        <w:tc>
          <w:tcPr>
            <w:tcW w:w="2099"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 w:type="dxa"/>
            <w:gridSpan w:val="3"/>
            <w:vMerge w:val="continue"/>
            <w:tcBorders>
              <w:top w:val="single" w:sz="8" w:space="0" w:color="1946C8"/>
            </w:tcBorders>
            <w:tcMar>
              <w:top w:w="30" w:type="dxa"/>
              <w:left w:w="0" w:type="dxa"/>
              <w:bottom w:w="0" w:type="dxa"/>
              <w:right w:w="0" w:type="dxa"/>
            </w:tcMar>
            <w:vAlign w:val="center"/>
          </w:tcPr>
          <w:p>
            <w:pPr>
              <w:pStyle w:val="Normal"/>
              <w:bidi w:val="0"/>
              <w:jc w:val="left"/>
              <w:rPr/>
            </w:pPr>
            <w:r>
              <w:rPr/>
            </w:r>
          </w:p>
        </w:tc>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1946C8"/>
                <w:sz w:val="18"/>
              </w:rPr>
            </w:pPr>
            <w:r>
              <w:rPr>
                <w:rFonts w:ascii="Roboto;sans-serif" w:hAnsi="Roboto;sans-serif"/>
                <w:b/>
                <w:color w:val="1946C8"/>
                <w:sz w:val="18"/>
              </w:rPr>
              <w:t>WHO WILL COUNT THE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rPr>
            </w:pPr>
            <w:r>
              <w:rPr>
                <w:rFonts w:ascii="Roboto Light;sans-serif" w:hAnsi="Roboto Light;sans-serif"/>
                <w:b w:val="false"/>
                <w:color w:val="000000"/>
                <w:sz w:val="18"/>
              </w:rPr>
              <w:t>A representative of Broadridge Financial Solutions, our proxy tabulator, will tabulate the votes and act as inspector of election.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263525"/>
                <wp:effectExtent l="0" t="0" r="0" b="0"/>
                <wp:wrapNone/>
                <wp:docPr id="39" name="Frame11"/>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4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3" descr=""/>
                                          <pic:cNvPicPr>
                                            <a:picLocks noChangeAspect="1" noChangeArrowheads="1"/>
                                          </pic:cNvPicPr>
                                        </pic:nvPicPr>
                                        <pic:blipFill>
                                          <a:blip r:embed="rId30"/>
                                          <a:stretch>
                                            <a:fillRect/>
                                          </a:stretch>
                                        </pic:blipFill>
                                        <pic:spPr bwMode="auto">
                                          <a:xfrm>
                                            <a:off x="0" y="0"/>
                                            <a:ext cx="266700" cy="200025"/>
                                          </a:xfrm>
                                          <a:prstGeom prst="rect">
                                            <a:avLst/>
                                          </a:prstGeom>
                                        </pic:spPr>
                                      </pic:pic>
                                    </a:graphicData>
                                  </a:graphic>
                                </wp:inline>
                              </w:drawing>
                            </w:r>
                            <w:bookmarkStart w:id="28" w:name="i-23"/>
                            <w:bookmarkEnd w:id="2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4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3" descr=""/>
                                    <pic:cNvPicPr>
                                      <a:picLocks noChangeAspect="1" noChangeArrowheads="1"/>
                                    </pic:cNvPicPr>
                                  </pic:nvPicPr>
                                  <pic:blipFill>
                                    <a:blip r:embed="rId31"/>
                                    <a:stretch>
                                      <a:fillRect/>
                                    </a:stretch>
                                  </pic:blipFill>
                                  <pic:spPr bwMode="auto">
                                    <a:xfrm>
                                      <a:off x="0" y="0"/>
                                      <a:ext cx="266700" cy="200025"/>
                                    </a:xfrm>
                                    <a:prstGeom prst="rect">
                                      <a:avLst/>
                                    </a:prstGeom>
                                  </pic:spPr>
                                </pic:pic>
                              </a:graphicData>
                            </a:graphic>
                          </wp:inline>
                        </w:drawing>
                      </w:r>
                      <w:bookmarkStart w:id="29" w:name="i-23"/>
                      <w:bookmarkEnd w:id="29"/>
                    </w:p>
                  </w:txbxContent>
                </v:textbox>
                <w10:wrap type="none"/>
              </v:rect>
            </w:pict>
          </mc:Fallback>
        </mc:AlternateContent>
      </w:r>
    </w:p>
    <w:tbl>
      <w:tblPr>
        <w:tblW w:w="522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33"/>
        <w:gridCol w:w="1333"/>
        <w:gridCol w:w="1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tbl>
      <w:tblPr>
        <w:tblW w:w="10205" w:type="dxa"/>
        <w:jc w:val="left"/>
        <w:tblInd w:w="0" w:type="dxa"/>
        <w:tblLayout w:type="fixed"/>
        <w:tblCellMar>
          <w:top w:w="28" w:type="dxa"/>
          <w:left w:w="28" w:type="dxa"/>
          <w:bottom w:w="28" w:type="dxa"/>
          <w:right w:w="28" w:type="dxa"/>
        </w:tblCellMar>
      </w:tblPr>
      <w:tblGrid>
        <w:gridCol w:w="156"/>
        <w:gridCol w:w="138"/>
        <w:gridCol w:w="139"/>
        <w:gridCol w:w="613"/>
        <w:gridCol w:w="613"/>
        <w:gridCol w:w="614"/>
        <w:gridCol w:w="109"/>
        <w:gridCol w:w="109"/>
        <w:gridCol w:w="109"/>
        <w:gridCol w:w="535"/>
        <w:gridCol w:w="449"/>
        <w:gridCol w:w="449"/>
        <w:gridCol w:w="2779"/>
        <w:gridCol w:w="1398"/>
        <w:gridCol w:w="1995"/>
      </w:tblGrid>
      <w:tr>
        <w:trPr/>
        <w:tc>
          <w:tcPr>
            <w:tcW w:w="15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r>
      <w:tr>
        <w:trPr/>
        <w:tc>
          <w:tcPr>
            <w:tcW w:w="433" w:type="dxa"/>
            <w:gridSpan w:val="3"/>
            <w:vMerge w:val="restart"/>
            <w:tcBorders>
              <w:top w:val="single" w:sz="8" w:space="0" w:color="1946C8"/>
            </w:tcBorders>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E81111"/>
                <w:sz w:val="36"/>
              </w:rPr>
            </w:pPr>
            <w:r>
              <w:rPr>
                <w:rFonts w:ascii="Roboto;sans-serif" w:hAnsi="Roboto;sans-serif"/>
                <w:b/>
                <w:color w:val="E81111"/>
                <w:sz w:val="36"/>
              </w:rPr>
              <w:t>Q:</w:t>
            </w:r>
          </w:p>
        </w:tc>
        <w:tc>
          <w:tcPr>
            <w:tcW w:w="1840"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2"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 w:type="dxa"/>
            <w:gridSpan w:val="3"/>
            <w:vMerge w:val="continue"/>
            <w:tcBorders>
              <w:top w:val="single" w:sz="8" w:space="0" w:color="1946C8"/>
            </w:tcBorders>
            <w:tcMar>
              <w:top w:w="30" w:type="dxa"/>
              <w:left w:w="0" w:type="dxa"/>
              <w:bottom w:w="0" w:type="dxa"/>
              <w:right w:w="0" w:type="dxa"/>
            </w:tcMar>
            <w:vAlign w:val="center"/>
          </w:tcPr>
          <w:p>
            <w:pPr>
              <w:pStyle w:val="Normal"/>
              <w:bidi w:val="0"/>
              <w:jc w:val="left"/>
              <w:rPr/>
            </w:pPr>
            <w:r>
              <w:rPr/>
            </w:r>
          </w:p>
        </w:tc>
        <w:tc>
          <w:tcPr>
            <w:tcW w:w="1840"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1946C8"/>
                <w:sz w:val="18"/>
              </w:rPr>
            </w:pPr>
            <w:r>
              <w:rPr>
                <w:rFonts w:ascii="Roboto;sans-serif" w:hAnsi="Roboto;sans-serif"/>
                <w:b/>
                <w:color w:val="1946C8"/>
                <w:sz w:val="18"/>
              </w:rPr>
              <w:t>HOW DO I VOTE MY SHARES WITHOUT ATTENDING THE ANNUAL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5" w:type="dxa"/>
            <w:gridSpan w:val="6"/>
            <w:tcBorders/>
            <w:tcMar>
              <w:top w:w="0" w:type="dxa"/>
              <w:left w:w="0" w:type="dxa"/>
              <w:bottom w:w="0" w:type="dxa"/>
              <w:right w:w="0" w:type="dxa"/>
            </w:tcMar>
            <w:vAlign w:val="center"/>
          </w:tcPr>
          <w:p>
            <w:pPr>
              <w:pStyle w:val="TableContents"/>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If you are a stockholder of record as of the close of business on the Record Date, you may vote by authorizing a proxy to vote on your behalf at the Annual Meeting, by using one of the following methods:</w:t>
            </w:r>
          </w:p>
        </w:tc>
      </w:tr>
      <w:tr>
        <w:trPr/>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4" w:space="0" w:color="1946C8"/>
            </w:tcBorders>
            <w:tcMar>
              <w:top w:w="30" w:type="dxa"/>
              <w:left w:w="0" w:type="dxa"/>
              <w:bottom w:w="0" w:type="dxa"/>
              <w:right w:w="0" w:type="dxa"/>
            </w:tcMar>
            <w:vAlign w:val="center"/>
          </w:tcPr>
          <w:p>
            <w:pPr>
              <w:pStyle w:val="TableContents"/>
              <w:bidi w:val="0"/>
              <w:spacing w:lineRule="atLeast" w:line="200" w:before="0" w:after="60"/>
              <w:jc w:val="center"/>
              <w:rPr/>
            </w:pPr>
            <w:r>
              <w:rPr/>
              <w:drawing>
                <wp:inline distT="0" distB="0" distL="0" distR="0">
                  <wp:extent cx="361950" cy="361950"/>
                  <wp:effectExtent l="0" t="0" r="0" b="0"/>
                  <wp:docPr id="4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4" descr=""/>
                          <pic:cNvPicPr>
                            <a:picLocks noChangeAspect="1" noChangeArrowheads="1"/>
                          </pic:cNvPicPr>
                        </pic:nvPicPr>
                        <pic:blipFill>
                          <a:blip r:embed="rId32"/>
                          <a:stretch>
                            <a:fillRect/>
                          </a:stretch>
                        </pic:blipFill>
                        <pic:spPr bwMode="auto">
                          <a:xfrm>
                            <a:off x="0" y="0"/>
                            <a:ext cx="361950" cy="361950"/>
                          </a:xfrm>
                          <a:prstGeom prst="rect">
                            <a:avLst/>
                          </a:prstGeom>
                        </pic:spPr>
                      </pic:pic>
                    </a:graphicData>
                  </a:graphic>
                </wp:inline>
              </w:drawing>
            </w:r>
            <w:bookmarkStart w:id="30" w:name="i-24"/>
            <w:bookmarkEnd w:id="30"/>
            <w:r>
              <w:rPr>
                <w:color w:val="FF0090"/>
              </w:rPr>
              <w:t xml:space="preserve"> </w:t>
            </w:r>
            <w:r>
              <w:rPr/>
              <w:drawing>
                <wp:inline distT="0" distB="0" distL="0" distR="0">
                  <wp:extent cx="361950" cy="361950"/>
                  <wp:effectExtent l="0" t="0" r="0" b="0"/>
                  <wp:docPr id="4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5" descr=""/>
                          <pic:cNvPicPr>
                            <a:picLocks noChangeAspect="1" noChangeArrowheads="1"/>
                          </pic:cNvPicPr>
                        </pic:nvPicPr>
                        <pic:blipFill>
                          <a:blip r:embed="rId33"/>
                          <a:stretch>
                            <a:fillRect/>
                          </a:stretch>
                        </pic:blipFill>
                        <pic:spPr bwMode="auto">
                          <a:xfrm>
                            <a:off x="0" y="0"/>
                            <a:ext cx="361950" cy="361950"/>
                          </a:xfrm>
                          <a:prstGeom prst="rect">
                            <a:avLst/>
                          </a:prstGeom>
                        </pic:spPr>
                      </pic:pic>
                    </a:graphicData>
                  </a:graphic>
                </wp:inline>
              </w:drawing>
            </w:r>
            <w:bookmarkStart w:id="31" w:name="i-25"/>
            <w:bookmarkEnd w:id="31"/>
          </w:p>
        </w:tc>
        <w:tc>
          <w:tcPr>
            <w:tcW w:w="6172" w:type="dxa"/>
            <w:gridSpan w:val="3"/>
            <w:tcBorders>
              <w:top w:val="single" w:sz="4" w:space="0" w:color="1946C8"/>
            </w:tcBorders>
            <w:tcMar>
              <w:top w:w="30" w:type="dxa"/>
              <w:left w:w="0" w:type="dxa"/>
              <w:bottom w:w="0" w:type="dxa"/>
              <w:right w:w="0" w:type="dxa"/>
            </w:tcMar>
            <w:vAlign w:val="center"/>
          </w:tcPr>
          <w:p>
            <w:pPr>
              <w:pStyle w:val="TableContents"/>
              <w:bidi w:val="0"/>
              <w:spacing w:lineRule="atLeast" w:line="240" w:before="0" w:after="0"/>
              <w:jc w:val="left"/>
              <w:rPr>
                <w:rFonts w:ascii="Helvetica;sans-serif" w:hAnsi="Helvetica;sans-serif"/>
                <w:b/>
                <w:color w:val="000000"/>
                <w:sz w:val="18"/>
              </w:rPr>
            </w:pPr>
            <w:r>
              <w:rPr>
                <w:rFonts w:ascii="Helvetica;sans-serif" w:hAnsi="Helvetica;sans-serif"/>
                <w:b/>
                <w:color w:val="000000"/>
                <w:sz w:val="18"/>
              </w:rPr>
              <w:t>By Internet or QR Code</w:t>
            </w:r>
          </w:p>
          <w:p>
            <w:pPr>
              <w:pStyle w:val="TableContents"/>
              <w:bidi w:val="0"/>
              <w:spacing w:lineRule="auto" w:line="288" w:before="0" w:after="0"/>
              <w:jc w:val="left"/>
              <w:rPr>
                <w:rFonts w:ascii="Roboto Light;sans-serif" w:hAnsi="Roboto Light;sans-serif"/>
                <w:b w:val="false"/>
                <w:color w:val="000000"/>
                <w:sz w:val="18"/>
              </w:rPr>
            </w:pPr>
            <w:r>
              <w:rPr>
                <w:rFonts w:ascii="Roboto Light;sans-serif" w:hAnsi="Roboto Light;sans-serif"/>
                <w:b w:val="false"/>
                <w:color w:val="000000"/>
                <w:sz w:val="18"/>
              </w:rPr>
              <w:t>If you have Internet access, you may submit your proxy by going to www.proxyvote.com and by following the instructions on how to complete an electronic proxy card. You will need the 16-digit control number included on your proxy card in order to vote by Internet. You may also scan the QR code on your proxy card to vote. If you vote via the Internet or by QR code, you do not need to mail a proxy card.</w:t>
            </w:r>
          </w:p>
        </w:tc>
      </w:tr>
      <w:tr>
        <w:trPr/>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4" w:space="0" w:color="1946C8"/>
            </w:tcBorders>
            <w:tcMar>
              <w:left w:w="0" w:type="dxa"/>
              <w:bottom w:w="0" w:type="dxa"/>
              <w:right w:w="0" w:type="dxa"/>
            </w:tcMar>
            <w:vAlign w:val="center"/>
          </w:tcPr>
          <w:p>
            <w:pPr>
              <w:pStyle w:val="TableContents"/>
              <w:bidi w:val="0"/>
              <w:spacing w:before="0" w:after="0"/>
              <w:jc w:val="center"/>
              <w:rPr/>
            </w:pPr>
            <w:r>
              <w:rPr/>
              <w:drawing>
                <wp:inline distT="0" distB="0" distL="0" distR="0">
                  <wp:extent cx="361950" cy="361950"/>
                  <wp:effectExtent l="0" t="0" r="0" b="0"/>
                  <wp:docPr id="4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6" descr=""/>
                          <pic:cNvPicPr>
                            <a:picLocks noChangeAspect="1" noChangeArrowheads="1"/>
                          </pic:cNvPicPr>
                        </pic:nvPicPr>
                        <pic:blipFill>
                          <a:blip r:embed="rId34"/>
                          <a:stretch>
                            <a:fillRect/>
                          </a:stretch>
                        </pic:blipFill>
                        <pic:spPr bwMode="auto">
                          <a:xfrm>
                            <a:off x="0" y="0"/>
                            <a:ext cx="361950" cy="361950"/>
                          </a:xfrm>
                          <a:prstGeom prst="rect">
                            <a:avLst/>
                          </a:prstGeom>
                        </pic:spPr>
                      </pic:pic>
                    </a:graphicData>
                  </a:graphic>
                </wp:inline>
              </w:drawing>
            </w:r>
            <w:bookmarkStart w:id="32" w:name="i-26"/>
            <w:bookmarkEnd w:id="32"/>
          </w:p>
        </w:tc>
        <w:tc>
          <w:tcPr>
            <w:tcW w:w="6172" w:type="dxa"/>
            <w:gridSpan w:val="3"/>
            <w:tcBorders>
              <w:top w:val="single" w:sz="4" w:space="0" w:color="1946C8"/>
            </w:tcBorders>
            <w:tcMar>
              <w:top w:w="30" w:type="dxa"/>
              <w:left w:w="0" w:type="dxa"/>
              <w:bottom w:w="0" w:type="dxa"/>
              <w:right w:w="0" w:type="dxa"/>
            </w:tcMar>
            <w:vAlign w:val="center"/>
          </w:tcPr>
          <w:p>
            <w:pPr>
              <w:pStyle w:val="TableContents"/>
              <w:bidi w:val="0"/>
              <w:spacing w:lineRule="atLeast" w:line="240" w:before="0" w:after="0"/>
              <w:jc w:val="left"/>
              <w:rPr>
                <w:rFonts w:ascii="Helvetica;sans-serif" w:hAnsi="Helvetica;sans-serif"/>
                <w:b/>
                <w:color w:val="000000"/>
                <w:sz w:val="18"/>
              </w:rPr>
            </w:pPr>
            <w:r>
              <w:rPr>
                <w:rFonts w:ascii="Helvetica;sans-serif" w:hAnsi="Helvetica;sans-serif"/>
                <w:b/>
                <w:color w:val="000000"/>
                <w:sz w:val="18"/>
              </w:rPr>
              <w:t>By Telephone</w:t>
            </w:r>
          </w:p>
          <w:p>
            <w:pPr>
              <w:pStyle w:val="TableContents"/>
              <w:bidi w:val="0"/>
              <w:spacing w:lineRule="auto" w:line="288" w:before="0" w:after="0"/>
              <w:jc w:val="left"/>
              <w:rPr>
                <w:rFonts w:ascii="Roboto Light;sans-serif" w:hAnsi="Roboto Light;sans-serif"/>
                <w:b w:val="false"/>
                <w:color w:val="000000"/>
                <w:sz w:val="18"/>
              </w:rPr>
            </w:pPr>
            <w:r>
              <w:rPr>
                <w:rFonts w:ascii="Roboto Light;sans-serif" w:hAnsi="Roboto Light;sans-serif"/>
                <w:b w:val="false"/>
                <w:color w:val="000000"/>
                <w:sz w:val="18"/>
              </w:rPr>
              <w:t>You can vote your shares by calling the number provided on the voting website (www.proxyvote.com) and on the proxy card. The telephone voting procedures are designed to authenticate your identity and to allow you to vote your shares and confirm that your voting instructions have been properly recorded. You will need the 16-digit control number included on your proxy card in order to vote by telephone. If you vote via telephone, you do not need to mail a proxy card.</w:t>
            </w:r>
          </w:p>
        </w:tc>
      </w:tr>
      <w:tr>
        <w:trPr/>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4" w:space="0" w:color="1946C8"/>
            </w:tcBorders>
            <w:tcMar>
              <w:left w:w="0" w:type="dxa"/>
              <w:bottom w:w="0" w:type="dxa"/>
              <w:right w:w="0" w:type="dxa"/>
            </w:tcMar>
            <w:vAlign w:val="center"/>
          </w:tcPr>
          <w:p>
            <w:pPr>
              <w:pStyle w:val="TableContents"/>
              <w:bidi w:val="0"/>
              <w:spacing w:before="0" w:after="0"/>
              <w:jc w:val="center"/>
              <w:rPr/>
            </w:pPr>
            <w:r>
              <w:rPr/>
              <w:drawing>
                <wp:inline distT="0" distB="0" distL="0" distR="0">
                  <wp:extent cx="361950" cy="361950"/>
                  <wp:effectExtent l="0" t="0" r="0" b="0"/>
                  <wp:docPr id="4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7" descr=""/>
                          <pic:cNvPicPr>
                            <a:picLocks noChangeAspect="1" noChangeArrowheads="1"/>
                          </pic:cNvPicPr>
                        </pic:nvPicPr>
                        <pic:blipFill>
                          <a:blip r:embed="rId35"/>
                          <a:stretch>
                            <a:fillRect/>
                          </a:stretch>
                        </pic:blipFill>
                        <pic:spPr bwMode="auto">
                          <a:xfrm>
                            <a:off x="0" y="0"/>
                            <a:ext cx="361950" cy="361950"/>
                          </a:xfrm>
                          <a:prstGeom prst="rect">
                            <a:avLst/>
                          </a:prstGeom>
                        </pic:spPr>
                      </pic:pic>
                    </a:graphicData>
                  </a:graphic>
                </wp:inline>
              </w:drawing>
            </w:r>
            <w:bookmarkStart w:id="33" w:name="i-27"/>
            <w:bookmarkEnd w:id="33"/>
          </w:p>
        </w:tc>
        <w:tc>
          <w:tcPr>
            <w:tcW w:w="6172"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tLeast" w:line="240" w:before="0" w:after="0"/>
              <w:jc w:val="left"/>
              <w:rPr>
                <w:rFonts w:ascii="Helvetica;sans-serif" w:hAnsi="Helvetica;sans-serif"/>
                <w:b/>
                <w:color w:val="000000"/>
                <w:sz w:val="18"/>
              </w:rPr>
            </w:pPr>
            <w:r>
              <w:rPr>
                <w:rFonts w:ascii="Helvetica;sans-serif" w:hAnsi="Helvetica;sans-serif"/>
                <w:b/>
                <w:color w:val="000000"/>
                <w:sz w:val="18"/>
              </w:rPr>
              <w:t>By Mail</w:t>
            </w:r>
          </w:p>
          <w:p>
            <w:pPr>
              <w:pStyle w:val="TableContents"/>
              <w:bidi w:val="0"/>
              <w:spacing w:lineRule="auto" w:line="288" w:before="0" w:after="0"/>
              <w:jc w:val="left"/>
              <w:rPr>
                <w:rFonts w:ascii="Roboto Light;sans-serif" w:hAnsi="Roboto Light;sans-serif"/>
                <w:b w:val="false"/>
                <w:color w:val="000000"/>
                <w:sz w:val="18"/>
              </w:rPr>
            </w:pPr>
            <w:r>
              <w:rPr>
                <w:rFonts w:ascii="Roboto Light;sans-serif" w:hAnsi="Roboto Light;sans-serif"/>
                <w:b w:val="false"/>
                <w:color w:val="000000"/>
                <w:sz w:val="18"/>
              </w:rPr>
              <w:t>You may vote by mail by marking your selections on the proxy card, signing and dating the enclosed proxy card where indicated and by mailing or otherwise returning the card in the postage-paid envelope provided to you. You should sign your name exactly as it appears on the proxy card. If you are signing in a representative capacity (for example, as guardian, executor, trustee, custodian, attorney or officer of a corporation), indicate your name and title or capacity.</w:t>
            </w:r>
          </w:p>
        </w:tc>
      </w:tr>
      <w:tr>
        <w:trPr/>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5" w:type="dxa"/>
            <w:gridSpan w:val="6"/>
            <w:tcBorders/>
            <w:tcMar>
              <w:top w:w="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rPr>
            </w:pPr>
            <w:r>
              <w:rPr>
                <w:rFonts w:ascii="Roboto Light;sans-serif" w:hAnsi="Roboto Light;sans-serif"/>
                <w:b w:val="false"/>
                <w:color w:val="000000"/>
                <w:sz w:val="18"/>
              </w:rPr>
              <w:t>Internet, QR code, and telephone voting will close at 10:59 p.m. Central Time, on June 3, 2026, for the voting of shares held by stockholders of record as of the Record Date. All Proxy cards submitted by mail with respect to shares held of record must be received no later than June 3, 2026. If you hold your shares in street name, you may submit voting instructions to your broker, bank or other nominee. In most instances, you will be able to do this over the Internet, by telephone or by mail. Please refer to information from your bank, broker or other nominee on how to submit voting instructions.</w:t>
            </w:r>
          </w:p>
        </w:tc>
      </w:tr>
    </w:tbl>
    <w:tbl>
      <w:tblPr>
        <w:tblW w:w="10205" w:type="dxa"/>
        <w:jc w:val="left"/>
        <w:tblInd w:w="0" w:type="dxa"/>
        <w:tblLayout w:type="fixed"/>
        <w:tblCellMar>
          <w:top w:w="28" w:type="dxa"/>
          <w:left w:w="28" w:type="dxa"/>
          <w:bottom w:w="28" w:type="dxa"/>
          <w:right w:w="28" w:type="dxa"/>
        </w:tblCellMar>
      </w:tblPr>
      <w:tblGrid>
        <w:gridCol w:w="159"/>
        <w:gridCol w:w="140"/>
        <w:gridCol w:w="142"/>
        <w:gridCol w:w="617"/>
        <w:gridCol w:w="617"/>
        <w:gridCol w:w="619"/>
        <w:gridCol w:w="109"/>
        <w:gridCol w:w="109"/>
        <w:gridCol w:w="109"/>
        <w:gridCol w:w="2218"/>
        <w:gridCol w:w="2218"/>
        <w:gridCol w:w="3148"/>
      </w:tblGrid>
      <w:tr>
        <w:trPr/>
        <w:tc>
          <w:tcPr>
            <w:tcW w:w="15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3148" w:type="dxa"/>
            <w:tcBorders/>
            <w:vAlign w:val="center"/>
          </w:tcPr>
          <w:p>
            <w:pPr>
              <w:pStyle w:val="TableContents"/>
              <w:bidi w:val="0"/>
              <w:spacing w:before="0" w:after="283"/>
              <w:jc w:val="left"/>
              <w:rPr>
                <w:sz w:val="4"/>
                <w:szCs w:val="4"/>
              </w:rPr>
            </w:pPr>
            <w:r>
              <w:rPr>
                <w:sz w:val="4"/>
                <w:szCs w:val="4"/>
              </w:rPr>
            </w:r>
          </w:p>
        </w:tc>
      </w:tr>
      <w:tr>
        <w:trPr/>
        <w:tc>
          <w:tcPr>
            <w:tcW w:w="441" w:type="dxa"/>
            <w:gridSpan w:val="3"/>
            <w:vMerge w:val="restart"/>
            <w:tcBorders>
              <w:top w:val="single" w:sz="8" w:space="0" w:color="1946C8"/>
            </w:tcBorders>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E81111"/>
                <w:sz w:val="36"/>
              </w:rPr>
            </w:pPr>
            <w:r>
              <w:rPr>
                <w:rFonts w:ascii="Roboto;sans-serif" w:hAnsi="Roboto;sans-serif"/>
                <w:b/>
                <w:color w:val="E81111"/>
                <w:sz w:val="36"/>
              </w:rPr>
              <w:t>Q:</w:t>
            </w:r>
          </w:p>
        </w:tc>
        <w:tc>
          <w:tcPr>
            <w:tcW w:w="1853"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4"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 w:type="dxa"/>
            <w:gridSpan w:val="3"/>
            <w:vMerge w:val="continue"/>
            <w:tcBorders>
              <w:top w:val="single" w:sz="8" w:space="0" w:color="1946C8"/>
            </w:tcBorders>
            <w:tcMar>
              <w:top w:w="30" w:type="dxa"/>
              <w:left w:w="0" w:type="dxa"/>
              <w:bottom w:w="0" w:type="dxa"/>
              <w:right w:w="0" w:type="dxa"/>
            </w:tcMar>
            <w:vAlign w:val="center"/>
          </w:tcPr>
          <w:p>
            <w:pPr>
              <w:pStyle w:val="Normal"/>
              <w:bidi w:val="0"/>
              <w:jc w:val="left"/>
              <w:rPr/>
            </w:pPr>
            <w:r>
              <w:rPr/>
            </w:r>
          </w:p>
        </w:tc>
        <w:tc>
          <w:tcPr>
            <w:tcW w:w="18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1946C8"/>
                <w:sz w:val="18"/>
              </w:rPr>
            </w:pPr>
            <w:r>
              <w:rPr>
                <w:rFonts w:ascii="Roboto;sans-serif" w:hAnsi="Roboto;sans-serif"/>
                <w:b/>
                <w:color w:val="1946C8"/>
                <w:sz w:val="18"/>
              </w:rPr>
              <w:t>HOW DO I VOTE MY SHARES IN PERSON AT THE ANNUAL MEETING?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4" w:type="dxa"/>
            <w:gridSpan w:val="3"/>
            <w:tcBorders/>
            <w:shd w:fill="FFFFFF" w:val="clear"/>
            <w:tcMar>
              <w:top w:w="0" w:type="dxa"/>
              <w:left w:w="0" w:type="dxa"/>
              <w:bottom w:w="0" w:type="dxa"/>
              <w:right w:w="0" w:type="dxa"/>
            </w:tcMar>
            <w:vAlign w:val="center"/>
          </w:tcPr>
          <w:p>
            <w:pPr>
              <w:pStyle w:val="TableContents"/>
              <w:bidi w:val="0"/>
              <w:spacing w:lineRule="atLeast" w:line="230" w:before="0" w:after="180"/>
              <w:jc w:val="left"/>
              <w:rPr>
                <w:rFonts w:ascii="Roboto Light;sans-serif" w:hAnsi="Roboto Light;sans-serif"/>
                <w:b w:val="false"/>
                <w:color w:val="000000"/>
                <w:sz w:val="18"/>
              </w:rPr>
            </w:pPr>
            <w:r>
              <w:rPr>
                <w:rFonts w:ascii="Roboto Light;sans-serif" w:hAnsi="Roboto Light;sans-serif"/>
                <w:b w:val="false"/>
                <w:color w:val="000000"/>
                <w:sz w:val="18"/>
              </w:rPr>
              <w:t>If you are a stockholder of record as of the close of business on the Record Date and prefer to vote your shares in person at the Annual Meeting, you must present proof of identification and proof of ownership. If you hold your shares in street name, you may only vote shares at the Annual Meeting if you bring a signed proxy from the record holder (e.g., broker, bank or other nominee) giving you the right to vote the shares, as well as proof of identification and proof of ownership.</w:t>
            </w:r>
          </w:p>
          <w:p>
            <w:pPr>
              <w:pStyle w:val="TableContents"/>
              <w:bidi w:val="0"/>
              <w:spacing w:lineRule="atLeast" w:line="230" w:before="0" w:after="0"/>
              <w:jc w:val="left"/>
              <w:rPr>
                <w:rFonts w:ascii="Roboto Light;sans-serif" w:hAnsi="Roboto Light;sans-serif"/>
                <w:b w:val="false"/>
                <w:color w:val="000000"/>
                <w:sz w:val="18"/>
                <w:shd w:fill="FFFFFF" w:val="clear"/>
              </w:rPr>
            </w:pPr>
            <w:r>
              <w:rPr>
                <w:rFonts w:ascii="Roboto Light;sans-serif" w:hAnsi="Roboto Light;sans-serif"/>
                <w:b w:val="false"/>
                <w:color w:val="000000"/>
                <w:sz w:val="18"/>
                <w:shd w:fill="FFFFFF" w:val="clear"/>
              </w:rPr>
              <w:t xml:space="preserve">Even if you plan to attend the Annual Meeting, we encourage you to vote in advance by Internet, QR code, telephone or mail so that your vote will be counted even if you later decide not to attend the Annual Meeting.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263525"/>
                <wp:effectExtent l="0" t="0" r="0" b="0"/>
                <wp:wrapNone/>
                <wp:docPr id="46" name="Frame12"/>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4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8" descr=""/>
                                          <pic:cNvPicPr>
                                            <a:picLocks noChangeAspect="1" noChangeArrowheads="1"/>
                                          </pic:cNvPicPr>
                                        </pic:nvPicPr>
                                        <pic:blipFill>
                                          <a:blip r:embed="rId36"/>
                                          <a:stretch>
                                            <a:fillRect/>
                                          </a:stretch>
                                        </pic:blipFill>
                                        <pic:spPr bwMode="auto">
                                          <a:xfrm>
                                            <a:off x="0" y="0"/>
                                            <a:ext cx="266700" cy="200025"/>
                                          </a:xfrm>
                                          <a:prstGeom prst="rect">
                                            <a:avLst/>
                                          </a:prstGeom>
                                        </pic:spPr>
                                      </pic:pic>
                                    </a:graphicData>
                                  </a:graphic>
                                </wp:inline>
                              </w:drawing>
                            </w:r>
                            <w:bookmarkStart w:id="34" w:name="i-28"/>
                            <w:bookmarkEnd w:id="3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4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8" descr=""/>
                                    <pic:cNvPicPr>
                                      <a:picLocks noChangeAspect="1" noChangeArrowheads="1"/>
                                    </pic:cNvPicPr>
                                  </pic:nvPicPr>
                                  <pic:blipFill>
                                    <a:blip r:embed="rId37"/>
                                    <a:stretch>
                                      <a:fillRect/>
                                    </a:stretch>
                                  </pic:blipFill>
                                  <pic:spPr bwMode="auto">
                                    <a:xfrm>
                                      <a:off x="0" y="0"/>
                                      <a:ext cx="266700" cy="200025"/>
                                    </a:xfrm>
                                    <a:prstGeom prst="rect">
                                      <a:avLst/>
                                    </a:prstGeom>
                                  </pic:spPr>
                                </pic:pic>
                              </a:graphicData>
                            </a:graphic>
                          </wp:inline>
                        </w:drawing>
                      </w:r>
                      <w:bookmarkStart w:id="35" w:name="i-28"/>
                      <w:bookmarkEnd w:id="35"/>
                    </w:p>
                  </w:txbxContent>
                </v:textbox>
                <w10:wrap type="none"/>
              </v:rect>
            </w:pict>
          </mc:Fallback>
        </mc:AlternateContent>
      </w:r>
    </w:p>
    <w:tbl>
      <w:tblPr>
        <w:tblW w:w="5828"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09"/>
        <w:gridCol w:w="109"/>
        <w:gridCol w:w="154"/>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7</w:t>
            </w:r>
          </w:p>
        </w:tc>
      </w:tr>
    </w:tbl>
    <w:tbl>
      <w:tblPr>
        <w:tblW w:w="10205" w:type="dxa"/>
        <w:jc w:val="left"/>
        <w:tblInd w:w="0" w:type="dxa"/>
        <w:tblLayout w:type="fixed"/>
        <w:tblCellMar>
          <w:top w:w="28" w:type="dxa"/>
          <w:left w:w="28" w:type="dxa"/>
          <w:bottom w:w="28" w:type="dxa"/>
          <w:right w:w="28" w:type="dxa"/>
        </w:tblCellMar>
      </w:tblPr>
      <w:tblGrid>
        <w:gridCol w:w="157"/>
        <w:gridCol w:w="138"/>
        <w:gridCol w:w="139"/>
        <w:gridCol w:w="754"/>
        <w:gridCol w:w="754"/>
        <w:gridCol w:w="756"/>
        <w:gridCol w:w="109"/>
        <w:gridCol w:w="109"/>
        <w:gridCol w:w="109"/>
        <w:gridCol w:w="2102"/>
        <w:gridCol w:w="2102"/>
        <w:gridCol w:w="2976"/>
      </w:tblGrid>
      <w:tr>
        <w:trPr/>
        <w:tc>
          <w:tcPr>
            <w:tcW w:w="15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976" w:type="dxa"/>
            <w:tcBorders/>
            <w:vAlign w:val="center"/>
          </w:tcPr>
          <w:p>
            <w:pPr>
              <w:pStyle w:val="TableContents"/>
              <w:bidi w:val="0"/>
              <w:spacing w:before="0" w:after="283"/>
              <w:jc w:val="left"/>
              <w:rPr>
                <w:sz w:val="4"/>
                <w:szCs w:val="4"/>
              </w:rPr>
            </w:pPr>
            <w:r>
              <w:rPr>
                <w:sz w:val="4"/>
                <w:szCs w:val="4"/>
              </w:rPr>
            </w:r>
          </w:p>
        </w:tc>
      </w:tr>
      <w:tr>
        <w:trPr/>
        <w:tc>
          <w:tcPr>
            <w:tcW w:w="434" w:type="dxa"/>
            <w:gridSpan w:val="3"/>
            <w:vMerge w:val="restart"/>
            <w:tcBorders>
              <w:top w:val="single" w:sz="8" w:space="0" w:color="1946C8"/>
            </w:tcBorders>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E81111"/>
                <w:sz w:val="36"/>
              </w:rPr>
            </w:pPr>
            <w:r>
              <w:rPr>
                <w:rFonts w:ascii="Roboto;sans-serif" w:hAnsi="Roboto;sans-serif"/>
                <w:b/>
                <w:color w:val="E81111"/>
                <w:sz w:val="36"/>
              </w:rPr>
              <w:t>Q:</w:t>
            </w:r>
          </w:p>
        </w:tc>
        <w:tc>
          <w:tcPr>
            <w:tcW w:w="2264"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 w:type="dxa"/>
            <w:gridSpan w:val="3"/>
            <w:vMerge w:val="continue"/>
            <w:tcBorders>
              <w:top w:val="single" w:sz="8" w:space="0" w:color="1946C8"/>
            </w:tcBorders>
            <w:tcMar>
              <w:top w:w="30" w:type="dxa"/>
              <w:left w:w="0" w:type="dxa"/>
              <w:bottom w:w="0" w:type="dxa"/>
              <w:right w:w="0" w:type="dxa"/>
            </w:tcMar>
            <w:vAlign w:val="center"/>
          </w:tcPr>
          <w:p>
            <w:pPr>
              <w:pStyle w:val="Normal"/>
              <w:bidi w:val="0"/>
              <w:jc w:val="left"/>
              <w:rPr/>
            </w:pPr>
            <w:r>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color w:val="1946C8"/>
                <w:sz w:val="18"/>
              </w:rPr>
              <w:t>MAY I ATTEND THE ANNUAL MEETING IN PERSON AND ARE THERE ANY RESTRICTIONS</w:t>
            </w:r>
            <w:r>
              <w:rPr>
                <w:rFonts w:ascii="Roboto;sans-serif" w:hAnsi="Roboto;sans-serif"/>
                <w:b/>
                <w:color w:val="1946C8"/>
                <w:sz w:val="18"/>
                <w:shd w:fill="FFFFFF" w:val="clear"/>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rPr>
            </w:pPr>
            <w:r>
              <w:rPr>
                <w:rFonts w:ascii="Roboto Light;sans-serif" w:hAnsi="Roboto Light;sans-serif"/>
                <w:b w:val="false"/>
                <w:color w:val="000000"/>
                <w:sz w:val="18"/>
              </w:rPr>
              <w:t>In order to be admitted to the meeting, you will need to present (1) a form of personal identification, and (2) either your proxy card or proof of your ownership of Academy stock as of the Record Date. If your shares are held beneficially in the name of a bank, broker or other holder of record and you wish to be admitted to attend the Annual Meeting, you must present proof of your ownership of Academy stock, such as a bank or brokerage account statement. No cameras, recording equipment, electronic devices, large bags, briefcases or packages will be permitted in the Annual Meeting. For directions to the meeting, please email: investors@academy.com.</w:t>
            </w:r>
          </w:p>
        </w:tc>
      </w:tr>
    </w:tbl>
    <w:tbl>
      <w:tblPr>
        <w:tblW w:w="10205" w:type="dxa"/>
        <w:jc w:val="left"/>
        <w:tblInd w:w="0" w:type="dxa"/>
        <w:tblLayout w:type="fixed"/>
        <w:tblCellMar>
          <w:top w:w="28" w:type="dxa"/>
          <w:left w:w="28" w:type="dxa"/>
          <w:bottom w:w="28" w:type="dxa"/>
          <w:right w:w="28" w:type="dxa"/>
        </w:tblCellMar>
      </w:tblPr>
      <w:tblGrid>
        <w:gridCol w:w="165"/>
        <w:gridCol w:w="145"/>
        <w:gridCol w:w="146"/>
        <w:gridCol w:w="1023"/>
        <w:gridCol w:w="1023"/>
        <w:gridCol w:w="1026"/>
        <w:gridCol w:w="109"/>
        <w:gridCol w:w="109"/>
        <w:gridCol w:w="109"/>
        <w:gridCol w:w="1856"/>
        <w:gridCol w:w="1856"/>
        <w:gridCol w:w="2638"/>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r>
      <w:tr>
        <w:trPr/>
        <w:tc>
          <w:tcPr>
            <w:tcW w:w="456" w:type="dxa"/>
            <w:gridSpan w:val="3"/>
            <w:vMerge w:val="restart"/>
            <w:tcBorders>
              <w:top w:val="single" w:sz="8" w:space="0" w:color="1946C8"/>
            </w:tcBorders>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E81111"/>
                <w:sz w:val="36"/>
              </w:rPr>
            </w:pPr>
            <w:r>
              <w:rPr>
                <w:rFonts w:ascii="Roboto;sans-serif" w:hAnsi="Roboto;sans-serif"/>
                <w:b/>
                <w:color w:val="E81111"/>
                <w:sz w:val="36"/>
              </w:rPr>
              <w:t>Q:</w:t>
            </w:r>
          </w:p>
        </w:tc>
        <w:tc>
          <w:tcPr>
            <w:tcW w:w="3072"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0"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 w:type="dxa"/>
            <w:gridSpan w:val="3"/>
            <w:vMerge w:val="continue"/>
            <w:tcBorders>
              <w:top w:val="single" w:sz="8" w:space="0" w:color="1946C8"/>
            </w:tcBorders>
            <w:tcMar>
              <w:top w:w="30" w:type="dxa"/>
              <w:left w:w="0" w:type="dxa"/>
              <w:bottom w:w="0" w:type="dxa"/>
              <w:right w:w="0" w:type="dxa"/>
            </w:tcMar>
            <w:vAlign w:val="center"/>
          </w:tcPr>
          <w:p>
            <w:pPr>
              <w:pStyle w:val="Normal"/>
              <w:bidi w:val="0"/>
              <w:jc w:val="left"/>
              <w:rPr/>
            </w:pPr>
            <w:r>
              <w:rPr/>
            </w:r>
          </w:p>
        </w:tc>
        <w:tc>
          <w:tcPr>
            <w:tcW w:w="30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1946C8"/>
                <w:sz w:val="18"/>
              </w:rPr>
            </w:pPr>
            <w:r>
              <w:rPr>
                <w:rFonts w:ascii="Roboto;sans-serif" w:hAnsi="Roboto;sans-serif"/>
                <w:b/>
                <w:color w:val="1946C8"/>
                <w:sz w:val="18"/>
              </w:rPr>
              <w:t>WHAT DOES IT MEAN IF I RECEIVE MORE THAN ONE PROXY CARD ON OR ABOUT THE SAME 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0"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rPr>
            </w:pPr>
            <w:r>
              <w:rPr>
                <w:rFonts w:ascii="Roboto Light;sans-serif" w:hAnsi="Roboto Light;sans-serif"/>
                <w:b w:val="false"/>
                <w:color w:val="000000"/>
                <w:sz w:val="18"/>
              </w:rPr>
              <w:t>It generally means you hold shares registered in more than one account. To ensure that all your shares are voted, please sign and return each proxy card or, if you vote by Internet, QR code, or telephone, vote once for each proxy card you receive.</w:t>
            </w:r>
          </w:p>
        </w:tc>
      </w:tr>
    </w:tbl>
    <w:tbl>
      <w:tblPr>
        <w:tblW w:w="10205" w:type="dxa"/>
        <w:jc w:val="left"/>
        <w:tblInd w:w="0" w:type="dxa"/>
        <w:tblLayout w:type="fixed"/>
        <w:tblCellMar>
          <w:top w:w="28" w:type="dxa"/>
          <w:left w:w="28" w:type="dxa"/>
          <w:bottom w:w="28" w:type="dxa"/>
          <w:right w:w="28" w:type="dxa"/>
        </w:tblCellMar>
      </w:tblPr>
      <w:tblGrid>
        <w:gridCol w:w="166"/>
        <w:gridCol w:w="146"/>
        <w:gridCol w:w="148"/>
        <w:gridCol w:w="679"/>
        <w:gridCol w:w="679"/>
        <w:gridCol w:w="681"/>
        <w:gridCol w:w="109"/>
        <w:gridCol w:w="109"/>
        <w:gridCol w:w="109"/>
        <w:gridCol w:w="773"/>
        <w:gridCol w:w="703"/>
        <w:gridCol w:w="703"/>
        <w:gridCol w:w="1791"/>
        <w:gridCol w:w="1405"/>
        <w:gridCol w:w="2004"/>
      </w:tblGrid>
      <w:tr>
        <w:trPr/>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r>
      <w:tr>
        <w:trPr/>
        <w:tc>
          <w:tcPr>
            <w:tcW w:w="460" w:type="dxa"/>
            <w:gridSpan w:val="3"/>
            <w:vMerge w:val="restart"/>
            <w:tcBorders>
              <w:top w:val="single" w:sz="8" w:space="0" w:color="1946C8"/>
            </w:tcBorders>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E81111"/>
                <w:sz w:val="36"/>
              </w:rPr>
            </w:pPr>
            <w:r>
              <w:rPr>
                <w:rFonts w:ascii="Roboto;sans-serif" w:hAnsi="Roboto;sans-serif"/>
                <w:b/>
                <w:color w:val="E81111"/>
                <w:sz w:val="36"/>
              </w:rPr>
              <w:t>Q:</w:t>
            </w:r>
          </w:p>
        </w:tc>
        <w:tc>
          <w:tcPr>
            <w:tcW w:w="2039"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0"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 w:type="dxa"/>
            <w:gridSpan w:val="3"/>
            <w:vMerge w:val="continue"/>
            <w:tcBorders>
              <w:top w:val="single" w:sz="8" w:space="0" w:color="1946C8"/>
            </w:tcBorders>
            <w:tcMar>
              <w:top w:w="30" w:type="dxa"/>
              <w:left w:w="0" w:type="dxa"/>
              <w:bottom w:w="0" w:type="dxa"/>
              <w:right w:w="0" w:type="dxa"/>
            </w:tcMar>
            <w:vAlign w:val="center"/>
          </w:tcPr>
          <w:p>
            <w:pPr>
              <w:pStyle w:val="Normal"/>
              <w:bidi w:val="0"/>
              <w:jc w:val="left"/>
              <w:rPr/>
            </w:pPr>
            <w:r>
              <w:rPr/>
            </w:r>
          </w:p>
        </w:tc>
        <w:tc>
          <w:tcPr>
            <w:tcW w:w="203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1946C8"/>
                <w:sz w:val="18"/>
              </w:rPr>
            </w:pPr>
            <w:r>
              <w:rPr>
                <w:rFonts w:ascii="Roboto;sans-serif" w:hAnsi="Roboto;sans-serif"/>
                <w:b/>
                <w:color w:val="1946C8"/>
                <w:sz w:val="18"/>
              </w:rPr>
              <w:t>MAY I CHANGE MY VOTE OR REVOKE MY PROXY?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6"/>
            <w:tcBorders/>
            <w:tcMar>
              <w:top w:w="0" w:type="dxa"/>
              <w:left w:w="0" w:type="dxa"/>
              <w:bottom w:w="0" w:type="dxa"/>
              <w:right w:w="0" w:type="dxa"/>
            </w:tcMar>
            <w:vAlign w:val="center"/>
          </w:tcPr>
          <w:p>
            <w:pPr>
              <w:pStyle w:val="TableContents"/>
              <w:bidi w:val="0"/>
              <w:spacing w:lineRule="atLeast" w:line="240" w:before="0" w:after="120"/>
              <w:jc w:val="left"/>
              <w:rPr>
                <w:rFonts w:ascii="Roboto Light;sans-serif" w:hAnsi="Roboto Light;sans-serif"/>
                <w:b w:val="false"/>
                <w:color w:val="000000"/>
                <w:sz w:val="18"/>
              </w:rPr>
            </w:pPr>
            <w:r>
              <w:rPr>
                <w:rFonts w:ascii="Roboto Light;sans-serif" w:hAnsi="Roboto Light;sans-serif"/>
                <w:b w:val="false"/>
                <w:color w:val="000000"/>
                <w:sz w:val="18"/>
              </w:rPr>
              <w:t>Yes. Whether you have voted by Internet, telephone or mail, if you are a stockholder of record, you may change your vote and revoke your proxy:</w:t>
            </w:r>
          </w:p>
        </w:tc>
      </w:tr>
      <w:tr>
        <w:trPr/>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top w:val="single" w:sz="4" w:space="0" w:color="1946C8"/>
            </w:tcBorders>
            <w:tcMar>
              <w:top w:w="30" w:type="dxa"/>
              <w:left w:w="0" w:type="dxa"/>
              <w:bottom w:w="0" w:type="dxa"/>
              <w:right w:w="0" w:type="dxa"/>
            </w:tcMar>
            <w:vAlign w:val="center"/>
          </w:tcPr>
          <w:p>
            <w:pPr>
              <w:pStyle w:val="TableContents"/>
              <w:bidi w:val="0"/>
              <w:spacing w:lineRule="atLeast" w:line="200" w:before="0" w:after="60"/>
              <w:jc w:val="center"/>
              <w:rPr/>
            </w:pPr>
            <w:r>
              <w:rPr/>
              <w:drawing>
                <wp:inline distT="0" distB="0" distL="0" distR="0">
                  <wp:extent cx="361950" cy="361950"/>
                  <wp:effectExtent l="0" t="0" r="0" b="0"/>
                  <wp:docPr id="4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9" descr=""/>
                          <pic:cNvPicPr>
                            <a:picLocks noChangeAspect="1" noChangeArrowheads="1"/>
                          </pic:cNvPicPr>
                        </pic:nvPicPr>
                        <pic:blipFill>
                          <a:blip r:embed="rId38"/>
                          <a:stretch>
                            <a:fillRect/>
                          </a:stretch>
                        </pic:blipFill>
                        <pic:spPr bwMode="auto">
                          <a:xfrm>
                            <a:off x="0" y="0"/>
                            <a:ext cx="361950" cy="361950"/>
                          </a:xfrm>
                          <a:prstGeom prst="rect">
                            <a:avLst/>
                          </a:prstGeom>
                        </pic:spPr>
                      </pic:pic>
                    </a:graphicData>
                  </a:graphic>
                </wp:inline>
              </w:drawing>
            </w:r>
            <w:bookmarkStart w:id="36" w:name="i-29"/>
            <w:bookmarkEnd w:id="36"/>
            <w:r>
              <w:rPr>
                <w:color w:val="FF0090"/>
              </w:rPr>
              <w:t xml:space="preserve"> </w:t>
            </w:r>
            <w:r>
              <w:rPr/>
              <w:drawing>
                <wp:inline distT="0" distB="0" distL="0" distR="0">
                  <wp:extent cx="361950" cy="361950"/>
                  <wp:effectExtent l="0" t="0" r="0" b="0"/>
                  <wp:docPr id="5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0" descr=""/>
                          <pic:cNvPicPr>
                            <a:picLocks noChangeAspect="1" noChangeArrowheads="1"/>
                          </pic:cNvPicPr>
                        </pic:nvPicPr>
                        <pic:blipFill>
                          <a:blip r:embed="rId39"/>
                          <a:stretch>
                            <a:fillRect/>
                          </a:stretch>
                        </pic:blipFill>
                        <pic:spPr bwMode="auto">
                          <a:xfrm>
                            <a:off x="0" y="0"/>
                            <a:ext cx="361950" cy="361950"/>
                          </a:xfrm>
                          <a:prstGeom prst="rect">
                            <a:avLst/>
                          </a:prstGeom>
                        </pic:spPr>
                      </pic:pic>
                    </a:graphicData>
                  </a:graphic>
                </wp:inline>
              </w:drawing>
            </w:r>
            <w:bookmarkStart w:id="37" w:name="i-30"/>
            <w:bookmarkEnd w:id="37"/>
            <w:r>
              <w:rPr>
                <w:color w:val="FF0090"/>
              </w:rPr>
              <w:t xml:space="preserve"> </w:t>
            </w:r>
            <w:r>
              <w:rPr/>
              <w:drawing>
                <wp:inline distT="0" distB="0" distL="0" distR="0">
                  <wp:extent cx="361950" cy="361950"/>
                  <wp:effectExtent l="0" t="0" r="0" b="0"/>
                  <wp:docPr id="5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1" descr=""/>
                          <pic:cNvPicPr>
                            <a:picLocks noChangeAspect="1" noChangeArrowheads="1"/>
                          </pic:cNvPicPr>
                        </pic:nvPicPr>
                        <pic:blipFill>
                          <a:blip r:embed="rId40"/>
                          <a:stretch>
                            <a:fillRect/>
                          </a:stretch>
                        </pic:blipFill>
                        <pic:spPr bwMode="auto">
                          <a:xfrm>
                            <a:off x="0" y="0"/>
                            <a:ext cx="361950" cy="361950"/>
                          </a:xfrm>
                          <a:prstGeom prst="rect">
                            <a:avLst/>
                          </a:prstGeom>
                        </pic:spPr>
                      </pic:pic>
                    </a:graphicData>
                  </a:graphic>
                </wp:inline>
              </w:drawing>
            </w:r>
            <w:bookmarkStart w:id="38" w:name="i-31"/>
            <w:bookmarkEnd w:id="38"/>
          </w:p>
        </w:tc>
        <w:tc>
          <w:tcPr>
            <w:tcW w:w="5200" w:type="dxa"/>
            <w:gridSpan w:val="3"/>
            <w:tcBorders>
              <w:top w:val="single" w:sz="4" w:space="0" w:color="1946C8"/>
            </w:tcBorders>
            <w:tcMar>
              <w:top w:w="30" w:type="dxa"/>
              <w:left w:w="0" w:type="dxa"/>
              <w:bottom w:w="0" w:type="dxa"/>
              <w:right w:w="0" w:type="dxa"/>
            </w:tcMar>
            <w:vAlign w:val="center"/>
          </w:tcPr>
          <w:p>
            <w:pPr>
              <w:pStyle w:val="TableContents"/>
              <w:bidi w:val="0"/>
              <w:spacing w:lineRule="atLeast" w:line="240" w:before="0" w:after="0"/>
              <w:jc w:val="left"/>
              <w:rPr>
                <w:rFonts w:ascii="Helvetica;sans-serif" w:hAnsi="Helvetica;sans-serif"/>
                <w:b/>
                <w:color w:val="000000"/>
                <w:sz w:val="18"/>
              </w:rPr>
            </w:pPr>
            <w:r>
              <w:rPr>
                <w:rFonts w:ascii="Helvetica;sans-serif" w:hAnsi="Helvetica;sans-serif"/>
                <w:b/>
                <w:color w:val="000000"/>
                <w:sz w:val="18"/>
              </w:rPr>
              <w:t>By Internet, QR Code, or Telephone</w:t>
            </w:r>
          </w:p>
          <w:p>
            <w:pPr>
              <w:pStyle w:val="TableContents"/>
              <w:bidi w:val="0"/>
              <w:spacing w:lineRule="auto" w:line="288" w:before="0" w:after="240"/>
              <w:jc w:val="left"/>
              <w:rPr>
                <w:rFonts w:ascii="Roboto Light;sans-serif" w:hAnsi="Roboto Light;sans-serif"/>
                <w:b w:val="false"/>
                <w:color w:val="000000"/>
                <w:sz w:val="18"/>
              </w:rPr>
            </w:pPr>
            <w:r>
              <w:rPr>
                <w:rFonts w:ascii="Roboto Light;sans-serif" w:hAnsi="Roboto Light;sans-serif"/>
                <w:b w:val="false"/>
                <w:color w:val="000000"/>
                <w:sz w:val="18"/>
              </w:rPr>
              <w:t>Voting by Internet, QR code, or telephone at a later time than your previous vote and before the closing of those voting facilities at 10:59 p.m. Central Time, on June 3, 2026.</w:t>
            </w:r>
          </w:p>
        </w:tc>
      </w:tr>
      <w:tr>
        <w:trPr/>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top w:val="single" w:sz="4" w:space="0" w:color="1946C8"/>
            </w:tcBorders>
            <w:tcMar>
              <w:left w:w="0" w:type="dxa"/>
              <w:bottom w:w="0" w:type="dxa"/>
              <w:right w:w="0" w:type="dxa"/>
            </w:tcMar>
            <w:vAlign w:val="center"/>
          </w:tcPr>
          <w:p>
            <w:pPr>
              <w:pStyle w:val="TableContents"/>
              <w:bidi w:val="0"/>
              <w:spacing w:before="0" w:after="0"/>
              <w:jc w:val="center"/>
              <w:rPr/>
            </w:pPr>
            <w:r>
              <w:rPr/>
              <w:drawing>
                <wp:inline distT="0" distB="0" distL="0" distR="0">
                  <wp:extent cx="361950" cy="361950"/>
                  <wp:effectExtent l="0" t="0" r="0" b="0"/>
                  <wp:docPr id="5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2" descr=""/>
                          <pic:cNvPicPr>
                            <a:picLocks noChangeAspect="1" noChangeArrowheads="1"/>
                          </pic:cNvPicPr>
                        </pic:nvPicPr>
                        <pic:blipFill>
                          <a:blip r:embed="rId41"/>
                          <a:stretch>
                            <a:fillRect/>
                          </a:stretch>
                        </pic:blipFill>
                        <pic:spPr bwMode="auto">
                          <a:xfrm>
                            <a:off x="0" y="0"/>
                            <a:ext cx="361950" cy="361950"/>
                          </a:xfrm>
                          <a:prstGeom prst="rect">
                            <a:avLst/>
                          </a:prstGeom>
                        </pic:spPr>
                      </pic:pic>
                    </a:graphicData>
                  </a:graphic>
                </wp:inline>
              </w:drawing>
            </w:r>
            <w:bookmarkStart w:id="39" w:name="i-32"/>
            <w:bookmarkEnd w:id="39"/>
          </w:p>
        </w:tc>
        <w:tc>
          <w:tcPr>
            <w:tcW w:w="5200" w:type="dxa"/>
            <w:gridSpan w:val="3"/>
            <w:tcBorders>
              <w:top w:val="single" w:sz="4" w:space="0" w:color="1946C8"/>
            </w:tcBorders>
            <w:tcMar>
              <w:top w:w="30" w:type="dxa"/>
              <w:left w:w="0" w:type="dxa"/>
              <w:bottom w:w="0" w:type="dxa"/>
              <w:right w:w="0" w:type="dxa"/>
            </w:tcMar>
            <w:vAlign w:val="center"/>
          </w:tcPr>
          <w:p>
            <w:pPr>
              <w:pStyle w:val="TableContents"/>
              <w:bidi w:val="0"/>
              <w:spacing w:lineRule="atLeast" w:line="240" w:before="0" w:after="0"/>
              <w:jc w:val="left"/>
              <w:rPr>
                <w:rFonts w:ascii="Helvetica;sans-serif" w:hAnsi="Helvetica;sans-serif"/>
                <w:b/>
                <w:color w:val="000000"/>
                <w:sz w:val="18"/>
              </w:rPr>
            </w:pPr>
            <w:r>
              <w:rPr>
                <w:rFonts w:ascii="Helvetica;sans-serif" w:hAnsi="Helvetica;sans-serif"/>
                <w:b/>
                <w:color w:val="000000"/>
                <w:sz w:val="18"/>
              </w:rPr>
              <w:t>By Mail</w:t>
            </w:r>
          </w:p>
          <w:p>
            <w:pPr>
              <w:pStyle w:val="TableContents"/>
              <w:bidi w:val="0"/>
              <w:spacing w:lineRule="auto" w:line="288" w:before="0" w:after="60"/>
              <w:jc w:val="left"/>
              <w:rPr>
                <w:rFonts w:ascii="Roboto Light;sans-serif" w:hAnsi="Roboto Light;sans-serif"/>
                <w:b w:val="false"/>
                <w:color w:val="000000"/>
                <w:sz w:val="18"/>
              </w:rPr>
            </w:pPr>
            <w:r>
              <w:rPr>
                <w:rFonts w:ascii="Roboto Light;sans-serif" w:hAnsi="Roboto Light;sans-serif"/>
                <w:b w:val="false"/>
                <w:color w:val="000000"/>
                <w:sz w:val="18"/>
              </w:rPr>
              <w:t>Sending a written statement to that effect to the Corporate Secretary, provided such statement is received by the Corporate Secretary no later than June 3, 2026.</w:t>
            </w:r>
          </w:p>
        </w:tc>
      </w:tr>
      <w:tr>
        <w:trPr/>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top w:val="single" w:sz="4" w:space="0" w:color="1946C8"/>
            </w:tcBorders>
            <w:tcMar>
              <w:left w:w="0" w:type="dxa"/>
              <w:bottom w:w="0" w:type="dxa"/>
              <w:right w:w="0" w:type="dxa"/>
            </w:tcMar>
            <w:vAlign w:val="center"/>
          </w:tcPr>
          <w:p>
            <w:pPr>
              <w:pStyle w:val="TableContents"/>
              <w:bidi w:val="0"/>
              <w:spacing w:before="120" w:after="283"/>
              <w:jc w:val="center"/>
              <w:rPr/>
            </w:pPr>
            <w:r>
              <w:rPr/>
              <w:drawing>
                <wp:inline distT="0" distB="0" distL="0" distR="0">
                  <wp:extent cx="361950" cy="361950"/>
                  <wp:effectExtent l="0" t="0" r="0" b="0"/>
                  <wp:docPr id="5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3" descr=""/>
                          <pic:cNvPicPr>
                            <a:picLocks noChangeAspect="1" noChangeArrowheads="1"/>
                          </pic:cNvPicPr>
                        </pic:nvPicPr>
                        <pic:blipFill>
                          <a:blip r:embed="rId42"/>
                          <a:stretch>
                            <a:fillRect/>
                          </a:stretch>
                        </pic:blipFill>
                        <pic:spPr bwMode="auto">
                          <a:xfrm>
                            <a:off x="0" y="0"/>
                            <a:ext cx="361950" cy="361950"/>
                          </a:xfrm>
                          <a:prstGeom prst="rect">
                            <a:avLst/>
                          </a:prstGeom>
                        </pic:spPr>
                      </pic:pic>
                    </a:graphicData>
                  </a:graphic>
                </wp:inline>
              </w:drawing>
            </w:r>
            <w:bookmarkStart w:id="40" w:name="i-33"/>
            <w:bookmarkEnd w:id="40"/>
          </w:p>
        </w:tc>
        <w:tc>
          <w:tcPr>
            <w:tcW w:w="5200" w:type="dxa"/>
            <w:gridSpan w:val="3"/>
            <w:tcBorders>
              <w:top w:val="single" w:sz="4" w:space="0" w:color="1946C8"/>
            </w:tcBorders>
            <w:tcMar>
              <w:top w:w="30" w:type="dxa"/>
              <w:left w:w="0" w:type="dxa"/>
              <w:bottom w:w="0" w:type="dxa"/>
              <w:right w:w="0" w:type="dxa"/>
            </w:tcMar>
            <w:vAlign w:val="center"/>
          </w:tcPr>
          <w:p>
            <w:pPr>
              <w:pStyle w:val="TableContents"/>
              <w:bidi w:val="0"/>
              <w:spacing w:lineRule="atLeast" w:line="240" w:before="120" w:after="283"/>
              <w:jc w:val="left"/>
              <w:rPr>
                <w:rFonts w:ascii="Helvetica;sans-serif" w:hAnsi="Helvetica;sans-serif"/>
                <w:b/>
                <w:color w:val="000000"/>
                <w:sz w:val="18"/>
              </w:rPr>
            </w:pPr>
            <w:r>
              <w:rPr>
                <w:rFonts w:ascii="Helvetica;sans-serif" w:hAnsi="Helvetica;sans-serif"/>
                <w:b/>
                <w:color w:val="000000"/>
                <w:sz w:val="18"/>
              </w:rPr>
              <w:t>In Person</w:t>
            </w:r>
          </w:p>
          <w:p>
            <w:pPr>
              <w:pStyle w:val="TableContents"/>
              <w:bidi w:val="0"/>
              <w:spacing w:lineRule="auto" w:line="288" w:before="0" w:after="60"/>
              <w:jc w:val="left"/>
              <w:rPr>
                <w:rFonts w:ascii="Roboto Light;sans-serif" w:hAnsi="Roboto Light;sans-serif"/>
                <w:b w:val="false"/>
                <w:color w:val="000000"/>
                <w:sz w:val="18"/>
              </w:rPr>
            </w:pPr>
            <w:r>
              <w:rPr>
                <w:rFonts w:ascii="Roboto Light;sans-serif" w:hAnsi="Roboto Light;sans-serif"/>
                <w:b w:val="false"/>
                <w:color w:val="000000"/>
                <w:sz w:val="18"/>
              </w:rPr>
              <w:t>Submitting a properly signed proxy card to the Inspector of Election, which has a later date than your previous vote, at the Annual Meeting on June 4, 2026.</w:t>
            </w:r>
          </w:p>
        </w:tc>
      </w:tr>
      <w:tr>
        <w:trPr/>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6"/>
            <w:tcBorders/>
            <w:tcMar>
              <w:top w:w="0" w:type="dxa"/>
              <w:left w:w="0" w:type="dxa"/>
              <w:bottom w:w="0" w:type="dxa"/>
              <w:right w:w="0" w:type="dxa"/>
            </w:tcMar>
            <w:vAlign w:val="center"/>
          </w:tcPr>
          <w:p>
            <w:pPr>
              <w:pStyle w:val="TableContents"/>
              <w:bidi w:val="0"/>
              <w:spacing w:lineRule="atLeast" w:line="240" w:before="120" w:after="283"/>
              <w:jc w:val="left"/>
              <w:rPr>
                <w:rFonts w:ascii="Roboto Light;sans-serif" w:hAnsi="Roboto Light;sans-serif"/>
                <w:b w:val="false"/>
                <w:color w:val="000000"/>
                <w:sz w:val="18"/>
              </w:rPr>
            </w:pPr>
            <w:r>
              <w:rPr>
                <w:rFonts w:ascii="Roboto Light;sans-serif" w:hAnsi="Roboto Light;sans-serif"/>
                <w:b w:val="false"/>
                <w:color w:val="000000"/>
                <w:sz w:val="18"/>
              </w:rPr>
              <w:t>If you hold shares in street name, please refer to information from your bank, broker or other nominee on how to revoke or submit new voting instructions.</w:t>
            </w:r>
          </w:p>
        </w:tc>
      </w:tr>
    </w:tbl>
    <w:tbl>
      <w:tblPr>
        <w:tblW w:w="10205" w:type="dxa"/>
        <w:jc w:val="left"/>
        <w:tblInd w:w="0" w:type="dxa"/>
        <w:tblLayout w:type="fixed"/>
        <w:tblCellMar>
          <w:top w:w="28" w:type="dxa"/>
          <w:left w:w="28" w:type="dxa"/>
          <w:bottom w:w="28" w:type="dxa"/>
          <w:right w:w="28" w:type="dxa"/>
        </w:tblCellMar>
      </w:tblPr>
      <w:tblGrid>
        <w:gridCol w:w="158"/>
        <w:gridCol w:w="139"/>
        <w:gridCol w:w="140"/>
        <w:gridCol w:w="679"/>
        <w:gridCol w:w="679"/>
        <w:gridCol w:w="680"/>
        <w:gridCol w:w="109"/>
        <w:gridCol w:w="109"/>
        <w:gridCol w:w="109"/>
        <w:gridCol w:w="1153"/>
        <w:gridCol w:w="1153"/>
        <w:gridCol w:w="1153"/>
        <w:gridCol w:w="1153"/>
        <w:gridCol w:w="1153"/>
        <w:gridCol w:w="1638"/>
      </w:tblGrid>
      <w:tr>
        <w:trPr/>
        <w:tc>
          <w:tcPr>
            <w:tcW w:w="15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r>
      <w:tr>
        <w:trPr/>
        <w:tc>
          <w:tcPr>
            <w:tcW w:w="437" w:type="dxa"/>
            <w:gridSpan w:val="3"/>
            <w:vMerge w:val="restart"/>
            <w:tcBorders>
              <w:top w:val="single" w:sz="8" w:space="0" w:color="1946C8"/>
            </w:tcBorders>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E81111"/>
                <w:sz w:val="36"/>
              </w:rPr>
            </w:pPr>
            <w:r>
              <w:rPr>
                <w:rFonts w:ascii="Roboto;sans-serif" w:hAnsi="Roboto;sans-serif"/>
                <w:b/>
                <w:color w:val="E81111"/>
                <w:sz w:val="36"/>
              </w:rPr>
              <w:t>Q:</w:t>
            </w:r>
          </w:p>
        </w:tc>
        <w:tc>
          <w:tcPr>
            <w:tcW w:w="2038"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9"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 w:type="dxa"/>
            <w:gridSpan w:val="3"/>
            <w:vMerge w:val="continue"/>
            <w:tcBorders>
              <w:top w:val="single" w:sz="8" w:space="0" w:color="1946C8"/>
            </w:tcBorders>
            <w:tcMar>
              <w:top w:w="30" w:type="dxa"/>
              <w:left w:w="0" w:type="dxa"/>
              <w:bottom w:w="0" w:type="dxa"/>
              <w:right w:w="0" w:type="dxa"/>
            </w:tcMar>
            <w:vAlign w:val="center"/>
          </w:tcPr>
          <w:p>
            <w:pPr>
              <w:pStyle w:val="Normal"/>
              <w:bidi w:val="0"/>
              <w:jc w:val="left"/>
              <w:rPr/>
            </w:pPr>
            <w:r>
              <w:rPr/>
            </w:r>
          </w:p>
        </w:tc>
        <w:tc>
          <w:tcPr>
            <w:tcW w:w="2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1946C8"/>
                <w:sz w:val="18"/>
              </w:rPr>
            </w:pPr>
            <w:r>
              <w:rPr>
                <w:rFonts w:ascii="Roboto;sans-serif" w:hAnsi="Roboto;sans-serif"/>
                <w:b/>
                <w:color w:val="1946C8"/>
                <w:sz w:val="18"/>
              </w:rPr>
              <w:t>WHO WILL PAY FOR THE COST OF THIS PROXY SOLICITATION?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3" w:type="dxa"/>
            <w:gridSpan w:val="6"/>
            <w:tcBorders/>
            <w:tcMar>
              <w:top w:w="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rPr>
            </w:pPr>
            <w:r>
              <w:rPr>
                <w:rFonts w:ascii="Roboto Light;sans-serif" w:hAnsi="Roboto Light;sans-serif"/>
                <w:b w:val="false"/>
                <w:color w:val="000000"/>
                <w:sz w:val="18"/>
              </w:rPr>
              <w:t>We will pay the costs of soliciting proxies. We have retained Innisfree M&amp;A Incorporated to assist in soliciting proxies for a fee of approximately $10,000, plus reimbursement of out-of-pocket expenses incident to preparing and mailing our proxy materials. Proxies may be solicited on the Company’s behalf by our directors, officers or employees (for no additional compensation) in person or by telephone, and electronic transmission. Brokers and other nominees will be requested to solicit proxies or authorizations from beneficial owners and will be reimbursed for their reasonable expenses.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263525"/>
                <wp:effectExtent l="0" t="0" r="0" b="0"/>
                <wp:wrapNone/>
                <wp:docPr id="54" name="Frame13"/>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5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4" descr=""/>
                                          <pic:cNvPicPr>
                                            <a:picLocks noChangeAspect="1" noChangeArrowheads="1"/>
                                          </pic:cNvPicPr>
                                        </pic:nvPicPr>
                                        <pic:blipFill>
                                          <a:blip r:embed="rId43"/>
                                          <a:stretch>
                                            <a:fillRect/>
                                          </a:stretch>
                                        </pic:blipFill>
                                        <pic:spPr bwMode="auto">
                                          <a:xfrm>
                                            <a:off x="0" y="0"/>
                                            <a:ext cx="266700" cy="200025"/>
                                          </a:xfrm>
                                          <a:prstGeom prst="rect">
                                            <a:avLst/>
                                          </a:prstGeom>
                                        </pic:spPr>
                                      </pic:pic>
                                    </a:graphicData>
                                  </a:graphic>
                                </wp:inline>
                              </w:drawing>
                            </w:r>
                            <w:bookmarkStart w:id="41" w:name="i-34"/>
                            <w:bookmarkEnd w:id="41"/>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5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4" descr=""/>
                                    <pic:cNvPicPr>
                                      <a:picLocks noChangeAspect="1" noChangeArrowheads="1"/>
                                    </pic:cNvPicPr>
                                  </pic:nvPicPr>
                                  <pic:blipFill>
                                    <a:blip r:embed="rId44"/>
                                    <a:stretch>
                                      <a:fillRect/>
                                    </a:stretch>
                                  </pic:blipFill>
                                  <pic:spPr bwMode="auto">
                                    <a:xfrm>
                                      <a:off x="0" y="0"/>
                                      <a:ext cx="266700" cy="200025"/>
                                    </a:xfrm>
                                    <a:prstGeom prst="rect">
                                      <a:avLst/>
                                    </a:prstGeom>
                                  </pic:spPr>
                                </pic:pic>
                              </a:graphicData>
                            </a:graphic>
                          </wp:inline>
                        </w:drawing>
                      </w:r>
                      <w:bookmarkStart w:id="42" w:name="i-34"/>
                      <w:bookmarkEnd w:id="42"/>
                    </w:p>
                  </w:txbxContent>
                </v:textbox>
                <w10:wrap type="none"/>
              </v:rect>
            </w:pict>
          </mc:Fallback>
        </mc:AlternateContent>
      </w:r>
    </w:p>
    <w:tbl>
      <w:tblPr>
        <w:tblW w:w="522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33"/>
        <w:gridCol w:w="1333"/>
        <w:gridCol w:w="1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tbl>
      <w:tblPr>
        <w:tblW w:w="10205" w:type="dxa"/>
        <w:jc w:val="left"/>
        <w:tblInd w:w="0" w:type="dxa"/>
        <w:tblLayout w:type="fixed"/>
        <w:tblCellMar>
          <w:top w:w="28" w:type="dxa"/>
          <w:left w:w="28" w:type="dxa"/>
          <w:bottom w:w="28" w:type="dxa"/>
          <w:right w:w="28" w:type="dxa"/>
        </w:tblCellMar>
      </w:tblPr>
      <w:tblGrid>
        <w:gridCol w:w="156"/>
        <w:gridCol w:w="137"/>
        <w:gridCol w:w="138"/>
        <w:gridCol w:w="909"/>
        <w:gridCol w:w="909"/>
        <w:gridCol w:w="911"/>
        <w:gridCol w:w="109"/>
        <w:gridCol w:w="109"/>
        <w:gridCol w:w="109"/>
        <w:gridCol w:w="1966"/>
        <w:gridCol w:w="1966"/>
        <w:gridCol w:w="2786"/>
      </w:tblGrid>
      <w:tr>
        <w:trPr/>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r>
      <w:tr>
        <w:trPr/>
        <w:tc>
          <w:tcPr>
            <w:tcW w:w="431" w:type="dxa"/>
            <w:gridSpan w:val="3"/>
            <w:vMerge w:val="restart"/>
            <w:tcBorders>
              <w:top w:val="single" w:sz="8" w:space="0" w:color="1946C8"/>
            </w:tcBorders>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E81111"/>
                <w:sz w:val="36"/>
              </w:rPr>
            </w:pPr>
            <w:r>
              <w:rPr>
                <w:rFonts w:ascii="Roboto;sans-serif" w:hAnsi="Roboto;sans-serif"/>
                <w:b/>
                <w:color w:val="E81111"/>
                <w:sz w:val="36"/>
              </w:rPr>
              <w:t>Q:</w:t>
            </w:r>
          </w:p>
        </w:tc>
        <w:tc>
          <w:tcPr>
            <w:tcW w:w="2729"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8"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 w:type="dxa"/>
            <w:gridSpan w:val="3"/>
            <w:vMerge w:val="continue"/>
            <w:tcBorders>
              <w:top w:val="single" w:sz="8" w:space="0" w:color="1946C8"/>
            </w:tcBorders>
            <w:tcMar>
              <w:top w:w="30" w:type="dxa"/>
              <w:left w:w="0" w:type="dxa"/>
              <w:bottom w:w="0" w:type="dxa"/>
              <w:right w:w="0" w:type="dxa"/>
            </w:tcMar>
            <w:vAlign w:val="center"/>
          </w:tcPr>
          <w:p>
            <w:pPr>
              <w:pStyle w:val="Normal"/>
              <w:bidi w:val="0"/>
              <w:jc w:val="left"/>
              <w:rPr/>
            </w:pPr>
            <w:r>
              <w:rPr/>
            </w:r>
          </w:p>
        </w:tc>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1946C8"/>
                <w:sz w:val="18"/>
              </w:rPr>
            </w:pPr>
            <w:r>
              <w:rPr>
                <w:rFonts w:ascii="Roboto;sans-serif" w:hAnsi="Roboto;sans-serif"/>
                <w:b/>
                <w:color w:val="1946C8"/>
                <w:sz w:val="18"/>
              </w:rPr>
              <w:t>HOW CAN I VIEW COPIES OF THE COMPANY’S CORPORATE GOVERNANCE DOCUMENTS AND FILINGS WITH THE SEC, INCLUDING THIS PROXY STATEMENT AND THE ANNUAL REPORT?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8"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rPr>
            </w:pPr>
            <w:r>
              <w:rPr>
                <w:rFonts w:ascii="Roboto Light;sans-serif" w:hAnsi="Roboto Light;sans-serif"/>
                <w:b w:val="false"/>
                <w:color w:val="000000"/>
                <w:sz w:val="18"/>
              </w:rPr>
              <w:t xml:space="preserve">Our investor relations website contains the Company’s Restated Certificate of Incorporation (the “Certificate of Incorporation”), Bylaws, Corporate Governance Guidelines, Board committee charters, Ethics and Code of Conduct Policy, Anti-Corruption and Anti-Bribery Policy, Whistleblower Policy, Vendor Code of Conduct, Conflict Minerals Policy, and SEC filings, including this Proxy Statement and the Annual Report. To view these documents, go to our investor relations website at investors.academy.com, and select “Documents &amp; Charters” from the “Corporate Governance” drop-down menu, or select “SEC Filings” from the “Financials &amp; Filings” drop-down menu. </w:t>
            </w:r>
          </w:p>
        </w:tc>
      </w:tr>
    </w:tbl>
    <w:tbl>
      <w:tblPr>
        <w:tblW w:w="10205" w:type="dxa"/>
        <w:jc w:val="left"/>
        <w:tblInd w:w="0" w:type="dxa"/>
        <w:tblLayout w:type="fixed"/>
        <w:tblCellMar>
          <w:top w:w="28" w:type="dxa"/>
          <w:left w:w="28" w:type="dxa"/>
          <w:bottom w:w="28" w:type="dxa"/>
          <w:right w:w="28" w:type="dxa"/>
        </w:tblCellMar>
      </w:tblPr>
      <w:tblGrid>
        <w:gridCol w:w="166"/>
        <w:gridCol w:w="146"/>
        <w:gridCol w:w="147"/>
        <w:gridCol w:w="690"/>
        <w:gridCol w:w="690"/>
        <w:gridCol w:w="691"/>
        <w:gridCol w:w="109"/>
        <w:gridCol w:w="109"/>
        <w:gridCol w:w="109"/>
        <w:gridCol w:w="2147"/>
        <w:gridCol w:w="2147"/>
        <w:gridCol w:w="3054"/>
      </w:tblGrid>
      <w:tr>
        <w:trPr/>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r>
      <w:tr>
        <w:trPr/>
        <w:tc>
          <w:tcPr>
            <w:tcW w:w="459" w:type="dxa"/>
            <w:gridSpan w:val="3"/>
            <w:vMerge w:val="restart"/>
            <w:tcBorders>
              <w:top w:val="single" w:sz="8" w:space="0" w:color="1946C8"/>
            </w:tcBorders>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E81111"/>
                <w:sz w:val="36"/>
              </w:rPr>
            </w:pPr>
            <w:r>
              <w:rPr>
                <w:rFonts w:ascii="Roboto;sans-serif" w:hAnsi="Roboto;sans-serif"/>
                <w:b/>
                <w:color w:val="E81111"/>
                <w:sz w:val="36"/>
              </w:rPr>
              <w:t>Q:</w:t>
            </w:r>
          </w:p>
        </w:tc>
        <w:tc>
          <w:tcPr>
            <w:tcW w:w="2071"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 w:type="dxa"/>
            <w:gridSpan w:val="3"/>
            <w:vMerge w:val="continue"/>
            <w:tcBorders>
              <w:top w:val="single" w:sz="8" w:space="0" w:color="1946C8"/>
            </w:tcBorders>
            <w:tcMar>
              <w:top w:w="30" w:type="dxa"/>
              <w:left w:w="0" w:type="dxa"/>
              <w:bottom w:w="0" w:type="dxa"/>
              <w:right w:w="0" w:type="dxa"/>
            </w:tcMar>
            <w:vAlign w:val="center"/>
          </w:tcPr>
          <w:p>
            <w:pPr>
              <w:pStyle w:val="Normal"/>
              <w:bidi w:val="0"/>
              <w:jc w:val="left"/>
              <w:rPr/>
            </w:pPr>
            <w:r>
              <w:rPr/>
            </w:r>
          </w:p>
        </w:tc>
        <w:tc>
          <w:tcPr>
            <w:tcW w:w="20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1946C8"/>
                <w:sz w:val="18"/>
              </w:rPr>
            </w:pPr>
            <w:r>
              <w:rPr>
                <w:rFonts w:ascii="Roboto;sans-serif" w:hAnsi="Roboto;sans-serif"/>
                <w:b/>
                <w:color w:val="1946C8"/>
                <w:sz w:val="18"/>
              </w:rPr>
              <w:t>WHAT IS THE COMPANY’S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rPr>
            </w:pPr>
            <w:r>
              <w:rPr>
                <w:rFonts w:ascii="Roboto Light;sans-serif" w:hAnsi="Roboto Light;sans-serif"/>
                <w:b w:val="false"/>
                <w:color w:val="000000"/>
                <w:sz w:val="18"/>
              </w:rPr>
              <w:t>We operate on a retail fiscal calendar pursuant to which our fiscal year consists of 52 or 53 weeks, ending on the Saturday closest to January 31 (which such Saturday may occur on a date following January 31) each year. See Basis of Presentation for more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263525"/>
                <wp:effectExtent l="0" t="0" r="0" b="0"/>
                <wp:wrapNone/>
                <wp:docPr id="57" name="Frame14"/>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5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5" descr=""/>
                                          <pic:cNvPicPr>
                                            <a:picLocks noChangeAspect="1" noChangeArrowheads="1"/>
                                          </pic:cNvPicPr>
                                        </pic:nvPicPr>
                                        <pic:blipFill>
                                          <a:blip r:embed="rId45"/>
                                          <a:stretch>
                                            <a:fillRect/>
                                          </a:stretch>
                                        </pic:blipFill>
                                        <pic:spPr bwMode="auto">
                                          <a:xfrm>
                                            <a:off x="0" y="0"/>
                                            <a:ext cx="266700" cy="200025"/>
                                          </a:xfrm>
                                          <a:prstGeom prst="rect">
                                            <a:avLst/>
                                          </a:prstGeom>
                                        </pic:spPr>
                                      </pic:pic>
                                    </a:graphicData>
                                  </a:graphic>
                                </wp:inline>
                              </w:drawing>
                            </w:r>
                            <w:bookmarkStart w:id="43" w:name="i-35"/>
                            <w:bookmarkEnd w:id="43"/>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5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5" descr=""/>
                                    <pic:cNvPicPr>
                                      <a:picLocks noChangeAspect="1" noChangeArrowheads="1"/>
                                    </pic:cNvPicPr>
                                  </pic:nvPicPr>
                                  <pic:blipFill>
                                    <a:blip r:embed="rId46"/>
                                    <a:stretch>
                                      <a:fillRect/>
                                    </a:stretch>
                                  </pic:blipFill>
                                  <pic:spPr bwMode="auto">
                                    <a:xfrm>
                                      <a:off x="0" y="0"/>
                                      <a:ext cx="266700" cy="200025"/>
                                    </a:xfrm>
                                    <a:prstGeom prst="rect">
                                      <a:avLst/>
                                    </a:prstGeom>
                                  </pic:spPr>
                                </pic:pic>
                              </a:graphicData>
                            </a:graphic>
                          </wp:inline>
                        </w:drawing>
                      </w:r>
                      <w:bookmarkStart w:id="44" w:name="i-35"/>
                      <w:bookmarkEnd w:id="44"/>
                    </w:p>
                  </w:txbxContent>
                </v:textbox>
                <w10:wrap type="none"/>
              </v:rect>
            </w:pict>
          </mc:Fallback>
        </mc:AlternateContent>
      </w:r>
    </w:p>
    <w:tbl>
      <w:tblPr>
        <w:tblW w:w="5828"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09"/>
        <w:gridCol w:w="109"/>
        <w:gridCol w:w="154"/>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9</w:t>
            </w:r>
          </w:p>
        </w:tc>
      </w:tr>
    </w:tbl>
    <w:tbl>
      <w:tblPr>
        <w:tblW w:w="2544" w:type="dxa"/>
        <w:jc w:val="left"/>
        <w:tblInd w:w="0" w:type="dxa"/>
        <w:tblLayout w:type="fixed"/>
        <w:tblCellMar>
          <w:top w:w="28" w:type="dxa"/>
          <w:left w:w="28" w:type="dxa"/>
          <w:bottom w:w="28" w:type="dxa"/>
          <w:right w:w="28" w:type="dxa"/>
        </w:tblCellMar>
      </w:tblPr>
      <w:tblGrid>
        <w:gridCol w:w="668"/>
        <w:gridCol w:w="588"/>
        <w:gridCol w:w="589"/>
        <w:gridCol w:w="109"/>
        <w:gridCol w:w="109"/>
        <w:gridCol w:w="109"/>
        <w:gridCol w:w="109"/>
        <w:gridCol w:w="109"/>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20"/>
              </w:rPr>
            </w:pPr>
            <w:r>
              <w:rPr>
                <w:rFonts w:ascii="Roboto Black;sans-serif" w:hAnsi="Roboto Black;sans-serif"/>
                <w:b/>
                <w:color w:val="000000"/>
                <w:sz w:val="20"/>
              </w:rPr>
              <w:t>PROPOSAL 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720"/>
        <w:jc w:val="left"/>
        <w:rPr>
          <w:rFonts w:ascii="Roboto;sans-serif" w:hAnsi="Roboto;sans-serif"/>
          <w:b/>
          <w:color w:val="1946C8"/>
          <w:sz w:val="54"/>
        </w:rPr>
      </w:pPr>
      <w:r>
        <w:rPr>
          <w:rFonts w:ascii="Roboto;sans-serif" w:hAnsi="Roboto;sans-serif"/>
          <w:b/>
          <w:color w:val="1946C8"/>
          <w:sz w:val="54"/>
        </w:rPr>
        <w:t>Election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Board of Directors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 Board of Directors directs and oversees our business and affairs, as provided by Delaware law, and conducts its business through meetings of the Board and its three standing committees: the Audit Committee, the Compensation Committee, and the Nominating and Governance Committee (the “Governance Committee”).</w:t>
      </w:r>
    </w:p>
    <w:p>
      <w:pPr>
        <w:pStyle w:val="TextBody"/>
        <w:bidi w:val="0"/>
        <w:spacing w:lineRule="atLeast" w:line="230" w:before="0" w:after="220"/>
        <w:jc w:val="left"/>
        <w:rPr>
          <w:rFonts w:ascii="Roboto Light;sans-serif" w:hAnsi="Roboto Light;sans-serif"/>
          <w:b w:val="false"/>
          <w:color w:val="000000"/>
          <w:sz w:val="18"/>
        </w:rPr>
      </w:pPr>
      <w:r>
        <w:rPr>
          <w:rFonts w:ascii="Roboto Light;sans-serif" w:hAnsi="Roboto Light;sans-serif"/>
          <w:b w:val="false"/>
          <w:color w:val="000000"/>
          <w:sz w:val="18"/>
        </w:rPr>
        <w:t>The Board currently consists of twelve directors, ten of whom are independent. On May 5, 2025, Scott Boatwright, an independent Class III Director, resigned from the Board effective as of that date, and on September 16, 2025, Chris Turner, an independent Class I Director, resigned from the Board effective as of that date. On December 1, 2025, the size of the Board was increased to twelve directors, and Michael Dastugue, Shannon Hennessy, and Clay Johnson were appointed to the Board as independent Class II Directors, effective as of that date. Ms. Hennessy and Messrs. Dastugue and Johnson were identified through the Company’s director search and evaluation process, which included suggestions from current and former directors, and were ultimately recommended by the Governance Committee and approved by the Board.</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The Company’s Certificate of Incorporation provides for a classified Board divided into three classes until the Annual Meeting of Stockholders in 2028, after which the Board will be declassified. Currently, one class of directors stands for election at each of our Annual Meetings of Stockholders. As part of the phased-in declassification of the Board, directors are elected by our stockholders to serve for terms expiring at the Annual Meeting of Stockholders in 2028, after which the Board will be declassified and all directors will thereafter stand for election at every subsequent Annual Meeting of Stockholders for one year terms. Ken Hicks, Beryl Raff, and Jeff Tweedy constitute a class with a term that expires at the Annual Meeting and are each standing for re-election for a two-year term expiring at the 2028 Annual Meeting of Stockholders (the “Class III Directors”), subject to the election and qualification of their successors; Steve Lawrence, Brian Marley, and Tom Nealon constitute a class with a term that expires at the Annual Meeting of Stockholders in 2027 (the “Class I Directors”); and Wendy Beck, Michael Dastugue, Shannon Hennessy, Clay Johnson, Theresa Palermo, and Monique Picou constitute a class with a term that expires at the Annual Meeting of Stockholders in 2028 (the “Class II Directors”).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Upon the recommendation of the Governance Committee, the Board has considered and nominated Ken Hicks, Beryl Raff, and Jeff Tweedy as Class III Director nominees for a two-year term expiring at the Annual Meeting of Stockholders in 2028. Each of these nominees has indicated that they will be willing and able to serve as a director if elected. Action will be taken at the Annual Meeting for the election of these three Class III Director nominees. Unless otherwise instructed, the persons named in the proxy card (the “proxy holders”) included with this Proxy Statement intend to vote the proxies held by them “FOR” the election of each of Ken Hicks, Beryl Raff, and Jeff Tweedy. If any of these nominees ceases to be a candidate for election by the time of the Annual Meeting (a contingency which the Board does not expect to occur), the Board may propose another person or persons in place of any such nominee(s), and the individuals designated as your proxies will vote to appoint that proposed person or persons. Alternatively, in such event, the Board may decide to reduce the number of directors constituting the full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263525"/>
                <wp:effectExtent l="0" t="0" r="0" b="0"/>
                <wp:wrapNone/>
                <wp:docPr id="60" name="Frame15"/>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6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6" descr=""/>
                                          <pic:cNvPicPr>
                                            <a:picLocks noChangeAspect="1" noChangeArrowheads="1"/>
                                          </pic:cNvPicPr>
                                        </pic:nvPicPr>
                                        <pic:blipFill>
                                          <a:blip r:embed="rId47"/>
                                          <a:stretch>
                                            <a:fillRect/>
                                          </a:stretch>
                                        </pic:blipFill>
                                        <pic:spPr bwMode="auto">
                                          <a:xfrm>
                                            <a:off x="0" y="0"/>
                                            <a:ext cx="266700" cy="200025"/>
                                          </a:xfrm>
                                          <a:prstGeom prst="rect">
                                            <a:avLst/>
                                          </a:prstGeom>
                                        </pic:spPr>
                                      </pic:pic>
                                    </a:graphicData>
                                  </a:graphic>
                                </wp:inline>
                              </w:drawing>
                            </w:r>
                            <w:bookmarkStart w:id="45" w:name="i-36"/>
                            <w:bookmarkEnd w:id="45"/>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6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6" descr=""/>
                                    <pic:cNvPicPr>
                                      <a:picLocks noChangeAspect="1" noChangeArrowheads="1"/>
                                    </pic:cNvPicPr>
                                  </pic:nvPicPr>
                                  <pic:blipFill>
                                    <a:blip r:embed="rId48"/>
                                    <a:stretch>
                                      <a:fillRect/>
                                    </a:stretch>
                                  </pic:blipFill>
                                  <pic:spPr bwMode="auto">
                                    <a:xfrm>
                                      <a:off x="0" y="0"/>
                                      <a:ext cx="266700" cy="200025"/>
                                    </a:xfrm>
                                    <a:prstGeom prst="rect">
                                      <a:avLst/>
                                    </a:prstGeom>
                                  </pic:spPr>
                                </pic:pic>
                              </a:graphicData>
                            </a:graphic>
                          </wp:inline>
                        </w:drawing>
                      </w:r>
                      <w:bookmarkStart w:id="46" w:name="i-36"/>
                      <w:bookmarkEnd w:id="46"/>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Board Composition</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Since the Company’s initial public offering (“IPO”) in October 2020, it has been the Board’s objective to retain seasoned directors and executives with proven track records of leadership and success in retail and other consumer-oriented businesses that are relevant in light of the Company’s business, strategy, and structure. We believe the current composition of the Board enhances the Company with a varied mix of experiences, perspectives, and backgrounds. The Board and the Governance Committee regularly evaluates the Board’s composition to ensure it continues to advance our business strategies and serve the interests of our stockholders.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Board Composition Matrix</w:t>
      </w:r>
    </w:p>
    <w:p>
      <w:pPr>
        <w:pStyle w:val="TextBody"/>
        <w:bidi w:val="0"/>
        <w:spacing w:lineRule="atLeast" w:line="240" w:before="0" w:after="60"/>
        <w:jc w:val="left"/>
        <w:rPr>
          <w:rFonts w:ascii="Roboto Light;sans-serif" w:hAnsi="Roboto Light;sans-serif"/>
          <w:b w:val="false"/>
          <w:color w:val="000000"/>
          <w:sz w:val="18"/>
        </w:rPr>
      </w:pPr>
      <w:r>
        <w:rPr>
          <w:rFonts w:ascii="Roboto Light;sans-serif" w:hAnsi="Roboto Light;sans-serif"/>
          <w:b w:val="false"/>
          <w:color w:val="000000"/>
          <w:sz w:val="18"/>
        </w:rPr>
        <w:t>(As of April 21, 2026)</w:t>
      </w:r>
    </w:p>
    <w:tbl>
      <w:tblPr>
        <w:tblW w:w="10205" w:type="dxa"/>
        <w:jc w:val="left"/>
        <w:tblInd w:w="0" w:type="dxa"/>
        <w:tblLayout w:type="fixed"/>
        <w:tblCellMar>
          <w:top w:w="28" w:type="dxa"/>
          <w:left w:w="28" w:type="dxa"/>
          <w:bottom w:w="28" w:type="dxa"/>
          <w:right w:w="28" w:type="dxa"/>
        </w:tblCellMar>
      </w:tblPr>
      <w:tblGrid>
        <w:gridCol w:w="1461"/>
        <w:gridCol w:w="1191"/>
        <w:gridCol w:w="1195"/>
        <w:gridCol w:w="175"/>
        <w:gridCol w:w="175"/>
        <w:gridCol w:w="176"/>
        <w:gridCol w:w="175"/>
        <w:gridCol w:w="175"/>
        <w:gridCol w:w="176"/>
        <w:gridCol w:w="175"/>
        <w:gridCol w:w="175"/>
        <w:gridCol w:w="176"/>
        <w:gridCol w:w="175"/>
        <w:gridCol w:w="175"/>
        <w:gridCol w:w="176"/>
        <w:gridCol w:w="175"/>
        <w:gridCol w:w="175"/>
        <w:gridCol w:w="176"/>
        <w:gridCol w:w="175"/>
        <w:gridCol w:w="175"/>
        <w:gridCol w:w="176"/>
        <w:gridCol w:w="175"/>
        <w:gridCol w:w="175"/>
        <w:gridCol w:w="176"/>
        <w:gridCol w:w="175"/>
        <w:gridCol w:w="175"/>
        <w:gridCol w:w="176"/>
        <w:gridCol w:w="175"/>
        <w:gridCol w:w="175"/>
        <w:gridCol w:w="176"/>
        <w:gridCol w:w="175"/>
        <w:gridCol w:w="175"/>
        <w:gridCol w:w="176"/>
        <w:gridCol w:w="175"/>
        <w:gridCol w:w="175"/>
        <w:gridCol w:w="176"/>
        <w:gridCol w:w="167"/>
        <w:gridCol w:w="167"/>
        <w:gridCol w:w="238"/>
      </w:tblGrid>
      <w:tr>
        <w:trPr/>
        <w:tc>
          <w:tcPr>
            <w:tcW w:w="1461"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384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1946C8" w:val="clear"/>
            <w:tcMar>
              <w:top w:w="0" w:type="dxa"/>
              <w:left w:w="0" w:type="dxa"/>
              <w:bottom w:w="0" w:type="dxa"/>
              <w:right w:w="0" w:type="dxa"/>
            </w:tcMar>
            <w:vAlign w:val="center"/>
          </w:tcPr>
          <w:p>
            <w:pPr>
              <w:pStyle w:val="TableContents"/>
              <w:bidi w:val="0"/>
              <w:spacing w:before="0" w:after="60"/>
              <w:jc w:val="left"/>
              <w:rPr/>
            </w:pPr>
            <w:r>
              <w:rPr/>
            </w:r>
          </w:p>
        </w:tc>
        <w:tc>
          <w:tcPr>
            <w:tcW w:w="526" w:type="dxa"/>
            <w:gridSpan w:val="3"/>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6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7" descr=""/>
                          <pic:cNvPicPr>
                            <a:picLocks noChangeAspect="1" noChangeArrowheads="1"/>
                          </pic:cNvPicPr>
                        </pic:nvPicPr>
                        <pic:blipFill>
                          <a:blip r:embed="rId49"/>
                          <a:stretch>
                            <a:fillRect/>
                          </a:stretch>
                        </pic:blipFill>
                        <pic:spPr bwMode="auto">
                          <a:xfrm>
                            <a:off x="0" y="0"/>
                            <a:ext cx="95250" cy="438150"/>
                          </a:xfrm>
                          <a:prstGeom prst="rect">
                            <a:avLst/>
                          </a:prstGeom>
                        </pic:spPr>
                      </pic:pic>
                    </a:graphicData>
                  </a:graphic>
                </wp:inline>
              </w:drawing>
            </w:r>
            <w:bookmarkStart w:id="47" w:name="i-37"/>
            <w:bookmarkEnd w:id="47"/>
          </w:p>
        </w:tc>
        <w:tc>
          <w:tcPr>
            <w:tcW w:w="526" w:type="dxa"/>
            <w:gridSpan w:val="3"/>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64"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8" descr=""/>
                          <pic:cNvPicPr>
                            <a:picLocks noChangeAspect="1" noChangeArrowheads="1"/>
                          </pic:cNvPicPr>
                        </pic:nvPicPr>
                        <pic:blipFill>
                          <a:blip r:embed="rId50"/>
                          <a:stretch>
                            <a:fillRect/>
                          </a:stretch>
                        </pic:blipFill>
                        <pic:spPr bwMode="auto">
                          <a:xfrm>
                            <a:off x="0" y="0"/>
                            <a:ext cx="95250" cy="438150"/>
                          </a:xfrm>
                          <a:prstGeom prst="rect">
                            <a:avLst/>
                          </a:prstGeom>
                        </pic:spPr>
                      </pic:pic>
                    </a:graphicData>
                  </a:graphic>
                </wp:inline>
              </w:drawing>
            </w:r>
            <w:bookmarkStart w:id="48" w:name="i-38"/>
            <w:bookmarkEnd w:id="48"/>
          </w:p>
        </w:tc>
        <w:tc>
          <w:tcPr>
            <w:tcW w:w="526" w:type="dxa"/>
            <w:gridSpan w:val="3"/>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6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9" descr=""/>
                          <pic:cNvPicPr>
                            <a:picLocks noChangeAspect="1" noChangeArrowheads="1"/>
                          </pic:cNvPicPr>
                        </pic:nvPicPr>
                        <pic:blipFill>
                          <a:blip r:embed="rId51"/>
                          <a:stretch>
                            <a:fillRect/>
                          </a:stretch>
                        </pic:blipFill>
                        <pic:spPr bwMode="auto">
                          <a:xfrm>
                            <a:off x="0" y="0"/>
                            <a:ext cx="95250" cy="438150"/>
                          </a:xfrm>
                          <a:prstGeom prst="rect">
                            <a:avLst/>
                          </a:prstGeom>
                        </pic:spPr>
                      </pic:pic>
                    </a:graphicData>
                  </a:graphic>
                </wp:inline>
              </w:drawing>
            </w:r>
            <w:bookmarkStart w:id="49" w:name="i-39"/>
            <w:bookmarkEnd w:id="49"/>
          </w:p>
        </w:tc>
        <w:tc>
          <w:tcPr>
            <w:tcW w:w="526" w:type="dxa"/>
            <w:gridSpan w:val="3"/>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6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0" descr=""/>
                          <pic:cNvPicPr>
                            <a:picLocks noChangeAspect="1" noChangeArrowheads="1"/>
                          </pic:cNvPicPr>
                        </pic:nvPicPr>
                        <pic:blipFill>
                          <a:blip r:embed="rId52"/>
                          <a:stretch>
                            <a:fillRect/>
                          </a:stretch>
                        </pic:blipFill>
                        <pic:spPr bwMode="auto">
                          <a:xfrm>
                            <a:off x="0" y="0"/>
                            <a:ext cx="95250" cy="438150"/>
                          </a:xfrm>
                          <a:prstGeom prst="rect">
                            <a:avLst/>
                          </a:prstGeom>
                        </pic:spPr>
                      </pic:pic>
                    </a:graphicData>
                  </a:graphic>
                </wp:inline>
              </w:drawing>
            </w:r>
            <w:bookmarkStart w:id="50" w:name="i-40"/>
            <w:bookmarkEnd w:id="50"/>
          </w:p>
        </w:tc>
        <w:tc>
          <w:tcPr>
            <w:tcW w:w="526" w:type="dxa"/>
            <w:gridSpan w:val="3"/>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6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1" descr=""/>
                          <pic:cNvPicPr>
                            <a:picLocks noChangeAspect="1" noChangeArrowheads="1"/>
                          </pic:cNvPicPr>
                        </pic:nvPicPr>
                        <pic:blipFill>
                          <a:blip r:embed="rId53"/>
                          <a:stretch>
                            <a:fillRect/>
                          </a:stretch>
                        </pic:blipFill>
                        <pic:spPr bwMode="auto">
                          <a:xfrm>
                            <a:off x="0" y="0"/>
                            <a:ext cx="95250" cy="438150"/>
                          </a:xfrm>
                          <a:prstGeom prst="rect">
                            <a:avLst/>
                          </a:prstGeom>
                        </pic:spPr>
                      </pic:pic>
                    </a:graphicData>
                  </a:graphic>
                </wp:inline>
              </w:drawing>
            </w:r>
            <w:bookmarkStart w:id="51" w:name="i-41"/>
            <w:bookmarkEnd w:id="51"/>
          </w:p>
        </w:tc>
        <w:tc>
          <w:tcPr>
            <w:tcW w:w="526" w:type="dxa"/>
            <w:gridSpan w:val="3"/>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6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2" descr=""/>
                          <pic:cNvPicPr>
                            <a:picLocks noChangeAspect="1" noChangeArrowheads="1"/>
                          </pic:cNvPicPr>
                        </pic:nvPicPr>
                        <pic:blipFill>
                          <a:blip r:embed="rId54"/>
                          <a:stretch>
                            <a:fillRect/>
                          </a:stretch>
                        </pic:blipFill>
                        <pic:spPr bwMode="auto">
                          <a:xfrm>
                            <a:off x="0" y="0"/>
                            <a:ext cx="95250" cy="438150"/>
                          </a:xfrm>
                          <a:prstGeom prst="rect">
                            <a:avLst/>
                          </a:prstGeom>
                        </pic:spPr>
                      </pic:pic>
                    </a:graphicData>
                  </a:graphic>
                </wp:inline>
              </w:drawing>
            </w:r>
            <w:bookmarkStart w:id="52" w:name="i-42"/>
            <w:bookmarkEnd w:id="52"/>
          </w:p>
        </w:tc>
        <w:tc>
          <w:tcPr>
            <w:tcW w:w="526" w:type="dxa"/>
            <w:gridSpan w:val="3"/>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6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3" descr=""/>
                          <pic:cNvPicPr>
                            <a:picLocks noChangeAspect="1" noChangeArrowheads="1"/>
                          </pic:cNvPicPr>
                        </pic:nvPicPr>
                        <pic:blipFill>
                          <a:blip r:embed="rId55"/>
                          <a:stretch>
                            <a:fillRect/>
                          </a:stretch>
                        </pic:blipFill>
                        <pic:spPr bwMode="auto">
                          <a:xfrm>
                            <a:off x="0" y="0"/>
                            <a:ext cx="95250" cy="438150"/>
                          </a:xfrm>
                          <a:prstGeom prst="rect">
                            <a:avLst/>
                          </a:prstGeom>
                        </pic:spPr>
                      </pic:pic>
                    </a:graphicData>
                  </a:graphic>
                </wp:inline>
              </w:drawing>
            </w:r>
            <w:bookmarkStart w:id="53" w:name="i-43"/>
            <w:bookmarkEnd w:id="53"/>
          </w:p>
        </w:tc>
        <w:tc>
          <w:tcPr>
            <w:tcW w:w="526" w:type="dxa"/>
            <w:gridSpan w:val="3"/>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7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4" descr=""/>
                          <pic:cNvPicPr>
                            <a:picLocks noChangeAspect="1" noChangeArrowheads="1"/>
                          </pic:cNvPicPr>
                        </pic:nvPicPr>
                        <pic:blipFill>
                          <a:blip r:embed="rId56"/>
                          <a:stretch>
                            <a:fillRect/>
                          </a:stretch>
                        </pic:blipFill>
                        <pic:spPr bwMode="auto">
                          <a:xfrm>
                            <a:off x="0" y="0"/>
                            <a:ext cx="95250" cy="438150"/>
                          </a:xfrm>
                          <a:prstGeom prst="rect">
                            <a:avLst/>
                          </a:prstGeom>
                        </pic:spPr>
                      </pic:pic>
                    </a:graphicData>
                  </a:graphic>
                </wp:inline>
              </w:drawing>
            </w:r>
            <w:bookmarkStart w:id="54" w:name="i-44"/>
            <w:bookmarkEnd w:id="54"/>
          </w:p>
        </w:tc>
        <w:tc>
          <w:tcPr>
            <w:tcW w:w="526" w:type="dxa"/>
            <w:gridSpan w:val="3"/>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7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45" descr=""/>
                          <pic:cNvPicPr>
                            <a:picLocks noChangeAspect="1" noChangeArrowheads="1"/>
                          </pic:cNvPicPr>
                        </pic:nvPicPr>
                        <pic:blipFill>
                          <a:blip r:embed="rId57"/>
                          <a:stretch>
                            <a:fillRect/>
                          </a:stretch>
                        </pic:blipFill>
                        <pic:spPr bwMode="auto">
                          <a:xfrm>
                            <a:off x="0" y="0"/>
                            <a:ext cx="95250" cy="438150"/>
                          </a:xfrm>
                          <a:prstGeom prst="rect">
                            <a:avLst/>
                          </a:prstGeom>
                        </pic:spPr>
                      </pic:pic>
                    </a:graphicData>
                  </a:graphic>
                </wp:inline>
              </w:drawing>
            </w:r>
            <w:bookmarkStart w:id="55" w:name="i-45"/>
            <w:bookmarkEnd w:id="55"/>
          </w:p>
        </w:tc>
        <w:tc>
          <w:tcPr>
            <w:tcW w:w="526" w:type="dxa"/>
            <w:gridSpan w:val="3"/>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7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46" descr=""/>
                          <pic:cNvPicPr>
                            <a:picLocks noChangeAspect="1" noChangeArrowheads="1"/>
                          </pic:cNvPicPr>
                        </pic:nvPicPr>
                        <pic:blipFill>
                          <a:blip r:embed="rId58"/>
                          <a:stretch>
                            <a:fillRect/>
                          </a:stretch>
                        </pic:blipFill>
                        <pic:spPr bwMode="auto">
                          <a:xfrm>
                            <a:off x="0" y="0"/>
                            <a:ext cx="95250" cy="438150"/>
                          </a:xfrm>
                          <a:prstGeom prst="rect">
                            <a:avLst/>
                          </a:prstGeom>
                        </pic:spPr>
                      </pic:pic>
                    </a:graphicData>
                  </a:graphic>
                </wp:inline>
              </w:drawing>
            </w:r>
            <w:bookmarkStart w:id="56" w:name="i-46"/>
            <w:bookmarkEnd w:id="56"/>
          </w:p>
        </w:tc>
        <w:tc>
          <w:tcPr>
            <w:tcW w:w="526" w:type="dxa"/>
            <w:gridSpan w:val="3"/>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7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47" descr=""/>
                          <pic:cNvPicPr>
                            <a:picLocks noChangeAspect="1" noChangeArrowheads="1"/>
                          </pic:cNvPicPr>
                        </pic:nvPicPr>
                        <pic:blipFill>
                          <a:blip r:embed="rId59"/>
                          <a:stretch>
                            <a:fillRect/>
                          </a:stretch>
                        </pic:blipFill>
                        <pic:spPr bwMode="auto">
                          <a:xfrm>
                            <a:off x="0" y="0"/>
                            <a:ext cx="95250" cy="438150"/>
                          </a:xfrm>
                          <a:prstGeom prst="rect">
                            <a:avLst/>
                          </a:prstGeom>
                        </pic:spPr>
                      </pic:pic>
                    </a:graphicData>
                  </a:graphic>
                </wp:inline>
              </w:drawing>
            </w:r>
            <w:bookmarkStart w:id="57" w:name="i-47"/>
            <w:bookmarkEnd w:id="57"/>
          </w:p>
        </w:tc>
        <w:tc>
          <w:tcPr>
            <w:tcW w:w="572" w:type="dxa"/>
            <w:gridSpan w:val="3"/>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7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48" descr=""/>
                          <pic:cNvPicPr>
                            <a:picLocks noChangeAspect="1" noChangeArrowheads="1"/>
                          </pic:cNvPicPr>
                        </pic:nvPicPr>
                        <pic:blipFill>
                          <a:blip r:embed="rId60"/>
                          <a:stretch>
                            <a:fillRect/>
                          </a:stretch>
                        </pic:blipFill>
                        <pic:spPr bwMode="auto">
                          <a:xfrm>
                            <a:off x="0" y="0"/>
                            <a:ext cx="95250" cy="438150"/>
                          </a:xfrm>
                          <a:prstGeom prst="rect">
                            <a:avLst/>
                          </a:prstGeom>
                        </pic:spPr>
                      </pic:pic>
                    </a:graphicData>
                  </a:graphic>
                </wp:inline>
              </w:drawing>
            </w:r>
            <w:bookmarkStart w:id="58" w:name="i-48"/>
            <w:bookmarkEnd w:id="58"/>
          </w:p>
        </w:tc>
      </w:tr>
      <w:tr>
        <w:trPr/>
        <w:tc>
          <w:tcPr>
            <w:tcW w:w="3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96D0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1024A"/>
                <w:sz w:val="16"/>
              </w:rPr>
            </w:pPr>
            <w:r>
              <w:rPr>
                <w:rFonts w:ascii="Roboto;sans-serif" w:hAnsi="Roboto;sans-serif"/>
                <w:b/>
                <w:color w:val="01024A"/>
                <w:sz w:val="16"/>
              </w:rPr>
              <w:t>Total Number of Directors</w:t>
            </w:r>
          </w:p>
        </w:tc>
        <w:tc>
          <w:tcPr>
            <w:tcW w:w="6358" w:type="dxa"/>
            <w:gridSpan w:val="36"/>
            <w:tcBorders/>
            <w:shd w:fill="96D0FF"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color w:val="01024A"/>
                <w:sz w:val="16"/>
              </w:rPr>
            </w:pPr>
            <w:r>
              <w:rPr>
                <w:rFonts w:ascii="Roboto;sans-serif" w:hAnsi="Roboto;sans-serif"/>
                <w:b/>
                <w:color w:val="01024A"/>
                <w:sz w:val="16"/>
              </w:rPr>
              <w:t>12</w:t>
            </w:r>
          </w:p>
        </w:tc>
      </w:tr>
      <w:tr>
        <w:trPr/>
        <w:tc>
          <w:tcPr>
            <w:tcW w:w="3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right w:val="single" w:sz="4" w:space="0" w:color="96D0FF"/>
            </w:tcBorders>
            <w:shd w:fill="96D0FF" w:val="clear"/>
            <w:tcMar>
              <w:top w:w="0" w:type="dxa"/>
              <w:left w:w="0" w:type="dxa"/>
              <w:bottom w:w="0" w:type="dxa"/>
            </w:tcMar>
            <w:vAlign w:val="center"/>
          </w:tcPr>
          <w:p>
            <w:pPr>
              <w:pStyle w:val="TableContents"/>
              <w:bidi w:val="0"/>
              <w:spacing w:lineRule="auto" w:line="312" w:before="0" w:after="283"/>
              <w:jc w:val="left"/>
              <w:rPr>
                <w:rFonts w:ascii="Roboto;sans-serif" w:hAnsi="Roboto;sans-serif"/>
                <w:b/>
                <w:color w:val="01024A"/>
                <w:sz w:val="16"/>
              </w:rPr>
            </w:pPr>
            <w:r>
              <w:rPr>
                <w:rFonts w:ascii="Roboto;sans-serif" w:hAnsi="Roboto;sans-serif"/>
                <w:b/>
                <w:color w:val="01024A"/>
                <w:sz w:val="16"/>
              </w:rPr>
              <w:t>Independence/Tenure/Age/Class/Term</w:t>
            </w:r>
          </w:p>
        </w:tc>
        <w:tc>
          <w:tcPr>
            <w:tcW w:w="6358" w:type="dxa"/>
            <w:gridSpan w:val="36"/>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Independent</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Webdings;sans-serif" w:hAnsi="Webdings;sans-serif"/>
                <w:b/>
                <w:color w:val="1B4093"/>
                <w:sz w:val="10"/>
              </w:rPr>
            </w:pPr>
            <w:r>
              <w:rPr>
                <w:rFonts w:ascii="Webdings;sans-serif" w:hAnsi="Webdings;sans-serif"/>
                <w:b/>
                <w:color w:val="1B4093"/>
                <w:sz w:val="10"/>
              </w:rPr>
              <w:t>n</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Webdings;sans-serif" w:hAnsi="Webdings;sans-serif"/>
                <w:b/>
                <w:color w:val="1B4093"/>
                <w:sz w:val="10"/>
              </w:rPr>
            </w:pPr>
            <w:r>
              <w:rPr>
                <w:rFonts w:ascii="Webdings;sans-serif" w:hAnsi="Webdings;sans-serif"/>
                <w:b/>
                <w:color w:val="1B4093"/>
                <w:sz w:val="10"/>
              </w:rPr>
              <w:t>n</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Webdings;sans-serif" w:hAnsi="Webdings;sans-serif"/>
                <w:b/>
                <w:color w:val="1B4093"/>
                <w:sz w:val="10"/>
              </w:rPr>
            </w:pPr>
            <w:r>
              <w:rPr>
                <w:rFonts w:ascii="Webdings;sans-serif" w:hAnsi="Webdings;sans-serif"/>
                <w:b/>
                <w:color w:val="1B4093"/>
                <w:sz w:val="10"/>
              </w:rPr>
              <w:t>n</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Webdings;sans-serif" w:hAnsi="Webdings;sans-serif"/>
                <w:b/>
                <w:color w:val="1B4093"/>
                <w:sz w:val="10"/>
              </w:rPr>
            </w:pPr>
            <w:r>
              <w:rPr>
                <w:rFonts w:ascii="Webdings;sans-serif" w:hAnsi="Webdings;sans-serif"/>
                <w:b/>
                <w:color w:val="1B4093"/>
                <w:sz w:val="10"/>
              </w:rPr>
              <w:t>n</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Webdings;sans-serif" w:hAnsi="Webdings;sans-serif"/>
                <w:b/>
                <w:color w:val="1B4093"/>
                <w:sz w:val="10"/>
              </w:rPr>
            </w:pPr>
            <w:r>
              <w:rPr>
                <w:rFonts w:ascii="Webdings;sans-serif" w:hAnsi="Webdings;sans-serif"/>
                <w:b/>
                <w:color w:val="1B4093"/>
                <w:sz w:val="10"/>
              </w:rPr>
              <w:t>n</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Webdings;sans-serif" w:hAnsi="Webdings;sans-serif"/>
                <w:b/>
                <w:color w:val="1B4093"/>
                <w:sz w:val="10"/>
              </w:rPr>
            </w:pPr>
            <w:r>
              <w:rPr>
                <w:rFonts w:ascii="Webdings;sans-serif" w:hAnsi="Webdings;sans-serif"/>
                <w:b/>
                <w:color w:val="1B4093"/>
                <w:sz w:val="10"/>
              </w:rPr>
              <w:t>n</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Webdings;sans-serif" w:hAnsi="Webdings;sans-serif"/>
                <w:b/>
                <w:color w:val="1B4093"/>
                <w:sz w:val="10"/>
              </w:rPr>
            </w:pPr>
            <w:r>
              <w:rPr>
                <w:rFonts w:ascii="Webdings;sans-serif" w:hAnsi="Webdings;sans-serif"/>
                <w:b/>
                <w:color w:val="1B4093"/>
                <w:sz w:val="10"/>
              </w:rPr>
              <w:t>n</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Webdings;sans-serif" w:hAnsi="Webdings;sans-serif"/>
                <w:b/>
                <w:color w:val="1B4093"/>
                <w:sz w:val="10"/>
              </w:rPr>
            </w:pPr>
            <w:r>
              <w:rPr>
                <w:rFonts w:ascii="Webdings;sans-serif" w:hAnsi="Webdings;sans-serif"/>
                <w:b/>
                <w:color w:val="1B4093"/>
                <w:sz w:val="10"/>
              </w:rPr>
              <w:t>n</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Webdings;sans-serif" w:hAnsi="Webdings;sans-serif"/>
                <w:b/>
                <w:color w:val="1B4093"/>
                <w:sz w:val="10"/>
              </w:rPr>
            </w:pPr>
            <w:r>
              <w:rPr>
                <w:rFonts w:ascii="Webdings;sans-serif" w:hAnsi="Webdings;sans-serif"/>
                <w:b/>
                <w:color w:val="1B4093"/>
                <w:sz w:val="10"/>
              </w:rPr>
              <w:t>n</w:t>
            </w:r>
          </w:p>
        </w:tc>
        <w:tc>
          <w:tcPr>
            <w:tcW w:w="572"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Webdings;sans-serif" w:hAnsi="Webdings;sans-serif"/>
                <w:b/>
                <w:color w:val="1B4093"/>
                <w:sz w:val="10"/>
              </w:rPr>
            </w:pPr>
            <w:r>
              <w:rPr>
                <w:rFonts w:ascii="Webdings;sans-serif" w:hAnsi="Webdings;sans-serif"/>
                <w:b/>
                <w:color w:val="1B4093"/>
                <w:sz w:val="10"/>
              </w:rPr>
              <w:t>n</w:t>
            </w:r>
          </w:p>
        </w:tc>
      </w:tr>
      <w:tr>
        <w:trPr/>
        <w:tc>
          <w:tcPr>
            <w:tcW w:w="3847"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Tenure (years) - Initial Public Offering: October 2020</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5</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0</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0</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5</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0</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2</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5</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5</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3</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2</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4</w:t>
            </w:r>
          </w:p>
        </w:tc>
        <w:tc>
          <w:tcPr>
            <w:tcW w:w="572"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5</w:t>
            </w:r>
          </w:p>
        </w:tc>
      </w:tr>
      <w:tr>
        <w:trPr/>
        <w:tc>
          <w:tcPr>
            <w:tcW w:w="3847"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Age (years)</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61</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61</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47</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73</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55</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58</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68</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65</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50</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59</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75</w:t>
            </w:r>
          </w:p>
        </w:tc>
        <w:tc>
          <w:tcPr>
            <w:tcW w:w="572"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63</w:t>
            </w:r>
          </w:p>
        </w:tc>
      </w:tr>
      <w:tr>
        <w:trPr/>
        <w:tc>
          <w:tcPr>
            <w:tcW w:w="3847"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Class</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II</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0"/>
              <w:jc w:val="center"/>
              <w:rPr>
                <w:rFonts w:ascii="Roboto;sans-serif" w:hAnsi="Roboto;sans-serif"/>
                <w:b w:val="false"/>
                <w:color w:val="000000"/>
                <w:sz w:val="16"/>
              </w:rPr>
            </w:pPr>
            <w:r>
              <w:rPr>
                <w:rFonts w:ascii="Roboto;sans-serif" w:hAnsi="Roboto;sans-serif"/>
                <w:b w:val="false"/>
                <w:color w:val="000000"/>
                <w:sz w:val="16"/>
              </w:rPr>
              <w:t>II</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0"/>
              <w:jc w:val="center"/>
              <w:rPr>
                <w:rFonts w:ascii="Roboto;sans-serif" w:hAnsi="Roboto;sans-serif"/>
                <w:b w:val="false"/>
                <w:color w:val="000000"/>
                <w:sz w:val="16"/>
              </w:rPr>
            </w:pPr>
            <w:r>
              <w:rPr>
                <w:rFonts w:ascii="Roboto;sans-serif" w:hAnsi="Roboto;sans-serif"/>
                <w:b w:val="false"/>
                <w:color w:val="000000"/>
                <w:sz w:val="16"/>
              </w:rPr>
              <w:t>II</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III</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0"/>
              <w:jc w:val="center"/>
              <w:rPr>
                <w:rFonts w:ascii="Roboto;sans-serif" w:hAnsi="Roboto;sans-serif"/>
                <w:b w:val="false"/>
                <w:color w:val="000000"/>
                <w:sz w:val="16"/>
              </w:rPr>
            </w:pPr>
            <w:r>
              <w:rPr>
                <w:rFonts w:ascii="Roboto;sans-serif" w:hAnsi="Roboto;sans-serif"/>
                <w:b w:val="false"/>
                <w:color w:val="000000"/>
                <w:sz w:val="16"/>
              </w:rPr>
              <w:t>II</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I</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I</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I</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II</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II</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III</w:t>
            </w:r>
          </w:p>
        </w:tc>
        <w:tc>
          <w:tcPr>
            <w:tcW w:w="572"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III</w:t>
            </w:r>
          </w:p>
        </w:tc>
      </w:tr>
      <w:tr>
        <w:trPr/>
        <w:tc>
          <w:tcPr>
            <w:tcW w:w="3847"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Term Expires</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2028</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2028</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2028</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2026</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2028</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2027</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2027</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2027</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2028</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2028</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2026</w:t>
            </w:r>
          </w:p>
        </w:tc>
        <w:tc>
          <w:tcPr>
            <w:tcW w:w="572"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2026</w:t>
            </w:r>
          </w:p>
        </w:tc>
      </w:tr>
      <w:tr>
        <w:trPr/>
        <w:tc>
          <w:tcPr>
            <w:tcW w:w="3847" w:type="dxa"/>
            <w:gridSpan w:val="3"/>
            <w:tcBorders/>
            <w:shd w:fill="96D0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1024A"/>
                <w:sz w:val="16"/>
              </w:rPr>
            </w:pPr>
            <w:r>
              <w:rPr>
                <w:rFonts w:ascii="Roboto;sans-serif" w:hAnsi="Roboto;sans-serif"/>
                <w:b/>
                <w:color w:val="01024A"/>
                <w:sz w:val="16"/>
              </w:rPr>
              <w:t>Gender</w:t>
            </w:r>
          </w:p>
        </w:tc>
        <w:tc>
          <w:tcPr>
            <w:tcW w:w="526" w:type="dxa"/>
            <w:gridSpan w:val="3"/>
            <w:tcBorders>
              <w:left w:val="single" w:sz="4" w:space="0" w:color="96D0FF"/>
            </w:tcBorders>
            <w:shd w:fill="96D0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Female</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0"/>
              <w:jc w:val="center"/>
              <w:rPr>
                <w:rFonts w:ascii="Webdings;sans-serif" w:hAnsi="Webdings;sans-serif"/>
                <w:b/>
                <w:color w:val="1B4093"/>
                <w:sz w:val="10"/>
              </w:rPr>
            </w:pPr>
            <w:r>
              <w:rPr>
                <w:rFonts w:ascii="Webdings;sans-serif" w:hAnsi="Webdings;sans-serif"/>
                <w:b/>
                <w:color w:val="1B4093"/>
                <w:sz w:val="10"/>
              </w:rPr>
              <w:t>n</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283"/>
              <w:jc w:val="center"/>
              <w:rPr>
                <w:rFonts w:ascii="Webdings;sans-serif" w:hAnsi="Webdings;sans-serif"/>
                <w:b/>
                <w:color w:val="1B4093"/>
                <w:sz w:val="10"/>
              </w:rPr>
            </w:pPr>
            <w:r>
              <w:rPr>
                <w:rFonts w:ascii="Webdings;sans-serif" w:hAnsi="Webdings;sans-serif"/>
                <w:b/>
                <w:color w:val="1B4093"/>
                <w:sz w:val="10"/>
              </w:rPr>
              <w:t>n</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0"/>
              <w:jc w:val="center"/>
              <w:rPr>
                <w:rFonts w:ascii="Webdings;sans-serif" w:hAnsi="Webdings;sans-serif"/>
                <w:b/>
                <w:color w:val="1B4093"/>
                <w:sz w:val="10"/>
              </w:rPr>
            </w:pPr>
            <w:r>
              <w:rPr>
                <w:rFonts w:ascii="Webdings;sans-serif" w:hAnsi="Webdings;sans-serif"/>
                <w:b/>
                <w:color w:val="1B4093"/>
                <w:sz w:val="10"/>
              </w:rPr>
              <w:t>n</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0"/>
              <w:jc w:val="center"/>
              <w:rPr>
                <w:rFonts w:ascii="Webdings;sans-serif" w:hAnsi="Webdings;sans-serif"/>
                <w:b/>
                <w:color w:val="1B4093"/>
                <w:sz w:val="10"/>
              </w:rPr>
            </w:pPr>
            <w:r>
              <w:rPr>
                <w:rFonts w:ascii="Webdings;sans-serif" w:hAnsi="Webdings;sans-serif"/>
                <w:b/>
                <w:color w:val="1B4093"/>
                <w:sz w:val="10"/>
              </w:rPr>
              <w:t>n</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0"/>
              <w:jc w:val="center"/>
              <w:rPr>
                <w:rFonts w:ascii="Webdings;sans-serif" w:hAnsi="Webdings;sans-serif"/>
                <w:b/>
                <w:color w:val="1B4093"/>
                <w:sz w:val="10"/>
              </w:rPr>
            </w:pPr>
            <w:r>
              <w:rPr>
                <w:rFonts w:ascii="Webdings;sans-serif" w:hAnsi="Webdings;sans-serif"/>
                <w:b/>
                <w:color w:val="1B4093"/>
                <w:sz w:val="10"/>
              </w:rPr>
              <w:t>n</w:t>
            </w:r>
          </w:p>
        </w:tc>
        <w:tc>
          <w:tcPr>
            <w:tcW w:w="572"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Male</w:t>
            </w:r>
          </w:p>
        </w:tc>
        <w:tc>
          <w:tcPr>
            <w:tcW w:w="526"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Webdings;sans-serif" w:hAnsi="Webdings;sans-serif"/>
                <w:b/>
                <w:color w:val="1B4093"/>
                <w:sz w:val="10"/>
              </w:rPr>
            </w:pPr>
            <w:r>
              <w:rPr>
                <w:rFonts w:ascii="Webdings;sans-serif" w:hAnsi="Webdings;sans-serif"/>
                <w:b/>
                <w:color w:val="1B4093"/>
                <w:sz w:val="10"/>
              </w:rPr>
              <w:t>n</w:t>
            </w:r>
          </w:p>
        </w:tc>
        <w:tc>
          <w:tcPr>
            <w:tcW w:w="526"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Webdings;sans-serif" w:hAnsi="Webdings;sans-serif"/>
                <w:b/>
                <w:color w:val="1B4093"/>
                <w:sz w:val="10"/>
              </w:rPr>
            </w:pPr>
            <w:r>
              <w:rPr>
                <w:rFonts w:ascii="Webdings;sans-serif" w:hAnsi="Webdings;sans-serif"/>
                <w:b/>
                <w:color w:val="1B4093"/>
                <w:sz w:val="10"/>
              </w:rPr>
              <w:t>n</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Webdings;sans-serif" w:hAnsi="Webdings;sans-serif"/>
                <w:b/>
                <w:color w:val="1B4093"/>
                <w:sz w:val="10"/>
              </w:rPr>
            </w:pPr>
            <w:r>
              <w:rPr>
                <w:rFonts w:ascii="Webdings;sans-serif" w:hAnsi="Webdings;sans-serif"/>
                <w:b/>
                <w:color w:val="1B4093"/>
                <w:sz w:val="10"/>
              </w:rPr>
              <w:t>n</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Webdings;sans-serif" w:hAnsi="Webdings;sans-serif"/>
                <w:b/>
                <w:color w:val="1B4093"/>
                <w:sz w:val="10"/>
              </w:rPr>
            </w:pPr>
            <w:r>
              <w:rPr>
                <w:rFonts w:ascii="Webdings;sans-serif" w:hAnsi="Webdings;sans-serif"/>
                <w:b/>
                <w:color w:val="1B4093"/>
                <w:sz w:val="10"/>
              </w:rPr>
              <w:t>n</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Webdings;sans-serif" w:hAnsi="Webdings;sans-serif"/>
                <w:b/>
                <w:color w:val="1B4093"/>
                <w:sz w:val="10"/>
              </w:rPr>
            </w:pPr>
            <w:r>
              <w:rPr>
                <w:rFonts w:ascii="Webdings;sans-serif" w:hAnsi="Webdings;sans-serif"/>
                <w:b/>
                <w:color w:val="1B4093"/>
                <w:sz w:val="10"/>
              </w:rPr>
              <w:t>n</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Webdings;sans-serif" w:hAnsi="Webdings;sans-serif"/>
                <w:b/>
                <w:color w:val="1B4093"/>
                <w:sz w:val="10"/>
              </w:rPr>
            </w:pPr>
            <w:r>
              <w:rPr>
                <w:rFonts w:ascii="Webdings;sans-serif" w:hAnsi="Webdings;sans-serif"/>
                <w:b/>
                <w:color w:val="1B4093"/>
                <w:sz w:val="10"/>
              </w:rPr>
              <w:t>n</w:t>
            </w:r>
          </w:p>
        </w:tc>
        <w:tc>
          <w:tcPr>
            <w:tcW w:w="526"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Webdings;sans-serif" w:hAnsi="Webdings;sans-serif"/>
                <w:b/>
                <w:color w:val="1B4093"/>
                <w:sz w:val="10"/>
              </w:rPr>
            </w:pPr>
            <w:r>
              <w:rPr>
                <w:rFonts w:ascii="Webdings;sans-serif" w:hAnsi="Webdings;sans-serif"/>
                <w:b/>
                <w:color w:val="1B4093"/>
                <w:sz w:val="10"/>
              </w:rPr>
              <w:t>n</w:t>
            </w:r>
          </w:p>
        </w:tc>
      </w:tr>
      <w:tr>
        <w:trPr/>
        <w:tc>
          <w:tcPr>
            <w:tcW w:w="3847" w:type="dxa"/>
            <w:gridSpan w:val="3"/>
            <w:tcBorders/>
            <w:shd w:fill="96D0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1024A"/>
                <w:sz w:val="16"/>
              </w:rPr>
            </w:pPr>
            <w:r>
              <w:rPr>
                <w:rFonts w:ascii="Roboto;sans-serif" w:hAnsi="Roboto;sans-serif"/>
                <w:b/>
                <w:color w:val="01024A"/>
                <w:sz w:val="16"/>
              </w:rPr>
              <w:t xml:space="preserve">Demographic Background </w:t>
            </w:r>
          </w:p>
        </w:tc>
        <w:tc>
          <w:tcPr>
            <w:tcW w:w="526" w:type="dxa"/>
            <w:gridSpan w:val="3"/>
            <w:tcBorders>
              <w:left w:val="single" w:sz="4" w:space="0" w:color="96D0FF"/>
            </w:tcBorders>
            <w:shd w:fill="96D0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Black or African American</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0"/>
              <w:jc w:val="center"/>
              <w:rPr>
                <w:rFonts w:ascii="Webdings;sans-serif" w:hAnsi="Webdings;sans-serif"/>
                <w:b/>
                <w:color w:val="1B4093"/>
                <w:sz w:val="10"/>
              </w:rPr>
            </w:pPr>
            <w:r>
              <w:rPr>
                <w:rFonts w:ascii="Webdings;sans-serif" w:hAnsi="Webdings;sans-serif"/>
                <w:b/>
                <w:color w:val="1B4093"/>
                <w:sz w:val="10"/>
              </w:rPr>
              <w:t>n</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0"/>
              <w:jc w:val="center"/>
              <w:rPr>
                <w:rFonts w:ascii="Webdings;sans-serif" w:hAnsi="Webdings;sans-serif"/>
                <w:b/>
                <w:color w:val="1B4093"/>
                <w:sz w:val="10"/>
              </w:rPr>
            </w:pPr>
            <w:r>
              <w:rPr>
                <w:rFonts w:ascii="Webdings;sans-serif" w:hAnsi="Webdings;sans-serif"/>
                <w:b/>
                <w:color w:val="1B4093"/>
                <w:sz w:val="10"/>
              </w:rPr>
              <w:t>n</w:t>
            </w:r>
          </w:p>
        </w:tc>
      </w:tr>
      <w:tr>
        <w:trPr/>
        <w:tc>
          <w:tcPr>
            <w:tcW w:w="3847"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White</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Webdings;sans-serif" w:hAnsi="Webdings;sans-serif"/>
                <w:b/>
                <w:color w:val="1B4093"/>
                <w:sz w:val="10"/>
              </w:rPr>
            </w:pPr>
            <w:r>
              <w:rPr>
                <w:rFonts w:ascii="Webdings;sans-serif" w:hAnsi="Webdings;sans-serif"/>
                <w:b/>
                <w:color w:val="1B4093"/>
                <w:sz w:val="10"/>
              </w:rPr>
              <w:t>n</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Webdings;sans-serif" w:hAnsi="Webdings;sans-serif"/>
                <w:b/>
                <w:color w:val="1B4093"/>
                <w:sz w:val="10"/>
              </w:rPr>
            </w:pPr>
            <w:r>
              <w:rPr>
                <w:rFonts w:ascii="Webdings;sans-serif" w:hAnsi="Webdings;sans-serif"/>
                <w:b/>
                <w:color w:val="1B4093"/>
                <w:sz w:val="10"/>
              </w:rPr>
              <w:t>n</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Webdings;sans-serif" w:hAnsi="Webdings;sans-serif"/>
                <w:b/>
                <w:color w:val="1B4093"/>
                <w:sz w:val="10"/>
              </w:rPr>
            </w:pPr>
            <w:r>
              <w:rPr>
                <w:rFonts w:ascii="Webdings;sans-serif" w:hAnsi="Webdings;sans-serif"/>
                <w:b/>
                <w:color w:val="1B4093"/>
                <w:sz w:val="10"/>
              </w:rPr>
              <w:t>n</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Webdings;sans-serif" w:hAnsi="Webdings;sans-serif"/>
                <w:b/>
                <w:color w:val="1B4093"/>
                <w:sz w:val="10"/>
              </w:rPr>
            </w:pPr>
            <w:r>
              <w:rPr>
                <w:rFonts w:ascii="Webdings;sans-serif" w:hAnsi="Webdings;sans-serif"/>
                <w:b/>
                <w:color w:val="1B4093"/>
                <w:sz w:val="10"/>
              </w:rPr>
              <w:t>n</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Webdings;sans-serif" w:hAnsi="Webdings;sans-serif"/>
                <w:b/>
                <w:color w:val="1B4093"/>
                <w:sz w:val="10"/>
              </w:rPr>
            </w:pPr>
            <w:r>
              <w:rPr>
                <w:rFonts w:ascii="Webdings;sans-serif" w:hAnsi="Webdings;sans-serif"/>
                <w:b/>
                <w:color w:val="1B4093"/>
                <w:sz w:val="10"/>
              </w:rPr>
              <w:t>n</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Webdings;sans-serif" w:hAnsi="Webdings;sans-serif"/>
                <w:b/>
                <w:color w:val="1B4093"/>
                <w:sz w:val="10"/>
              </w:rPr>
            </w:pPr>
            <w:r>
              <w:rPr>
                <w:rFonts w:ascii="Webdings;sans-serif" w:hAnsi="Webdings;sans-serif"/>
                <w:b/>
                <w:color w:val="1B4093"/>
                <w:sz w:val="10"/>
              </w:rPr>
              <w:t>n</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Webdings;sans-serif" w:hAnsi="Webdings;sans-serif"/>
                <w:b/>
                <w:color w:val="1B4093"/>
                <w:sz w:val="10"/>
              </w:rPr>
            </w:pPr>
            <w:r>
              <w:rPr>
                <w:rFonts w:ascii="Webdings;sans-serif" w:hAnsi="Webdings;sans-serif"/>
                <w:b/>
                <w:color w:val="1B4093"/>
                <w:sz w:val="10"/>
              </w:rPr>
              <w:t>n</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Webdings;sans-serif" w:hAnsi="Webdings;sans-serif"/>
                <w:b/>
                <w:color w:val="1B4093"/>
                <w:sz w:val="10"/>
              </w:rPr>
            </w:pPr>
            <w:r>
              <w:rPr>
                <w:rFonts w:ascii="Webdings;sans-serif" w:hAnsi="Webdings;sans-serif"/>
                <w:b/>
                <w:color w:val="1B4093"/>
                <w:sz w:val="10"/>
              </w:rPr>
              <w:t>n</w:t>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Webdings;sans-serif" w:hAnsi="Webdings;sans-serif"/>
                <w:b/>
                <w:color w:val="1B4093"/>
                <w:sz w:val="10"/>
              </w:rPr>
            </w:pPr>
            <w:r>
              <w:rPr>
                <w:rFonts w:ascii="Webdings;sans-serif" w:hAnsi="Webdings;sans-serif"/>
                <w:b/>
                <w:color w:val="1B4093"/>
                <w:sz w:val="10"/>
              </w:rPr>
              <w:t>n</w:t>
            </w:r>
          </w:p>
        </w:tc>
        <w:tc>
          <w:tcPr>
            <w:tcW w:w="526"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tcBorders>
            <w:tcMar>
              <w:top w:w="0" w:type="dxa"/>
              <w:bottom w:w="0" w:type="dxa"/>
              <w:right w:w="0" w:type="dxa"/>
            </w:tcMar>
            <w:vAlign w:val="center"/>
          </w:tcPr>
          <w:p>
            <w:pPr>
              <w:pStyle w:val="TableContents"/>
              <w:bidi w:val="0"/>
              <w:spacing w:lineRule="auto" w:line="312" w:before="0" w:after="283"/>
              <w:jc w:val="center"/>
              <w:rPr>
                <w:rFonts w:ascii="Webdings;sans-serif" w:hAnsi="Webdings;sans-serif"/>
                <w:b/>
                <w:color w:val="1B4093"/>
                <w:sz w:val="10"/>
              </w:rPr>
            </w:pPr>
            <w:r>
              <w:rPr>
                <w:rFonts w:ascii="Webdings;sans-serif" w:hAnsi="Webdings;sans-serif"/>
                <w:b/>
                <w:color w:val="1B4093"/>
                <w:sz w:val="10"/>
              </w:rPr>
              <w:t>n</w:t>
            </w:r>
          </w:p>
        </w:tc>
        <w:tc>
          <w:tcPr>
            <w:tcW w:w="572"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Native American</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0"/>
              <w:jc w:val="center"/>
              <w:rPr>
                <w:rFonts w:ascii="Webdings;sans-serif" w:hAnsi="Webdings;sans-serif"/>
                <w:b/>
                <w:color w:val="1B4093"/>
                <w:sz w:val="10"/>
              </w:rPr>
            </w:pPr>
            <w:r>
              <w:rPr>
                <w:rFonts w:ascii="Webdings;sans-serif" w:hAnsi="Webdings;sans-serif"/>
                <w:b/>
                <w:color w:val="1B4093"/>
                <w:sz w:val="10"/>
              </w:rPr>
              <w:t>n</w:t>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bottom w:val="single" w:sz="12" w:space="0" w:color="E81111"/>
            </w:tcBorders>
            <w:tcMar>
              <w:top w:w="0" w:type="dxa"/>
              <w:left w:w="0" w:type="dxa"/>
              <w:bottom w:w="3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Veteran</w:t>
            </w:r>
          </w:p>
        </w:tc>
        <w:tc>
          <w:tcPr>
            <w:tcW w:w="526" w:type="dxa"/>
            <w:gridSpan w:val="3"/>
            <w:tcBorders>
              <w:left w:val="single" w:sz="4" w:space="0" w:color="96D0FF"/>
              <w:bottom w:val="single" w:sz="12" w:space="0" w:color="E81111"/>
            </w:tcBorders>
            <w:tcMar>
              <w:top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bottom w:val="single" w:sz="12" w:space="0" w:color="E81111"/>
            </w:tcBorders>
            <w:tcMar>
              <w:top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bottom w:val="single" w:sz="12" w:space="0" w:color="E81111"/>
            </w:tcBorders>
            <w:tcMar>
              <w:top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bottom w:val="single" w:sz="12" w:space="0" w:color="E81111"/>
            </w:tcBorders>
            <w:tcMar>
              <w:top w:w="0" w:type="dxa"/>
              <w:bottom w:w="30" w:type="dxa"/>
              <w:right w:w="0" w:type="dxa"/>
            </w:tcMar>
            <w:vAlign w:val="center"/>
          </w:tcPr>
          <w:p>
            <w:pPr>
              <w:pStyle w:val="TableContents"/>
              <w:bidi w:val="0"/>
              <w:spacing w:lineRule="auto" w:line="312" w:before="0" w:after="0"/>
              <w:jc w:val="center"/>
              <w:rPr>
                <w:rFonts w:ascii="Webdings;sans-serif" w:hAnsi="Webdings;sans-serif"/>
                <w:b/>
                <w:color w:val="1B4093"/>
                <w:sz w:val="10"/>
              </w:rPr>
            </w:pPr>
            <w:r>
              <w:rPr>
                <w:rFonts w:ascii="Webdings;sans-serif" w:hAnsi="Webdings;sans-serif"/>
                <w:b/>
                <w:color w:val="1B4093"/>
                <w:sz w:val="10"/>
              </w:rPr>
              <w:t>n</w:t>
            </w:r>
          </w:p>
        </w:tc>
        <w:tc>
          <w:tcPr>
            <w:tcW w:w="526" w:type="dxa"/>
            <w:gridSpan w:val="3"/>
            <w:tcBorders>
              <w:left w:val="single" w:sz="4" w:space="0" w:color="96D0FF"/>
              <w:bottom w:val="single" w:sz="12" w:space="0" w:color="E81111"/>
            </w:tcBorders>
            <w:tcMar>
              <w:top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bottom w:val="single" w:sz="12" w:space="0" w:color="E81111"/>
            </w:tcBorders>
            <w:tcMar>
              <w:top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bottom w:val="single" w:sz="12" w:space="0" w:color="E81111"/>
            </w:tcBorders>
            <w:tcMar>
              <w:top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bottom w:val="single" w:sz="12" w:space="0" w:color="E81111"/>
            </w:tcBorders>
            <w:tcMar>
              <w:top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bottom w:val="single" w:sz="12" w:space="0" w:color="E81111"/>
            </w:tcBorders>
            <w:tcMar>
              <w:top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bottom w:val="single" w:sz="12" w:space="0" w:color="E81111"/>
            </w:tcBorders>
            <w:tcMar>
              <w:top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left w:val="single" w:sz="4" w:space="0" w:color="96D0FF"/>
              <w:bottom w:val="single" w:sz="12" w:space="0" w:color="E81111"/>
            </w:tcBorders>
            <w:tcMar>
              <w:top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left w:val="single" w:sz="4" w:space="0" w:color="96D0FF"/>
              <w:bottom w:val="single" w:sz="12" w:space="0" w:color="E81111"/>
            </w:tcBorders>
            <w:tcMar>
              <w:top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263525"/>
                <wp:effectExtent l="0" t="0" r="0" b="0"/>
                <wp:wrapNone/>
                <wp:docPr id="75" name="Frame16"/>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7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49" descr=""/>
                                          <pic:cNvPicPr>
                                            <a:picLocks noChangeAspect="1" noChangeArrowheads="1"/>
                                          </pic:cNvPicPr>
                                        </pic:nvPicPr>
                                        <pic:blipFill>
                                          <a:blip r:embed="rId61"/>
                                          <a:stretch>
                                            <a:fillRect/>
                                          </a:stretch>
                                        </pic:blipFill>
                                        <pic:spPr bwMode="auto">
                                          <a:xfrm>
                                            <a:off x="0" y="0"/>
                                            <a:ext cx="266700" cy="200025"/>
                                          </a:xfrm>
                                          <a:prstGeom prst="rect">
                                            <a:avLst/>
                                          </a:prstGeom>
                                        </pic:spPr>
                                      </pic:pic>
                                    </a:graphicData>
                                  </a:graphic>
                                </wp:inline>
                              </w:drawing>
                            </w:r>
                            <w:bookmarkStart w:id="59" w:name="i-49"/>
                            <w:bookmarkEnd w:id="59"/>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7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49" descr=""/>
                                    <pic:cNvPicPr>
                                      <a:picLocks noChangeAspect="1" noChangeArrowheads="1"/>
                                    </pic:cNvPicPr>
                                  </pic:nvPicPr>
                                  <pic:blipFill>
                                    <a:blip r:embed="rId62"/>
                                    <a:stretch>
                                      <a:fillRect/>
                                    </a:stretch>
                                  </pic:blipFill>
                                  <pic:spPr bwMode="auto">
                                    <a:xfrm>
                                      <a:off x="0" y="0"/>
                                      <a:ext cx="266700" cy="200025"/>
                                    </a:xfrm>
                                    <a:prstGeom prst="rect">
                                      <a:avLst/>
                                    </a:prstGeom>
                                  </pic:spPr>
                                </pic:pic>
                              </a:graphicData>
                            </a:graphic>
                          </wp:inline>
                        </w:drawing>
                      </w:r>
                      <w:bookmarkStart w:id="60" w:name="i-49"/>
                      <w:bookmarkEnd w:id="60"/>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11</w:t>
            </w:r>
          </w:p>
        </w:tc>
      </w:tr>
    </w:tbl>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Board Skills Matrix</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 following chart (as of April 21, 2026) summarizes the key qualifications and specific experience, attributes, and skills of our directors and nominees. A director or nominee may possess additional experience, attributes, skills, and qualifications, even if not expressly indicated below.</w:t>
      </w:r>
    </w:p>
    <w:tbl>
      <w:tblPr>
        <w:tblW w:w="6231" w:type="dxa"/>
        <w:jc w:val="left"/>
        <w:tblInd w:w="0" w:type="dxa"/>
        <w:tblLayout w:type="fixed"/>
        <w:tblCellMar>
          <w:top w:w="28" w:type="dxa"/>
          <w:left w:w="28" w:type="dxa"/>
          <w:bottom w:w="28" w:type="dxa"/>
          <w:right w:w="28" w:type="dxa"/>
        </w:tblCellMar>
      </w:tblPr>
      <w:tblGrid>
        <w:gridCol w:w="309"/>
        <w:gridCol w:w="272"/>
        <w:gridCol w:w="274"/>
        <w:gridCol w:w="109"/>
        <w:gridCol w:w="109"/>
        <w:gridCol w:w="109"/>
        <w:gridCol w:w="120"/>
        <w:gridCol w:w="120"/>
        <w:gridCol w:w="121"/>
        <w:gridCol w:w="749"/>
        <w:gridCol w:w="749"/>
        <w:gridCol w:w="751"/>
        <w:gridCol w:w="109"/>
        <w:gridCol w:w="109"/>
        <w:gridCol w:w="109"/>
        <w:gridCol w:w="109"/>
        <w:gridCol w:w="109"/>
        <w:gridCol w:w="109"/>
        <w:gridCol w:w="522"/>
        <w:gridCol w:w="522"/>
        <w:gridCol w:w="741"/>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1024A"/>
                <w:sz w:val="16"/>
              </w:rPr>
            </w:pPr>
            <w:r>
              <w:rPr>
                <w:rFonts w:ascii="Roboto;sans-serif" w:hAnsi="Roboto;sans-serif"/>
                <w:b/>
                <w:color w:val="01024A"/>
                <w:sz w:val="16"/>
              </w:rPr>
              <w:t>Legend: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E81111"/>
                <w:sz w:val="28"/>
              </w:rPr>
            </w:pPr>
            <w:r>
              <w:rPr>
                <w:rFonts w:ascii="Wingdings;sans-serif" w:hAnsi="Wingdings;sans-serif"/>
                <w:b w:val="false"/>
                <w:color w:val="E81111"/>
                <w:sz w:val="28"/>
              </w:rPr>
              <w:t>«</w:t>
            </w:r>
          </w:p>
        </w:tc>
        <w:tc>
          <w:tcPr>
            <w:tcW w:w="224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Director’s Top 5 Key Skills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1946C8"/>
                <w:sz w:val="24"/>
              </w:rPr>
            </w:pPr>
            <w:r>
              <w:rPr>
                <w:rFonts w:ascii="Wingdings;sans-serif" w:hAnsi="Wingdings;sans-serif"/>
                <w:b w:val="false"/>
                <w:color w:val="1946C8"/>
                <w:sz w:val="24"/>
              </w:rPr>
              <w:t>l</w:t>
            </w:r>
          </w:p>
        </w:tc>
        <w:tc>
          <w:tcPr>
            <w:tcW w:w="178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Director’s Key Skills</w:t>
            </w:r>
          </w:p>
        </w:tc>
      </w:tr>
    </w:tbl>
    <w:tbl>
      <w:tblPr>
        <w:tblW w:w="10205" w:type="dxa"/>
        <w:jc w:val="left"/>
        <w:tblInd w:w="0" w:type="dxa"/>
        <w:tblLayout w:type="fixed"/>
        <w:tblCellMar>
          <w:top w:w="28" w:type="dxa"/>
          <w:left w:w="28" w:type="dxa"/>
          <w:bottom w:w="28" w:type="dxa"/>
          <w:right w:w="28" w:type="dxa"/>
        </w:tblCellMar>
      </w:tblPr>
      <w:tblGrid>
        <w:gridCol w:w="214"/>
        <w:gridCol w:w="189"/>
        <w:gridCol w:w="193"/>
        <w:gridCol w:w="1845"/>
        <w:gridCol w:w="1691"/>
        <w:gridCol w:w="1695"/>
        <w:gridCol w:w="120"/>
        <w:gridCol w:w="120"/>
        <w:gridCol w:w="121"/>
        <w:gridCol w:w="120"/>
        <w:gridCol w:w="120"/>
        <w:gridCol w:w="121"/>
        <w:gridCol w:w="120"/>
        <w:gridCol w:w="120"/>
        <w:gridCol w:w="121"/>
        <w:gridCol w:w="120"/>
        <w:gridCol w:w="120"/>
        <w:gridCol w:w="121"/>
        <w:gridCol w:w="120"/>
        <w:gridCol w:w="120"/>
        <w:gridCol w:w="121"/>
        <w:gridCol w:w="120"/>
        <w:gridCol w:w="120"/>
        <w:gridCol w:w="121"/>
        <w:gridCol w:w="120"/>
        <w:gridCol w:w="120"/>
        <w:gridCol w:w="121"/>
        <w:gridCol w:w="120"/>
        <w:gridCol w:w="120"/>
        <w:gridCol w:w="121"/>
        <w:gridCol w:w="120"/>
        <w:gridCol w:w="120"/>
        <w:gridCol w:w="121"/>
        <w:gridCol w:w="120"/>
        <w:gridCol w:w="120"/>
        <w:gridCol w:w="121"/>
        <w:gridCol w:w="120"/>
        <w:gridCol w:w="120"/>
        <w:gridCol w:w="121"/>
        <w:gridCol w:w="118"/>
        <w:gridCol w:w="118"/>
        <w:gridCol w:w="171"/>
      </w:tblGrid>
      <w:tr>
        <w:trPr/>
        <w:tc>
          <w:tcPr>
            <w:tcW w:w="21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9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color w:val="FFFFFF"/>
                <w:sz w:val="15"/>
              </w:rPr>
            </w:pPr>
            <w:r>
              <w:rPr>
                <w:rFonts w:ascii="Roboto;sans-serif" w:hAnsi="Roboto;sans-serif"/>
                <w:b/>
                <w:color w:val="FFFFFF"/>
                <w:sz w:val="15"/>
              </w:rPr>
              <w:t>Skill</w:t>
            </w:r>
          </w:p>
        </w:tc>
        <w:tc>
          <w:tcPr>
            <w:tcW w:w="523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vMerge w:val="restart"/>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7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50" descr=""/>
                          <pic:cNvPicPr>
                            <a:picLocks noChangeAspect="1" noChangeArrowheads="1"/>
                          </pic:cNvPicPr>
                        </pic:nvPicPr>
                        <pic:blipFill>
                          <a:blip r:embed="rId63"/>
                          <a:stretch>
                            <a:fillRect/>
                          </a:stretch>
                        </pic:blipFill>
                        <pic:spPr bwMode="auto">
                          <a:xfrm>
                            <a:off x="0" y="0"/>
                            <a:ext cx="95250" cy="438150"/>
                          </a:xfrm>
                          <a:prstGeom prst="rect">
                            <a:avLst/>
                          </a:prstGeom>
                        </pic:spPr>
                      </pic:pic>
                    </a:graphicData>
                  </a:graphic>
                </wp:inline>
              </w:drawing>
            </w:r>
            <w:bookmarkStart w:id="61" w:name="i-50"/>
            <w:bookmarkEnd w:id="61"/>
          </w:p>
        </w:tc>
        <w:tc>
          <w:tcPr>
            <w:tcW w:w="361" w:type="dxa"/>
            <w:gridSpan w:val="3"/>
            <w:vMerge w:val="restart"/>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7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51" descr=""/>
                          <pic:cNvPicPr>
                            <a:picLocks noChangeAspect="1" noChangeArrowheads="1"/>
                          </pic:cNvPicPr>
                        </pic:nvPicPr>
                        <pic:blipFill>
                          <a:blip r:embed="rId64"/>
                          <a:stretch>
                            <a:fillRect/>
                          </a:stretch>
                        </pic:blipFill>
                        <pic:spPr bwMode="auto">
                          <a:xfrm>
                            <a:off x="0" y="0"/>
                            <a:ext cx="95250" cy="438150"/>
                          </a:xfrm>
                          <a:prstGeom prst="rect">
                            <a:avLst/>
                          </a:prstGeom>
                        </pic:spPr>
                      </pic:pic>
                    </a:graphicData>
                  </a:graphic>
                </wp:inline>
              </w:drawing>
            </w:r>
            <w:bookmarkStart w:id="62" w:name="i-51"/>
            <w:bookmarkEnd w:id="62"/>
          </w:p>
        </w:tc>
        <w:tc>
          <w:tcPr>
            <w:tcW w:w="361" w:type="dxa"/>
            <w:gridSpan w:val="3"/>
            <w:vMerge w:val="restart"/>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8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52" descr=""/>
                          <pic:cNvPicPr>
                            <a:picLocks noChangeAspect="1" noChangeArrowheads="1"/>
                          </pic:cNvPicPr>
                        </pic:nvPicPr>
                        <pic:blipFill>
                          <a:blip r:embed="rId65"/>
                          <a:stretch>
                            <a:fillRect/>
                          </a:stretch>
                        </pic:blipFill>
                        <pic:spPr bwMode="auto">
                          <a:xfrm>
                            <a:off x="0" y="0"/>
                            <a:ext cx="95250" cy="438150"/>
                          </a:xfrm>
                          <a:prstGeom prst="rect">
                            <a:avLst/>
                          </a:prstGeom>
                        </pic:spPr>
                      </pic:pic>
                    </a:graphicData>
                  </a:graphic>
                </wp:inline>
              </w:drawing>
            </w:r>
            <w:bookmarkStart w:id="63" w:name="i-52"/>
            <w:bookmarkEnd w:id="63"/>
          </w:p>
        </w:tc>
        <w:tc>
          <w:tcPr>
            <w:tcW w:w="361" w:type="dxa"/>
            <w:gridSpan w:val="3"/>
            <w:vMerge w:val="restart"/>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8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53" descr=""/>
                          <pic:cNvPicPr>
                            <a:picLocks noChangeAspect="1" noChangeArrowheads="1"/>
                          </pic:cNvPicPr>
                        </pic:nvPicPr>
                        <pic:blipFill>
                          <a:blip r:embed="rId66"/>
                          <a:stretch>
                            <a:fillRect/>
                          </a:stretch>
                        </pic:blipFill>
                        <pic:spPr bwMode="auto">
                          <a:xfrm>
                            <a:off x="0" y="0"/>
                            <a:ext cx="95250" cy="438150"/>
                          </a:xfrm>
                          <a:prstGeom prst="rect">
                            <a:avLst/>
                          </a:prstGeom>
                        </pic:spPr>
                      </pic:pic>
                    </a:graphicData>
                  </a:graphic>
                </wp:inline>
              </w:drawing>
            </w:r>
            <w:bookmarkStart w:id="64" w:name="i-53"/>
            <w:bookmarkEnd w:id="64"/>
          </w:p>
        </w:tc>
        <w:tc>
          <w:tcPr>
            <w:tcW w:w="361" w:type="dxa"/>
            <w:gridSpan w:val="3"/>
            <w:vMerge w:val="restart"/>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8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54" descr=""/>
                          <pic:cNvPicPr>
                            <a:picLocks noChangeAspect="1" noChangeArrowheads="1"/>
                          </pic:cNvPicPr>
                        </pic:nvPicPr>
                        <pic:blipFill>
                          <a:blip r:embed="rId67"/>
                          <a:stretch>
                            <a:fillRect/>
                          </a:stretch>
                        </pic:blipFill>
                        <pic:spPr bwMode="auto">
                          <a:xfrm>
                            <a:off x="0" y="0"/>
                            <a:ext cx="95250" cy="438150"/>
                          </a:xfrm>
                          <a:prstGeom prst="rect">
                            <a:avLst/>
                          </a:prstGeom>
                        </pic:spPr>
                      </pic:pic>
                    </a:graphicData>
                  </a:graphic>
                </wp:inline>
              </w:drawing>
            </w:r>
            <w:bookmarkStart w:id="65" w:name="i-54"/>
            <w:bookmarkEnd w:id="65"/>
          </w:p>
        </w:tc>
        <w:tc>
          <w:tcPr>
            <w:tcW w:w="361" w:type="dxa"/>
            <w:gridSpan w:val="3"/>
            <w:vMerge w:val="restart"/>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8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55" descr=""/>
                          <pic:cNvPicPr>
                            <a:picLocks noChangeAspect="1" noChangeArrowheads="1"/>
                          </pic:cNvPicPr>
                        </pic:nvPicPr>
                        <pic:blipFill>
                          <a:blip r:embed="rId68"/>
                          <a:stretch>
                            <a:fillRect/>
                          </a:stretch>
                        </pic:blipFill>
                        <pic:spPr bwMode="auto">
                          <a:xfrm>
                            <a:off x="0" y="0"/>
                            <a:ext cx="95250" cy="438150"/>
                          </a:xfrm>
                          <a:prstGeom prst="rect">
                            <a:avLst/>
                          </a:prstGeom>
                        </pic:spPr>
                      </pic:pic>
                    </a:graphicData>
                  </a:graphic>
                </wp:inline>
              </w:drawing>
            </w:r>
            <w:bookmarkStart w:id="66" w:name="i-55"/>
            <w:bookmarkEnd w:id="66"/>
          </w:p>
        </w:tc>
        <w:tc>
          <w:tcPr>
            <w:tcW w:w="361" w:type="dxa"/>
            <w:gridSpan w:val="3"/>
            <w:vMerge w:val="restart"/>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8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56" descr=""/>
                          <pic:cNvPicPr>
                            <a:picLocks noChangeAspect="1" noChangeArrowheads="1"/>
                          </pic:cNvPicPr>
                        </pic:nvPicPr>
                        <pic:blipFill>
                          <a:blip r:embed="rId69"/>
                          <a:stretch>
                            <a:fillRect/>
                          </a:stretch>
                        </pic:blipFill>
                        <pic:spPr bwMode="auto">
                          <a:xfrm>
                            <a:off x="0" y="0"/>
                            <a:ext cx="95250" cy="438150"/>
                          </a:xfrm>
                          <a:prstGeom prst="rect">
                            <a:avLst/>
                          </a:prstGeom>
                        </pic:spPr>
                      </pic:pic>
                    </a:graphicData>
                  </a:graphic>
                </wp:inline>
              </w:drawing>
            </w:r>
            <w:bookmarkStart w:id="67" w:name="i-56"/>
            <w:bookmarkEnd w:id="67"/>
          </w:p>
        </w:tc>
        <w:tc>
          <w:tcPr>
            <w:tcW w:w="361" w:type="dxa"/>
            <w:gridSpan w:val="3"/>
            <w:vMerge w:val="restart"/>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85"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57" descr=""/>
                          <pic:cNvPicPr>
                            <a:picLocks noChangeAspect="1" noChangeArrowheads="1"/>
                          </pic:cNvPicPr>
                        </pic:nvPicPr>
                        <pic:blipFill>
                          <a:blip r:embed="rId70"/>
                          <a:stretch>
                            <a:fillRect/>
                          </a:stretch>
                        </pic:blipFill>
                        <pic:spPr bwMode="auto">
                          <a:xfrm>
                            <a:off x="0" y="0"/>
                            <a:ext cx="95250" cy="438150"/>
                          </a:xfrm>
                          <a:prstGeom prst="rect">
                            <a:avLst/>
                          </a:prstGeom>
                        </pic:spPr>
                      </pic:pic>
                    </a:graphicData>
                  </a:graphic>
                </wp:inline>
              </w:drawing>
            </w:r>
            <w:bookmarkStart w:id="68" w:name="i-57"/>
            <w:bookmarkEnd w:id="68"/>
          </w:p>
        </w:tc>
        <w:tc>
          <w:tcPr>
            <w:tcW w:w="361" w:type="dxa"/>
            <w:gridSpan w:val="3"/>
            <w:vMerge w:val="restart"/>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8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58" descr=""/>
                          <pic:cNvPicPr>
                            <a:picLocks noChangeAspect="1" noChangeArrowheads="1"/>
                          </pic:cNvPicPr>
                        </pic:nvPicPr>
                        <pic:blipFill>
                          <a:blip r:embed="rId71"/>
                          <a:stretch>
                            <a:fillRect/>
                          </a:stretch>
                        </pic:blipFill>
                        <pic:spPr bwMode="auto">
                          <a:xfrm>
                            <a:off x="0" y="0"/>
                            <a:ext cx="95250" cy="438150"/>
                          </a:xfrm>
                          <a:prstGeom prst="rect">
                            <a:avLst/>
                          </a:prstGeom>
                        </pic:spPr>
                      </pic:pic>
                    </a:graphicData>
                  </a:graphic>
                </wp:inline>
              </w:drawing>
            </w:r>
            <w:bookmarkStart w:id="69" w:name="i-58"/>
            <w:bookmarkEnd w:id="69"/>
          </w:p>
        </w:tc>
        <w:tc>
          <w:tcPr>
            <w:tcW w:w="361" w:type="dxa"/>
            <w:gridSpan w:val="3"/>
            <w:vMerge w:val="restart"/>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8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59" descr=""/>
                          <pic:cNvPicPr>
                            <a:picLocks noChangeAspect="1" noChangeArrowheads="1"/>
                          </pic:cNvPicPr>
                        </pic:nvPicPr>
                        <pic:blipFill>
                          <a:blip r:embed="rId72"/>
                          <a:stretch>
                            <a:fillRect/>
                          </a:stretch>
                        </pic:blipFill>
                        <pic:spPr bwMode="auto">
                          <a:xfrm>
                            <a:off x="0" y="0"/>
                            <a:ext cx="95250" cy="438150"/>
                          </a:xfrm>
                          <a:prstGeom prst="rect">
                            <a:avLst/>
                          </a:prstGeom>
                        </pic:spPr>
                      </pic:pic>
                    </a:graphicData>
                  </a:graphic>
                </wp:inline>
              </w:drawing>
            </w:r>
            <w:bookmarkStart w:id="70" w:name="i-59"/>
            <w:bookmarkEnd w:id="70"/>
          </w:p>
        </w:tc>
        <w:tc>
          <w:tcPr>
            <w:tcW w:w="361" w:type="dxa"/>
            <w:gridSpan w:val="3"/>
            <w:vMerge w:val="restart"/>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8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60" descr=""/>
                          <pic:cNvPicPr>
                            <a:picLocks noChangeAspect="1" noChangeArrowheads="1"/>
                          </pic:cNvPicPr>
                        </pic:nvPicPr>
                        <pic:blipFill>
                          <a:blip r:embed="rId73"/>
                          <a:stretch>
                            <a:fillRect/>
                          </a:stretch>
                        </pic:blipFill>
                        <pic:spPr bwMode="auto">
                          <a:xfrm>
                            <a:off x="0" y="0"/>
                            <a:ext cx="95250" cy="438150"/>
                          </a:xfrm>
                          <a:prstGeom prst="rect">
                            <a:avLst/>
                          </a:prstGeom>
                        </pic:spPr>
                      </pic:pic>
                    </a:graphicData>
                  </a:graphic>
                </wp:inline>
              </w:drawing>
            </w:r>
            <w:bookmarkStart w:id="71" w:name="i-60"/>
            <w:bookmarkEnd w:id="71"/>
          </w:p>
        </w:tc>
        <w:tc>
          <w:tcPr>
            <w:tcW w:w="407" w:type="dxa"/>
            <w:gridSpan w:val="3"/>
            <w:vMerge w:val="restart"/>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8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61" descr=""/>
                          <pic:cNvPicPr>
                            <a:picLocks noChangeAspect="1" noChangeArrowheads="1"/>
                          </pic:cNvPicPr>
                        </pic:nvPicPr>
                        <pic:blipFill>
                          <a:blip r:embed="rId74"/>
                          <a:stretch>
                            <a:fillRect/>
                          </a:stretch>
                        </pic:blipFill>
                        <pic:spPr bwMode="auto">
                          <a:xfrm>
                            <a:off x="0" y="0"/>
                            <a:ext cx="95250" cy="438150"/>
                          </a:xfrm>
                          <a:prstGeom prst="rect">
                            <a:avLst/>
                          </a:prstGeom>
                        </pic:spPr>
                      </pic:pic>
                    </a:graphicData>
                  </a:graphic>
                </wp:inline>
              </w:drawing>
            </w:r>
            <w:bookmarkStart w:id="72" w:name="i-61"/>
            <w:bookmarkEnd w:id="72"/>
          </w:p>
        </w:tc>
      </w:tr>
      <w:tr>
        <w:trPr/>
        <w:tc>
          <w:tcPr>
            <w:tcW w:w="59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61"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61"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61"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61"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61"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61"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61"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61"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61"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61"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407"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r>
      <w:tr>
        <w:trPr/>
        <w:tc>
          <w:tcPr>
            <w:tcW w:w="596" w:type="dxa"/>
            <w:gridSpan w:val="3"/>
            <w:tcBorders/>
            <w:shd w:fill="ECF8F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14325" cy="314325"/>
                  <wp:effectExtent l="0" t="0" r="0" b="0"/>
                  <wp:docPr id="90"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62" descr=""/>
                          <pic:cNvPicPr>
                            <a:picLocks noChangeAspect="1" noChangeArrowheads="1"/>
                          </pic:cNvPicPr>
                        </pic:nvPicPr>
                        <pic:blipFill>
                          <a:blip r:embed="rId75"/>
                          <a:stretch>
                            <a:fillRect/>
                          </a:stretch>
                        </pic:blipFill>
                        <pic:spPr bwMode="auto">
                          <a:xfrm>
                            <a:off x="0" y="0"/>
                            <a:ext cx="314325" cy="314325"/>
                          </a:xfrm>
                          <a:prstGeom prst="rect">
                            <a:avLst/>
                          </a:prstGeom>
                        </pic:spPr>
                      </pic:pic>
                    </a:graphicData>
                  </a:graphic>
                </wp:inline>
              </w:drawing>
            </w:r>
            <w:bookmarkStart w:id="73" w:name="i-62"/>
            <w:bookmarkEnd w:id="73"/>
          </w:p>
        </w:tc>
        <w:tc>
          <w:tcPr>
            <w:tcW w:w="5231"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1946C8"/>
                <w:sz w:val="15"/>
              </w:rPr>
            </w:pPr>
            <w:r>
              <w:rPr>
                <w:rFonts w:ascii="Roboto;sans-serif" w:hAnsi="Roboto;sans-serif"/>
                <w:b/>
                <w:color w:val="1946C8"/>
                <w:sz w:val="15"/>
              </w:rPr>
              <w:t>Accounting/Finance</w:t>
            </w:r>
          </w:p>
          <w:p>
            <w:pPr>
              <w:pStyle w:val="TableContents"/>
              <w:bidi w:val="0"/>
              <w:spacing w:lineRule="auto" w:line="312" w:before="0" w:after="0"/>
              <w:jc w:val="left"/>
              <w:rPr>
                <w:rFonts w:ascii="Roboto;sans-serif" w:hAnsi="Roboto;sans-serif"/>
                <w:b w:val="false"/>
                <w:color w:val="000000"/>
                <w:sz w:val="15"/>
              </w:rPr>
            </w:pPr>
            <w:r>
              <w:rPr>
                <w:rFonts w:ascii="Roboto;sans-serif" w:hAnsi="Roboto;sans-serif"/>
                <w:b w:val="false"/>
                <w:color w:val="000000"/>
                <w:sz w:val="15"/>
              </w:rPr>
              <w:t>Expertise in accounting and financial reporting, with a strong understanding of internal controls and experience overseeing financial reporting processes.</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0"/>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0"/>
              <w:jc w:val="center"/>
              <w:rPr/>
            </w:pPr>
            <w:r>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407"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14325" cy="314325"/>
                  <wp:effectExtent l="0" t="0" r="0" b="0"/>
                  <wp:docPr id="9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63" descr=""/>
                          <pic:cNvPicPr>
                            <a:picLocks noChangeAspect="1" noChangeArrowheads="1"/>
                          </pic:cNvPicPr>
                        </pic:nvPicPr>
                        <pic:blipFill>
                          <a:blip r:embed="rId76"/>
                          <a:stretch>
                            <a:fillRect/>
                          </a:stretch>
                        </pic:blipFill>
                        <pic:spPr bwMode="auto">
                          <a:xfrm>
                            <a:off x="0" y="0"/>
                            <a:ext cx="314325" cy="314325"/>
                          </a:xfrm>
                          <a:prstGeom prst="rect">
                            <a:avLst/>
                          </a:prstGeom>
                        </pic:spPr>
                      </pic:pic>
                    </a:graphicData>
                  </a:graphic>
                </wp:inline>
              </w:drawing>
            </w:r>
            <w:bookmarkStart w:id="74" w:name="i-63"/>
            <w:bookmarkEnd w:id="74"/>
          </w:p>
        </w:tc>
        <w:tc>
          <w:tcPr>
            <w:tcW w:w="523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1946C8"/>
                <w:sz w:val="15"/>
              </w:rPr>
            </w:pPr>
            <w:r>
              <w:rPr>
                <w:rFonts w:ascii="Roboto;sans-serif" w:hAnsi="Roboto;sans-serif"/>
                <w:b/>
                <w:color w:val="1946C8"/>
                <w:sz w:val="15"/>
              </w:rPr>
              <w:t>Artificial Intelligence</w:t>
            </w:r>
          </w:p>
          <w:p>
            <w:pPr>
              <w:pStyle w:val="TableContents"/>
              <w:bidi w:val="0"/>
              <w:spacing w:lineRule="auto" w:line="312" w:before="0" w:after="0"/>
              <w:jc w:val="left"/>
              <w:rPr>
                <w:rFonts w:ascii="Roboto;sans-serif" w:hAnsi="Roboto;sans-serif"/>
                <w:b w:val="false"/>
                <w:color w:val="000000"/>
                <w:sz w:val="15"/>
              </w:rPr>
            </w:pPr>
            <w:r>
              <w:rPr>
                <w:rFonts w:ascii="Roboto;sans-serif" w:hAnsi="Roboto;sans-serif"/>
                <w:b w:val="false"/>
                <w:color w:val="000000"/>
                <w:sz w:val="15"/>
              </w:rPr>
              <w:t>Expertise in developing, managing, and interacting effectively with AI systems, including assessing the risks and opportunities of the technology.</w:t>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0"/>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0"/>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shd w:fill="ECF8F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14325" cy="314325"/>
                  <wp:effectExtent l="0" t="0" r="0" b="0"/>
                  <wp:docPr id="9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64" descr=""/>
                          <pic:cNvPicPr>
                            <a:picLocks noChangeAspect="1" noChangeArrowheads="1"/>
                          </pic:cNvPicPr>
                        </pic:nvPicPr>
                        <pic:blipFill>
                          <a:blip r:embed="rId77"/>
                          <a:stretch>
                            <a:fillRect/>
                          </a:stretch>
                        </pic:blipFill>
                        <pic:spPr bwMode="auto">
                          <a:xfrm>
                            <a:off x="0" y="0"/>
                            <a:ext cx="314325" cy="314325"/>
                          </a:xfrm>
                          <a:prstGeom prst="rect">
                            <a:avLst/>
                          </a:prstGeom>
                        </pic:spPr>
                      </pic:pic>
                    </a:graphicData>
                  </a:graphic>
                </wp:inline>
              </w:drawing>
            </w:r>
            <w:bookmarkStart w:id="75" w:name="i-64"/>
            <w:bookmarkEnd w:id="75"/>
          </w:p>
        </w:tc>
        <w:tc>
          <w:tcPr>
            <w:tcW w:w="5231"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1946C8"/>
                <w:sz w:val="15"/>
              </w:rPr>
            </w:pPr>
            <w:r>
              <w:rPr>
                <w:rFonts w:ascii="Roboto;sans-serif" w:hAnsi="Roboto;sans-serif"/>
                <w:b/>
                <w:color w:val="1946C8"/>
                <w:sz w:val="15"/>
              </w:rPr>
              <w:t>Corporate Governance</w:t>
            </w:r>
          </w:p>
          <w:p>
            <w:pPr>
              <w:pStyle w:val="TableContents"/>
              <w:bidi w:val="0"/>
              <w:spacing w:lineRule="auto" w:line="312" w:before="0" w:after="0"/>
              <w:jc w:val="left"/>
              <w:rPr>
                <w:rFonts w:ascii="Roboto;sans-serif" w:hAnsi="Roboto;sans-serif"/>
                <w:b w:val="false"/>
                <w:color w:val="000000"/>
                <w:sz w:val="15"/>
              </w:rPr>
            </w:pPr>
            <w:r>
              <w:rPr>
                <w:rFonts w:ascii="Roboto;sans-serif" w:hAnsi="Roboto;sans-serif"/>
                <w:b w:val="false"/>
                <w:color w:val="000000"/>
                <w:sz w:val="15"/>
              </w:rPr>
              <w:t xml:space="preserve">Experience in corporate governance, focused on guiding strategic direction, promoting management accountability, and safeguarding shareholder value. </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407"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r>
      <w:tr>
        <w:trPr/>
        <w:tc>
          <w:tcPr>
            <w:tcW w:w="5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14325" cy="314325"/>
                  <wp:effectExtent l="0" t="0" r="0" b="0"/>
                  <wp:docPr id="9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65" descr=""/>
                          <pic:cNvPicPr>
                            <a:picLocks noChangeAspect="1" noChangeArrowheads="1"/>
                          </pic:cNvPicPr>
                        </pic:nvPicPr>
                        <pic:blipFill>
                          <a:blip r:embed="rId78"/>
                          <a:stretch>
                            <a:fillRect/>
                          </a:stretch>
                        </pic:blipFill>
                        <pic:spPr bwMode="auto">
                          <a:xfrm>
                            <a:off x="0" y="0"/>
                            <a:ext cx="314325" cy="314325"/>
                          </a:xfrm>
                          <a:prstGeom prst="rect">
                            <a:avLst/>
                          </a:prstGeom>
                        </pic:spPr>
                      </pic:pic>
                    </a:graphicData>
                  </a:graphic>
                </wp:inline>
              </w:drawing>
            </w:r>
            <w:bookmarkStart w:id="76" w:name="i-65"/>
            <w:bookmarkEnd w:id="76"/>
          </w:p>
        </w:tc>
        <w:tc>
          <w:tcPr>
            <w:tcW w:w="523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1946C8"/>
                <w:sz w:val="15"/>
              </w:rPr>
            </w:pPr>
            <w:r>
              <w:rPr>
                <w:rFonts w:ascii="Roboto;sans-serif" w:hAnsi="Roboto;sans-serif"/>
                <w:b/>
                <w:color w:val="1946C8"/>
                <w:sz w:val="15"/>
              </w:rPr>
              <w:t>Customer Loyalty</w:t>
            </w:r>
          </w:p>
          <w:p>
            <w:pPr>
              <w:pStyle w:val="TableContents"/>
              <w:bidi w:val="0"/>
              <w:spacing w:lineRule="auto" w:line="312" w:before="0" w:after="0"/>
              <w:jc w:val="left"/>
              <w:rPr>
                <w:rFonts w:ascii="Roboto;sans-serif" w:hAnsi="Roboto;sans-serif"/>
                <w:b w:val="false"/>
                <w:color w:val="000000"/>
                <w:sz w:val="15"/>
              </w:rPr>
            </w:pPr>
            <w:r>
              <w:rPr>
                <w:rFonts w:ascii="Roboto;sans-serif" w:hAnsi="Roboto;sans-serif"/>
                <w:b w:val="false"/>
                <w:color w:val="000000"/>
                <w:sz w:val="15"/>
              </w:rPr>
              <w:t>Experience with strategically prioritizing and executing customer loyalty initiatives, maximizing retention and advocacy through a deeply customer-centric approach to decision-making.</w:t>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0"/>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0"/>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shd w:fill="ECF8F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14325" cy="314325"/>
                  <wp:effectExtent l="0" t="0" r="0" b="0"/>
                  <wp:docPr id="94"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66" descr=""/>
                          <pic:cNvPicPr>
                            <a:picLocks noChangeAspect="1" noChangeArrowheads="1"/>
                          </pic:cNvPicPr>
                        </pic:nvPicPr>
                        <pic:blipFill>
                          <a:blip r:embed="rId79"/>
                          <a:stretch>
                            <a:fillRect/>
                          </a:stretch>
                        </pic:blipFill>
                        <pic:spPr bwMode="auto">
                          <a:xfrm>
                            <a:off x="0" y="0"/>
                            <a:ext cx="314325" cy="314325"/>
                          </a:xfrm>
                          <a:prstGeom prst="rect">
                            <a:avLst/>
                          </a:prstGeom>
                        </pic:spPr>
                      </pic:pic>
                    </a:graphicData>
                  </a:graphic>
                </wp:inline>
              </w:drawing>
            </w:r>
            <w:bookmarkStart w:id="77" w:name="i-66"/>
            <w:bookmarkEnd w:id="77"/>
          </w:p>
        </w:tc>
        <w:tc>
          <w:tcPr>
            <w:tcW w:w="5231"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1946C8"/>
                <w:sz w:val="15"/>
              </w:rPr>
            </w:pPr>
            <w:r>
              <w:rPr>
                <w:rFonts w:ascii="Roboto;sans-serif" w:hAnsi="Roboto;sans-serif"/>
                <w:b/>
                <w:color w:val="1946C8"/>
                <w:sz w:val="15"/>
              </w:rPr>
              <w:t>Cybersecurity &amp; Data Privacy</w:t>
            </w:r>
          </w:p>
          <w:p>
            <w:pPr>
              <w:pStyle w:val="TableContents"/>
              <w:bidi w:val="0"/>
              <w:spacing w:lineRule="auto" w:line="312" w:before="0" w:after="0"/>
              <w:jc w:val="left"/>
              <w:rPr>
                <w:rFonts w:ascii="Roboto;sans-serif" w:hAnsi="Roboto;sans-serif"/>
                <w:b w:val="false"/>
                <w:color w:val="000000"/>
                <w:sz w:val="15"/>
              </w:rPr>
            </w:pPr>
            <w:r>
              <w:rPr>
                <w:rFonts w:ascii="Roboto;sans-serif" w:hAnsi="Roboto;sans-serif"/>
                <w:b w:val="false"/>
                <w:color w:val="000000"/>
                <w:sz w:val="15"/>
              </w:rPr>
              <w:t>Experience with overseeing and mitigating cybersecurity and data privacy risks, with a strong background in cyber risk management.</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0"/>
              <w:jc w:val="center"/>
              <w:rPr/>
            </w:pPr>
            <w:r>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0"/>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0"/>
              <w:jc w:val="center"/>
              <w:rPr/>
            </w:pPr>
            <w:r>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0"/>
              <w:jc w:val="center"/>
              <w:rPr/>
            </w:pPr>
            <w:r>
              <w:rPr/>
            </w:r>
          </w:p>
        </w:tc>
        <w:tc>
          <w:tcPr>
            <w:tcW w:w="407"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14325" cy="314325"/>
                  <wp:effectExtent l="0" t="0" r="0" b="0"/>
                  <wp:docPr id="95"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67" descr=""/>
                          <pic:cNvPicPr>
                            <a:picLocks noChangeAspect="1" noChangeArrowheads="1"/>
                          </pic:cNvPicPr>
                        </pic:nvPicPr>
                        <pic:blipFill>
                          <a:blip r:embed="rId80"/>
                          <a:stretch>
                            <a:fillRect/>
                          </a:stretch>
                        </pic:blipFill>
                        <pic:spPr bwMode="auto">
                          <a:xfrm>
                            <a:off x="0" y="0"/>
                            <a:ext cx="314325" cy="314325"/>
                          </a:xfrm>
                          <a:prstGeom prst="rect">
                            <a:avLst/>
                          </a:prstGeom>
                        </pic:spPr>
                      </pic:pic>
                    </a:graphicData>
                  </a:graphic>
                </wp:inline>
              </w:drawing>
            </w:r>
            <w:bookmarkStart w:id="78" w:name="i-67"/>
            <w:bookmarkEnd w:id="78"/>
          </w:p>
        </w:tc>
        <w:tc>
          <w:tcPr>
            <w:tcW w:w="523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1946C8"/>
                <w:sz w:val="15"/>
              </w:rPr>
            </w:pPr>
            <w:r>
              <w:rPr>
                <w:rFonts w:ascii="Roboto;sans-serif" w:hAnsi="Roboto;sans-serif"/>
                <w:b/>
                <w:color w:val="1946C8"/>
                <w:sz w:val="15"/>
              </w:rPr>
              <w:t>Digital/eCommerce</w:t>
            </w:r>
          </w:p>
          <w:p>
            <w:pPr>
              <w:pStyle w:val="TableContents"/>
              <w:bidi w:val="0"/>
              <w:spacing w:lineRule="auto" w:line="312" w:before="0" w:after="0"/>
              <w:jc w:val="left"/>
              <w:rPr>
                <w:rFonts w:ascii="Roboto;sans-serif" w:hAnsi="Roboto;sans-serif"/>
                <w:b w:val="false"/>
                <w:color w:val="000000"/>
                <w:sz w:val="15"/>
              </w:rPr>
            </w:pPr>
            <w:r>
              <w:rPr>
                <w:rFonts w:ascii="Roboto;sans-serif" w:hAnsi="Roboto;sans-serif"/>
                <w:b w:val="false"/>
                <w:color w:val="000000"/>
                <w:sz w:val="15"/>
              </w:rPr>
              <w:t>Experience with managing eCommerce operations, including online sales, payment processing, and data management.</w:t>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0"/>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0"/>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0"/>
              <w:jc w:val="center"/>
              <w:rPr/>
            </w:pPr>
            <w:r>
              <w:rPr/>
            </w:r>
          </w:p>
        </w:tc>
        <w:tc>
          <w:tcPr>
            <w:tcW w:w="407"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r>
      <w:tr>
        <w:trPr/>
        <w:tc>
          <w:tcPr>
            <w:tcW w:w="596" w:type="dxa"/>
            <w:gridSpan w:val="3"/>
            <w:tcBorders/>
            <w:shd w:fill="ECF8F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14325" cy="314325"/>
                  <wp:effectExtent l="0" t="0" r="0" b="0"/>
                  <wp:docPr id="96"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68" descr=""/>
                          <pic:cNvPicPr>
                            <a:picLocks noChangeAspect="1" noChangeArrowheads="1"/>
                          </pic:cNvPicPr>
                        </pic:nvPicPr>
                        <pic:blipFill>
                          <a:blip r:embed="rId81"/>
                          <a:stretch>
                            <a:fillRect/>
                          </a:stretch>
                        </pic:blipFill>
                        <pic:spPr bwMode="auto">
                          <a:xfrm>
                            <a:off x="0" y="0"/>
                            <a:ext cx="314325" cy="314325"/>
                          </a:xfrm>
                          <a:prstGeom prst="rect">
                            <a:avLst/>
                          </a:prstGeom>
                        </pic:spPr>
                      </pic:pic>
                    </a:graphicData>
                  </a:graphic>
                </wp:inline>
              </w:drawing>
            </w:r>
            <w:bookmarkStart w:id="79" w:name="i-68"/>
            <w:bookmarkEnd w:id="79"/>
          </w:p>
        </w:tc>
        <w:tc>
          <w:tcPr>
            <w:tcW w:w="5231"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1946C8"/>
                <w:sz w:val="15"/>
              </w:rPr>
            </w:pPr>
            <w:r>
              <w:rPr>
                <w:rFonts w:ascii="Roboto;sans-serif" w:hAnsi="Roboto;sans-serif"/>
                <w:b/>
                <w:color w:val="1946C8"/>
                <w:sz w:val="15"/>
              </w:rPr>
              <w:t>Human Resources/Talent</w:t>
            </w:r>
          </w:p>
          <w:p>
            <w:pPr>
              <w:pStyle w:val="TableContents"/>
              <w:bidi w:val="0"/>
              <w:spacing w:lineRule="auto" w:line="312" w:before="0" w:after="0"/>
              <w:jc w:val="left"/>
              <w:rPr>
                <w:rFonts w:ascii="Roboto;sans-serif" w:hAnsi="Roboto;sans-serif"/>
                <w:b w:val="false"/>
                <w:color w:val="000000"/>
                <w:sz w:val="15"/>
              </w:rPr>
            </w:pPr>
            <w:r>
              <w:rPr>
                <w:rFonts w:ascii="Roboto;sans-serif" w:hAnsi="Roboto;sans-serif"/>
                <w:b w:val="false"/>
                <w:color w:val="000000"/>
                <w:sz w:val="15"/>
              </w:rPr>
              <w:t>Experience with human resources strategy, compensation, talent development, succession planning, and performance management, focused on identifying recruiting, developing, incentivizing and retaining talent.</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0"/>
              <w:jc w:val="center"/>
              <w:rPr/>
            </w:pPr>
            <w:r>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407"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r>
      <w:tr>
        <w:trPr/>
        <w:tc>
          <w:tcPr>
            <w:tcW w:w="5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14325" cy="314325"/>
                  <wp:effectExtent l="0" t="0" r="0" b="0"/>
                  <wp:docPr id="9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69" descr=""/>
                          <pic:cNvPicPr>
                            <a:picLocks noChangeAspect="1" noChangeArrowheads="1"/>
                          </pic:cNvPicPr>
                        </pic:nvPicPr>
                        <pic:blipFill>
                          <a:blip r:embed="rId82"/>
                          <a:stretch>
                            <a:fillRect/>
                          </a:stretch>
                        </pic:blipFill>
                        <pic:spPr bwMode="auto">
                          <a:xfrm>
                            <a:off x="0" y="0"/>
                            <a:ext cx="314325" cy="314325"/>
                          </a:xfrm>
                          <a:prstGeom prst="rect">
                            <a:avLst/>
                          </a:prstGeom>
                        </pic:spPr>
                      </pic:pic>
                    </a:graphicData>
                  </a:graphic>
                </wp:inline>
              </w:drawing>
            </w:r>
            <w:bookmarkStart w:id="80" w:name="i-69"/>
            <w:bookmarkEnd w:id="80"/>
          </w:p>
        </w:tc>
        <w:tc>
          <w:tcPr>
            <w:tcW w:w="523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1946C8"/>
                <w:sz w:val="15"/>
              </w:rPr>
            </w:pPr>
            <w:r>
              <w:rPr>
                <w:rFonts w:ascii="Roboto;sans-serif" w:hAnsi="Roboto;sans-serif"/>
                <w:b/>
                <w:color w:val="1946C8"/>
                <w:sz w:val="15"/>
              </w:rPr>
              <w:t>Marketing</w:t>
            </w:r>
          </w:p>
          <w:p>
            <w:pPr>
              <w:pStyle w:val="TableContents"/>
              <w:bidi w:val="0"/>
              <w:spacing w:lineRule="auto" w:line="312" w:before="0" w:after="0"/>
              <w:jc w:val="left"/>
              <w:rPr>
                <w:rFonts w:ascii="Roboto;sans-serif" w:hAnsi="Roboto;sans-serif"/>
                <w:b w:val="false"/>
                <w:color w:val="000000"/>
                <w:sz w:val="15"/>
              </w:rPr>
            </w:pPr>
            <w:r>
              <w:rPr>
                <w:rFonts w:ascii="Roboto;sans-serif" w:hAnsi="Roboto;sans-serif"/>
                <w:b w:val="false"/>
                <w:color w:val="000000"/>
                <w:sz w:val="15"/>
              </w:rPr>
              <w:t xml:space="preserve">Experience in driving sales in existing markets while simultaneously opening up new market segments, utilizing marketing and business development skills to drive growth. </w:t>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0"/>
              <w:jc w:val="center"/>
              <w:rPr/>
            </w:pPr>
            <w:r>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0"/>
              <w:jc w:val="center"/>
              <w:rPr/>
            </w:pPr>
            <w:r>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407"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r>
      <w:tr>
        <w:trPr/>
        <w:tc>
          <w:tcPr>
            <w:tcW w:w="596" w:type="dxa"/>
            <w:gridSpan w:val="3"/>
            <w:tcBorders/>
            <w:shd w:fill="ECF8F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14325" cy="314325"/>
                  <wp:effectExtent l="0" t="0" r="0" b="0"/>
                  <wp:docPr id="98"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70" descr=""/>
                          <pic:cNvPicPr>
                            <a:picLocks noChangeAspect="1" noChangeArrowheads="1"/>
                          </pic:cNvPicPr>
                        </pic:nvPicPr>
                        <pic:blipFill>
                          <a:blip r:embed="rId83"/>
                          <a:stretch>
                            <a:fillRect/>
                          </a:stretch>
                        </pic:blipFill>
                        <pic:spPr bwMode="auto">
                          <a:xfrm>
                            <a:off x="0" y="0"/>
                            <a:ext cx="314325" cy="314325"/>
                          </a:xfrm>
                          <a:prstGeom prst="rect">
                            <a:avLst/>
                          </a:prstGeom>
                        </pic:spPr>
                      </pic:pic>
                    </a:graphicData>
                  </a:graphic>
                </wp:inline>
              </w:drawing>
            </w:r>
            <w:bookmarkStart w:id="81" w:name="i-70"/>
            <w:bookmarkEnd w:id="81"/>
          </w:p>
        </w:tc>
        <w:tc>
          <w:tcPr>
            <w:tcW w:w="5231"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1946C8"/>
                <w:sz w:val="15"/>
              </w:rPr>
            </w:pPr>
            <w:r>
              <w:rPr>
                <w:rFonts w:ascii="Roboto;sans-serif" w:hAnsi="Roboto;sans-serif"/>
                <w:b/>
                <w:color w:val="1946C8"/>
                <w:sz w:val="15"/>
              </w:rPr>
              <w:t>Merchandising</w:t>
            </w:r>
          </w:p>
          <w:p>
            <w:pPr>
              <w:pStyle w:val="TableContents"/>
              <w:bidi w:val="0"/>
              <w:spacing w:lineRule="auto" w:line="312" w:before="0" w:after="0"/>
              <w:jc w:val="left"/>
              <w:rPr>
                <w:rFonts w:ascii="Roboto;sans-serif" w:hAnsi="Roboto;sans-serif"/>
                <w:b w:val="false"/>
                <w:color w:val="000000"/>
                <w:sz w:val="15"/>
              </w:rPr>
            </w:pPr>
            <w:r>
              <w:rPr>
                <w:rFonts w:ascii="Roboto;sans-serif" w:hAnsi="Roboto;sans-serif"/>
                <w:b w:val="false"/>
                <w:color w:val="000000"/>
                <w:sz w:val="15"/>
              </w:rPr>
              <w:t>Experience with retail merchandising strategy, developing sales plans by tracking market trends to optimize product offerings and sales potential based on market conditions.</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0"/>
              <w:jc w:val="center"/>
              <w:rPr/>
            </w:pPr>
            <w:r>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407"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r>
      <w:tr>
        <w:trPr/>
        <w:tc>
          <w:tcPr>
            <w:tcW w:w="5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14325" cy="314325"/>
                  <wp:effectExtent l="0" t="0" r="0" b="0"/>
                  <wp:docPr id="99"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71" descr=""/>
                          <pic:cNvPicPr>
                            <a:picLocks noChangeAspect="1" noChangeArrowheads="1"/>
                          </pic:cNvPicPr>
                        </pic:nvPicPr>
                        <pic:blipFill>
                          <a:blip r:embed="rId84"/>
                          <a:stretch>
                            <a:fillRect/>
                          </a:stretch>
                        </pic:blipFill>
                        <pic:spPr bwMode="auto">
                          <a:xfrm>
                            <a:off x="0" y="0"/>
                            <a:ext cx="314325" cy="314325"/>
                          </a:xfrm>
                          <a:prstGeom prst="rect">
                            <a:avLst/>
                          </a:prstGeom>
                        </pic:spPr>
                      </pic:pic>
                    </a:graphicData>
                  </a:graphic>
                </wp:inline>
              </w:drawing>
            </w:r>
            <w:bookmarkStart w:id="82" w:name="i-71"/>
            <w:bookmarkEnd w:id="82"/>
          </w:p>
        </w:tc>
        <w:tc>
          <w:tcPr>
            <w:tcW w:w="523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1946C8"/>
                <w:sz w:val="15"/>
              </w:rPr>
            </w:pPr>
            <w:r>
              <w:rPr>
                <w:rFonts w:ascii="Roboto;sans-serif" w:hAnsi="Roboto;sans-serif"/>
                <w:b/>
                <w:color w:val="1946C8"/>
                <w:sz w:val="15"/>
              </w:rPr>
              <w:t>Process Improvement</w:t>
            </w:r>
          </w:p>
          <w:p>
            <w:pPr>
              <w:pStyle w:val="TableContents"/>
              <w:bidi w:val="0"/>
              <w:spacing w:lineRule="auto" w:line="312" w:before="0" w:after="0"/>
              <w:jc w:val="left"/>
              <w:rPr>
                <w:rFonts w:ascii="Roboto;sans-serif" w:hAnsi="Roboto;sans-serif"/>
                <w:b w:val="false"/>
                <w:color w:val="000000"/>
                <w:sz w:val="15"/>
              </w:rPr>
            </w:pPr>
            <w:r>
              <w:rPr>
                <w:rFonts w:ascii="Roboto;sans-serif" w:hAnsi="Roboto;sans-serif"/>
                <w:b w:val="false"/>
                <w:color w:val="000000"/>
                <w:sz w:val="15"/>
              </w:rPr>
              <w:t>Experience with operational optimization, achieved by streamlining processes, identifying and resolving inefficiencies, and driving continuous improvement initiatives.</w:t>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0"/>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263525"/>
                <wp:effectExtent l="0" t="0" r="0" b="0"/>
                <wp:wrapNone/>
                <wp:docPr id="100" name="Frame17"/>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101"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72" descr=""/>
                                          <pic:cNvPicPr>
                                            <a:picLocks noChangeAspect="1" noChangeArrowheads="1"/>
                                          </pic:cNvPicPr>
                                        </pic:nvPicPr>
                                        <pic:blipFill>
                                          <a:blip r:embed="rId85"/>
                                          <a:stretch>
                                            <a:fillRect/>
                                          </a:stretch>
                                        </pic:blipFill>
                                        <pic:spPr bwMode="auto">
                                          <a:xfrm>
                                            <a:off x="0" y="0"/>
                                            <a:ext cx="266700" cy="200025"/>
                                          </a:xfrm>
                                          <a:prstGeom prst="rect">
                                            <a:avLst/>
                                          </a:prstGeom>
                                        </pic:spPr>
                                      </pic:pic>
                                    </a:graphicData>
                                  </a:graphic>
                                </wp:inline>
                              </w:drawing>
                            </w:r>
                            <w:bookmarkStart w:id="83" w:name="i-72"/>
                            <w:bookmarkEnd w:id="83"/>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10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72" descr=""/>
                                    <pic:cNvPicPr>
                                      <a:picLocks noChangeAspect="1" noChangeArrowheads="1"/>
                                    </pic:cNvPicPr>
                                  </pic:nvPicPr>
                                  <pic:blipFill>
                                    <a:blip r:embed="rId86"/>
                                    <a:stretch>
                                      <a:fillRect/>
                                    </a:stretch>
                                  </pic:blipFill>
                                  <pic:spPr bwMode="auto">
                                    <a:xfrm>
                                      <a:off x="0" y="0"/>
                                      <a:ext cx="266700" cy="200025"/>
                                    </a:xfrm>
                                    <a:prstGeom prst="rect">
                                      <a:avLst/>
                                    </a:prstGeom>
                                  </pic:spPr>
                                </pic:pic>
                              </a:graphicData>
                            </a:graphic>
                          </wp:inline>
                        </w:drawing>
                      </w:r>
                      <w:bookmarkStart w:id="84" w:name="i-72"/>
                      <w:bookmarkEnd w:id="84"/>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tbl>
      <w:tblPr>
        <w:tblW w:w="10205" w:type="dxa"/>
        <w:jc w:val="left"/>
        <w:tblInd w:w="0" w:type="dxa"/>
        <w:tblLayout w:type="fixed"/>
        <w:tblCellMar>
          <w:top w:w="28" w:type="dxa"/>
          <w:left w:w="28" w:type="dxa"/>
          <w:bottom w:w="28" w:type="dxa"/>
          <w:right w:w="28" w:type="dxa"/>
        </w:tblCellMar>
      </w:tblPr>
      <w:tblGrid>
        <w:gridCol w:w="214"/>
        <w:gridCol w:w="189"/>
        <w:gridCol w:w="193"/>
        <w:gridCol w:w="1742"/>
        <w:gridCol w:w="1742"/>
        <w:gridCol w:w="1746"/>
        <w:gridCol w:w="120"/>
        <w:gridCol w:w="120"/>
        <w:gridCol w:w="121"/>
        <w:gridCol w:w="120"/>
        <w:gridCol w:w="120"/>
        <w:gridCol w:w="121"/>
        <w:gridCol w:w="120"/>
        <w:gridCol w:w="120"/>
        <w:gridCol w:w="121"/>
        <w:gridCol w:w="120"/>
        <w:gridCol w:w="120"/>
        <w:gridCol w:w="121"/>
        <w:gridCol w:w="120"/>
        <w:gridCol w:w="120"/>
        <w:gridCol w:w="121"/>
        <w:gridCol w:w="120"/>
        <w:gridCol w:w="120"/>
        <w:gridCol w:w="121"/>
        <w:gridCol w:w="120"/>
        <w:gridCol w:w="120"/>
        <w:gridCol w:w="121"/>
        <w:gridCol w:w="120"/>
        <w:gridCol w:w="120"/>
        <w:gridCol w:w="121"/>
        <w:gridCol w:w="120"/>
        <w:gridCol w:w="120"/>
        <w:gridCol w:w="121"/>
        <w:gridCol w:w="120"/>
        <w:gridCol w:w="120"/>
        <w:gridCol w:w="121"/>
        <w:gridCol w:w="120"/>
        <w:gridCol w:w="120"/>
        <w:gridCol w:w="121"/>
        <w:gridCol w:w="118"/>
        <w:gridCol w:w="118"/>
        <w:gridCol w:w="172"/>
      </w:tblGrid>
      <w:tr>
        <w:trPr/>
        <w:tc>
          <w:tcPr>
            <w:tcW w:w="21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9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color w:val="FFFFFF"/>
                <w:sz w:val="15"/>
              </w:rPr>
            </w:pPr>
            <w:r>
              <w:rPr>
                <w:rFonts w:ascii="Roboto;sans-serif" w:hAnsi="Roboto;sans-serif"/>
                <w:b/>
                <w:color w:val="FFFFFF"/>
                <w:sz w:val="15"/>
              </w:rPr>
              <w:t>Skill</w:t>
            </w:r>
          </w:p>
        </w:tc>
        <w:tc>
          <w:tcPr>
            <w:tcW w:w="523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vMerge w:val="restart"/>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10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73" descr=""/>
                          <pic:cNvPicPr>
                            <a:picLocks noChangeAspect="1" noChangeArrowheads="1"/>
                          </pic:cNvPicPr>
                        </pic:nvPicPr>
                        <pic:blipFill>
                          <a:blip r:embed="rId87"/>
                          <a:stretch>
                            <a:fillRect/>
                          </a:stretch>
                        </pic:blipFill>
                        <pic:spPr bwMode="auto">
                          <a:xfrm>
                            <a:off x="0" y="0"/>
                            <a:ext cx="95250" cy="438150"/>
                          </a:xfrm>
                          <a:prstGeom prst="rect">
                            <a:avLst/>
                          </a:prstGeom>
                        </pic:spPr>
                      </pic:pic>
                    </a:graphicData>
                  </a:graphic>
                </wp:inline>
              </w:drawing>
            </w:r>
            <w:bookmarkStart w:id="85" w:name="i-73"/>
            <w:bookmarkEnd w:id="85"/>
          </w:p>
        </w:tc>
        <w:tc>
          <w:tcPr>
            <w:tcW w:w="361" w:type="dxa"/>
            <w:gridSpan w:val="3"/>
            <w:vMerge w:val="restart"/>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10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74" descr=""/>
                          <pic:cNvPicPr>
                            <a:picLocks noChangeAspect="1" noChangeArrowheads="1"/>
                          </pic:cNvPicPr>
                        </pic:nvPicPr>
                        <pic:blipFill>
                          <a:blip r:embed="rId88"/>
                          <a:stretch>
                            <a:fillRect/>
                          </a:stretch>
                        </pic:blipFill>
                        <pic:spPr bwMode="auto">
                          <a:xfrm>
                            <a:off x="0" y="0"/>
                            <a:ext cx="95250" cy="438150"/>
                          </a:xfrm>
                          <a:prstGeom prst="rect">
                            <a:avLst/>
                          </a:prstGeom>
                        </pic:spPr>
                      </pic:pic>
                    </a:graphicData>
                  </a:graphic>
                </wp:inline>
              </w:drawing>
            </w:r>
            <w:bookmarkStart w:id="86" w:name="i-74"/>
            <w:bookmarkEnd w:id="86"/>
          </w:p>
        </w:tc>
        <w:tc>
          <w:tcPr>
            <w:tcW w:w="361" w:type="dxa"/>
            <w:gridSpan w:val="3"/>
            <w:vMerge w:val="restart"/>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10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75" descr=""/>
                          <pic:cNvPicPr>
                            <a:picLocks noChangeAspect="1" noChangeArrowheads="1"/>
                          </pic:cNvPicPr>
                        </pic:nvPicPr>
                        <pic:blipFill>
                          <a:blip r:embed="rId89"/>
                          <a:stretch>
                            <a:fillRect/>
                          </a:stretch>
                        </pic:blipFill>
                        <pic:spPr bwMode="auto">
                          <a:xfrm>
                            <a:off x="0" y="0"/>
                            <a:ext cx="95250" cy="438150"/>
                          </a:xfrm>
                          <a:prstGeom prst="rect">
                            <a:avLst/>
                          </a:prstGeom>
                        </pic:spPr>
                      </pic:pic>
                    </a:graphicData>
                  </a:graphic>
                </wp:inline>
              </w:drawing>
            </w:r>
            <w:bookmarkStart w:id="87" w:name="i-75"/>
            <w:bookmarkEnd w:id="87"/>
          </w:p>
        </w:tc>
        <w:tc>
          <w:tcPr>
            <w:tcW w:w="361" w:type="dxa"/>
            <w:gridSpan w:val="3"/>
            <w:vMerge w:val="restart"/>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10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76" descr=""/>
                          <pic:cNvPicPr>
                            <a:picLocks noChangeAspect="1" noChangeArrowheads="1"/>
                          </pic:cNvPicPr>
                        </pic:nvPicPr>
                        <pic:blipFill>
                          <a:blip r:embed="rId90"/>
                          <a:stretch>
                            <a:fillRect/>
                          </a:stretch>
                        </pic:blipFill>
                        <pic:spPr bwMode="auto">
                          <a:xfrm>
                            <a:off x="0" y="0"/>
                            <a:ext cx="95250" cy="438150"/>
                          </a:xfrm>
                          <a:prstGeom prst="rect">
                            <a:avLst/>
                          </a:prstGeom>
                        </pic:spPr>
                      </pic:pic>
                    </a:graphicData>
                  </a:graphic>
                </wp:inline>
              </w:drawing>
            </w:r>
            <w:bookmarkStart w:id="88" w:name="i-76"/>
            <w:bookmarkEnd w:id="88"/>
          </w:p>
        </w:tc>
        <w:tc>
          <w:tcPr>
            <w:tcW w:w="361" w:type="dxa"/>
            <w:gridSpan w:val="3"/>
            <w:vMerge w:val="restart"/>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10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77" descr=""/>
                          <pic:cNvPicPr>
                            <a:picLocks noChangeAspect="1" noChangeArrowheads="1"/>
                          </pic:cNvPicPr>
                        </pic:nvPicPr>
                        <pic:blipFill>
                          <a:blip r:embed="rId91"/>
                          <a:stretch>
                            <a:fillRect/>
                          </a:stretch>
                        </pic:blipFill>
                        <pic:spPr bwMode="auto">
                          <a:xfrm>
                            <a:off x="0" y="0"/>
                            <a:ext cx="95250" cy="438150"/>
                          </a:xfrm>
                          <a:prstGeom prst="rect">
                            <a:avLst/>
                          </a:prstGeom>
                        </pic:spPr>
                      </pic:pic>
                    </a:graphicData>
                  </a:graphic>
                </wp:inline>
              </w:drawing>
            </w:r>
            <w:bookmarkStart w:id="89" w:name="i-77"/>
            <w:bookmarkEnd w:id="89"/>
          </w:p>
        </w:tc>
        <w:tc>
          <w:tcPr>
            <w:tcW w:w="361" w:type="dxa"/>
            <w:gridSpan w:val="3"/>
            <w:vMerge w:val="restart"/>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10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78" descr=""/>
                          <pic:cNvPicPr>
                            <a:picLocks noChangeAspect="1" noChangeArrowheads="1"/>
                          </pic:cNvPicPr>
                        </pic:nvPicPr>
                        <pic:blipFill>
                          <a:blip r:embed="rId92"/>
                          <a:stretch>
                            <a:fillRect/>
                          </a:stretch>
                        </pic:blipFill>
                        <pic:spPr bwMode="auto">
                          <a:xfrm>
                            <a:off x="0" y="0"/>
                            <a:ext cx="95250" cy="438150"/>
                          </a:xfrm>
                          <a:prstGeom prst="rect">
                            <a:avLst/>
                          </a:prstGeom>
                        </pic:spPr>
                      </pic:pic>
                    </a:graphicData>
                  </a:graphic>
                </wp:inline>
              </w:drawing>
            </w:r>
            <w:bookmarkStart w:id="90" w:name="i-78"/>
            <w:bookmarkEnd w:id="90"/>
          </w:p>
        </w:tc>
        <w:tc>
          <w:tcPr>
            <w:tcW w:w="361" w:type="dxa"/>
            <w:gridSpan w:val="3"/>
            <w:vMerge w:val="restart"/>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10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79" descr=""/>
                          <pic:cNvPicPr>
                            <a:picLocks noChangeAspect="1" noChangeArrowheads="1"/>
                          </pic:cNvPicPr>
                        </pic:nvPicPr>
                        <pic:blipFill>
                          <a:blip r:embed="rId93"/>
                          <a:stretch>
                            <a:fillRect/>
                          </a:stretch>
                        </pic:blipFill>
                        <pic:spPr bwMode="auto">
                          <a:xfrm>
                            <a:off x="0" y="0"/>
                            <a:ext cx="95250" cy="438150"/>
                          </a:xfrm>
                          <a:prstGeom prst="rect">
                            <a:avLst/>
                          </a:prstGeom>
                        </pic:spPr>
                      </pic:pic>
                    </a:graphicData>
                  </a:graphic>
                </wp:inline>
              </w:drawing>
            </w:r>
            <w:bookmarkStart w:id="91" w:name="i-79"/>
            <w:bookmarkEnd w:id="91"/>
          </w:p>
        </w:tc>
        <w:tc>
          <w:tcPr>
            <w:tcW w:w="361" w:type="dxa"/>
            <w:gridSpan w:val="3"/>
            <w:vMerge w:val="restart"/>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11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80" descr=""/>
                          <pic:cNvPicPr>
                            <a:picLocks noChangeAspect="1" noChangeArrowheads="1"/>
                          </pic:cNvPicPr>
                        </pic:nvPicPr>
                        <pic:blipFill>
                          <a:blip r:embed="rId94"/>
                          <a:stretch>
                            <a:fillRect/>
                          </a:stretch>
                        </pic:blipFill>
                        <pic:spPr bwMode="auto">
                          <a:xfrm>
                            <a:off x="0" y="0"/>
                            <a:ext cx="95250" cy="438150"/>
                          </a:xfrm>
                          <a:prstGeom prst="rect">
                            <a:avLst/>
                          </a:prstGeom>
                        </pic:spPr>
                      </pic:pic>
                    </a:graphicData>
                  </a:graphic>
                </wp:inline>
              </w:drawing>
            </w:r>
            <w:bookmarkStart w:id="92" w:name="i-80"/>
            <w:bookmarkEnd w:id="92"/>
          </w:p>
        </w:tc>
        <w:tc>
          <w:tcPr>
            <w:tcW w:w="361" w:type="dxa"/>
            <w:gridSpan w:val="3"/>
            <w:vMerge w:val="restart"/>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11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81" descr=""/>
                          <pic:cNvPicPr>
                            <a:picLocks noChangeAspect="1" noChangeArrowheads="1"/>
                          </pic:cNvPicPr>
                        </pic:nvPicPr>
                        <pic:blipFill>
                          <a:blip r:embed="rId95"/>
                          <a:stretch>
                            <a:fillRect/>
                          </a:stretch>
                        </pic:blipFill>
                        <pic:spPr bwMode="auto">
                          <a:xfrm>
                            <a:off x="0" y="0"/>
                            <a:ext cx="95250" cy="438150"/>
                          </a:xfrm>
                          <a:prstGeom prst="rect">
                            <a:avLst/>
                          </a:prstGeom>
                        </pic:spPr>
                      </pic:pic>
                    </a:graphicData>
                  </a:graphic>
                </wp:inline>
              </w:drawing>
            </w:r>
            <w:bookmarkStart w:id="93" w:name="i-81"/>
            <w:bookmarkEnd w:id="93"/>
          </w:p>
        </w:tc>
        <w:tc>
          <w:tcPr>
            <w:tcW w:w="361" w:type="dxa"/>
            <w:gridSpan w:val="3"/>
            <w:vMerge w:val="restart"/>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11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82" descr=""/>
                          <pic:cNvPicPr>
                            <a:picLocks noChangeAspect="1" noChangeArrowheads="1"/>
                          </pic:cNvPicPr>
                        </pic:nvPicPr>
                        <pic:blipFill>
                          <a:blip r:embed="rId96"/>
                          <a:stretch>
                            <a:fillRect/>
                          </a:stretch>
                        </pic:blipFill>
                        <pic:spPr bwMode="auto">
                          <a:xfrm>
                            <a:off x="0" y="0"/>
                            <a:ext cx="95250" cy="438150"/>
                          </a:xfrm>
                          <a:prstGeom prst="rect">
                            <a:avLst/>
                          </a:prstGeom>
                        </pic:spPr>
                      </pic:pic>
                    </a:graphicData>
                  </a:graphic>
                </wp:inline>
              </w:drawing>
            </w:r>
            <w:bookmarkStart w:id="94" w:name="i-82"/>
            <w:bookmarkEnd w:id="94"/>
          </w:p>
        </w:tc>
        <w:tc>
          <w:tcPr>
            <w:tcW w:w="361" w:type="dxa"/>
            <w:gridSpan w:val="3"/>
            <w:vMerge w:val="restart"/>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11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83" descr=""/>
                          <pic:cNvPicPr>
                            <a:picLocks noChangeAspect="1" noChangeArrowheads="1"/>
                          </pic:cNvPicPr>
                        </pic:nvPicPr>
                        <pic:blipFill>
                          <a:blip r:embed="rId97"/>
                          <a:stretch>
                            <a:fillRect/>
                          </a:stretch>
                        </pic:blipFill>
                        <pic:spPr bwMode="auto">
                          <a:xfrm>
                            <a:off x="0" y="0"/>
                            <a:ext cx="95250" cy="438150"/>
                          </a:xfrm>
                          <a:prstGeom prst="rect">
                            <a:avLst/>
                          </a:prstGeom>
                        </pic:spPr>
                      </pic:pic>
                    </a:graphicData>
                  </a:graphic>
                </wp:inline>
              </w:drawing>
            </w:r>
            <w:bookmarkStart w:id="95" w:name="i-83"/>
            <w:bookmarkEnd w:id="95"/>
          </w:p>
        </w:tc>
        <w:tc>
          <w:tcPr>
            <w:tcW w:w="408" w:type="dxa"/>
            <w:gridSpan w:val="3"/>
            <w:vMerge w:val="restart"/>
            <w:tcBorders/>
            <w:shd w:fill="1946C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438150"/>
                  <wp:effectExtent l="0" t="0" r="0" b="0"/>
                  <wp:docPr id="11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84" descr=""/>
                          <pic:cNvPicPr>
                            <a:picLocks noChangeAspect="1" noChangeArrowheads="1"/>
                          </pic:cNvPicPr>
                        </pic:nvPicPr>
                        <pic:blipFill>
                          <a:blip r:embed="rId98"/>
                          <a:stretch>
                            <a:fillRect/>
                          </a:stretch>
                        </pic:blipFill>
                        <pic:spPr bwMode="auto">
                          <a:xfrm>
                            <a:off x="0" y="0"/>
                            <a:ext cx="95250" cy="438150"/>
                          </a:xfrm>
                          <a:prstGeom prst="rect">
                            <a:avLst/>
                          </a:prstGeom>
                        </pic:spPr>
                      </pic:pic>
                    </a:graphicData>
                  </a:graphic>
                </wp:inline>
              </w:drawing>
            </w:r>
            <w:bookmarkStart w:id="96" w:name="i-84"/>
            <w:bookmarkEnd w:id="96"/>
          </w:p>
        </w:tc>
      </w:tr>
      <w:tr>
        <w:trPr/>
        <w:tc>
          <w:tcPr>
            <w:tcW w:w="59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61"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61"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61"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61"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61"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61"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61"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61"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61"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61"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408"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r>
      <w:tr>
        <w:trPr/>
        <w:tc>
          <w:tcPr>
            <w:tcW w:w="596" w:type="dxa"/>
            <w:gridSpan w:val="3"/>
            <w:tcBorders/>
            <w:shd w:fill="ECF8F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14325" cy="314325"/>
                  <wp:effectExtent l="0" t="0" r="0" b="0"/>
                  <wp:docPr id="11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85" descr=""/>
                          <pic:cNvPicPr>
                            <a:picLocks noChangeAspect="1" noChangeArrowheads="1"/>
                          </pic:cNvPicPr>
                        </pic:nvPicPr>
                        <pic:blipFill>
                          <a:blip r:embed="rId99"/>
                          <a:stretch>
                            <a:fillRect/>
                          </a:stretch>
                        </pic:blipFill>
                        <pic:spPr bwMode="auto">
                          <a:xfrm>
                            <a:off x="0" y="0"/>
                            <a:ext cx="314325" cy="314325"/>
                          </a:xfrm>
                          <a:prstGeom prst="rect">
                            <a:avLst/>
                          </a:prstGeom>
                        </pic:spPr>
                      </pic:pic>
                    </a:graphicData>
                  </a:graphic>
                </wp:inline>
              </w:drawing>
            </w:r>
            <w:bookmarkStart w:id="97" w:name="i-85"/>
            <w:bookmarkEnd w:id="97"/>
          </w:p>
        </w:tc>
        <w:tc>
          <w:tcPr>
            <w:tcW w:w="5230"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1946C8"/>
                <w:sz w:val="15"/>
              </w:rPr>
            </w:pPr>
            <w:r>
              <w:rPr>
                <w:rFonts w:ascii="Roboto;sans-serif" w:hAnsi="Roboto;sans-serif"/>
                <w:b/>
                <w:color w:val="1946C8"/>
                <w:sz w:val="15"/>
              </w:rPr>
              <w:t>Real Estate &amp; Construction</w:t>
            </w:r>
          </w:p>
          <w:p>
            <w:pPr>
              <w:pStyle w:val="TableContents"/>
              <w:bidi w:val="0"/>
              <w:spacing w:lineRule="auto" w:line="312" w:before="0" w:after="0"/>
              <w:jc w:val="left"/>
              <w:rPr>
                <w:rFonts w:ascii="Roboto;sans-serif" w:hAnsi="Roboto;sans-serif"/>
                <w:b w:val="false"/>
                <w:color w:val="000000"/>
                <w:sz w:val="15"/>
              </w:rPr>
            </w:pPr>
            <w:r>
              <w:rPr>
                <w:rFonts w:ascii="Roboto;sans-serif" w:hAnsi="Roboto;sans-serif"/>
                <w:b w:val="false"/>
                <w:color w:val="000000"/>
                <w:sz w:val="15"/>
              </w:rPr>
              <w:t xml:space="preserve">Experience across the real estate sourcing, development, and construction spectrum, from site acquisition to property delivery. </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0"/>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408"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14325" cy="314325"/>
                  <wp:effectExtent l="0" t="0" r="0" b="0"/>
                  <wp:docPr id="11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86" descr=""/>
                          <pic:cNvPicPr>
                            <a:picLocks noChangeAspect="1" noChangeArrowheads="1"/>
                          </pic:cNvPicPr>
                        </pic:nvPicPr>
                        <pic:blipFill>
                          <a:blip r:embed="rId100"/>
                          <a:stretch>
                            <a:fillRect/>
                          </a:stretch>
                        </pic:blipFill>
                        <pic:spPr bwMode="auto">
                          <a:xfrm>
                            <a:off x="0" y="0"/>
                            <a:ext cx="314325" cy="314325"/>
                          </a:xfrm>
                          <a:prstGeom prst="rect">
                            <a:avLst/>
                          </a:prstGeom>
                        </pic:spPr>
                      </pic:pic>
                    </a:graphicData>
                  </a:graphic>
                </wp:inline>
              </w:drawing>
            </w:r>
            <w:bookmarkStart w:id="98" w:name="i-86"/>
            <w:bookmarkEnd w:id="98"/>
          </w:p>
        </w:tc>
        <w:tc>
          <w:tcPr>
            <w:tcW w:w="523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1946C8"/>
                <w:sz w:val="15"/>
              </w:rPr>
            </w:pPr>
            <w:r>
              <w:rPr>
                <w:rFonts w:ascii="Roboto;sans-serif" w:hAnsi="Roboto;sans-serif"/>
                <w:b/>
                <w:color w:val="1946C8"/>
                <w:sz w:val="15"/>
              </w:rPr>
              <w:t>Risk Management</w:t>
            </w:r>
          </w:p>
          <w:p>
            <w:pPr>
              <w:pStyle w:val="TableContents"/>
              <w:bidi w:val="0"/>
              <w:spacing w:lineRule="auto" w:line="312" w:before="0" w:after="0"/>
              <w:jc w:val="left"/>
              <w:rPr>
                <w:rFonts w:ascii="Roboto;sans-serif" w:hAnsi="Roboto;sans-serif"/>
                <w:b w:val="false"/>
                <w:color w:val="000000"/>
                <w:sz w:val="15"/>
              </w:rPr>
            </w:pPr>
            <w:r>
              <w:rPr>
                <w:rFonts w:ascii="Roboto;sans-serif" w:hAnsi="Roboto;sans-serif"/>
                <w:b w:val="false"/>
                <w:color w:val="000000"/>
                <w:sz w:val="15"/>
              </w:rPr>
              <w:t xml:space="preserve">Experience with leading corporate risk management frameworks to drive operational, financial, and strategic risk mitigation across business environments. </w:t>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0"/>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shd w:fill="ECF8F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14325" cy="314325"/>
                  <wp:effectExtent l="0" t="0" r="0" b="0"/>
                  <wp:docPr id="11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87" descr=""/>
                          <pic:cNvPicPr>
                            <a:picLocks noChangeAspect="1" noChangeArrowheads="1"/>
                          </pic:cNvPicPr>
                        </pic:nvPicPr>
                        <pic:blipFill>
                          <a:blip r:embed="rId101"/>
                          <a:stretch>
                            <a:fillRect/>
                          </a:stretch>
                        </pic:blipFill>
                        <pic:spPr bwMode="auto">
                          <a:xfrm>
                            <a:off x="0" y="0"/>
                            <a:ext cx="314325" cy="314325"/>
                          </a:xfrm>
                          <a:prstGeom prst="rect">
                            <a:avLst/>
                          </a:prstGeom>
                        </pic:spPr>
                      </pic:pic>
                    </a:graphicData>
                  </a:graphic>
                </wp:inline>
              </w:drawing>
            </w:r>
            <w:bookmarkStart w:id="99" w:name="i-87"/>
            <w:bookmarkEnd w:id="99"/>
          </w:p>
        </w:tc>
        <w:tc>
          <w:tcPr>
            <w:tcW w:w="5230"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1946C8"/>
                <w:sz w:val="15"/>
              </w:rPr>
            </w:pPr>
            <w:r>
              <w:rPr>
                <w:rFonts w:ascii="Roboto;sans-serif" w:hAnsi="Roboto;sans-serif"/>
                <w:b/>
                <w:color w:val="1946C8"/>
                <w:sz w:val="15"/>
              </w:rPr>
              <w:t>Sourcing/Manufacturing</w:t>
            </w:r>
          </w:p>
          <w:p>
            <w:pPr>
              <w:pStyle w:val="TableContents"/>
              <w:bidi w:val="0"/>
              <w:spacing w:lineRule="auto" w:line="312" w:before="0" w:after="0"/>
              <w:jc w:val="left"/>
              <w:rPr>
                <w:rFonts w:ascii="Roboto;sans-serif" w:hAnsi="Roboto;sans-serif"/>
                <w:b w:val="false"/>
                <w:color w:val="000000"/>
                <w:sz w:val="15"/>
              </w:rPr>
            </w:pPr>
            <w:r>
              <w:rPr>
                <w:rFonts w:ascii="Roboto;sans-serif" w:hAnsi="Roboto;sans-serif"/>
                <w:b w:val="false"/>
                <w:color w:val="000000"/>
                <w:sz w:val="15"/>
              </w:rPr>
              <w:t>Experience with retail sourcing and manufacturing, including identifying and acquiring products from product manufacturers or suppliers to sell in retail stores.</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0"/>
              <w:jc w:val="center"/>
              <w:rPr/>
            </w:pPr>
            <w:r>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408"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r>
      <w:tr>
        <w:trPr/>
        <w:tc>
          <w:tcPr>
            <w:tcW w:w="5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14325" cy="314325"/>
                  <wp:effectExtent l="0" t="0" r="0" b="0"/>
                  <wp:docPr id="11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88" descr=""/>
                          <pic:cNvPicPr>
                            <a:picLocks noChangeAspect="1" noChangeArrowheads="1"/>
                          </pic:cNvPicPr>
                        </pic:nvPicPr>
                        <pic:blipFill>
                          <a:blip r:embed="rId102"/>
                          <a:stretch>
                            <a:fillRect/>
                          </a:stretch>
                        </pic:blipFill>
                        <pic:spPr bwMode="auto">
                          <a:xfrm>
                            <a:off x="0" y="0"/>
                            <a:ext cx="314325" cy="314325"/>
                          </a:xfrm>
                          <a:prstGeom prst="rect">
                            <a:avLst/>
                          </a:prstGeom>
                        </pic:spPr>
                      </pic:pic>
                    </a:graphicData>
                  </a:graphic>
                </wp:inline>
              </w:drawing>
            </w:r>
            <w:bookmarkStart w:id="100" w:name="i-88"/>
            <w:bookmarkEnd w:id="100"/>
          </w:p>
        </w:tc>
        <w:tc>
          <w:tcPr>
            <w:tcW w:w="523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1946C8"/>
                <w:sz w:val="15"/>
              </w:rPr>
            </w:pPr>
            <w:r>
              <w:rPr>
                <w:rFonts w:ascii="Roboto;sans-serif" w:hAnsi="Roboto;sans-serif"/>
                <w:b/>
                <w:color w:val="1946C8"/>
                <w:sz w:val="15"/>
              </w:rPr>
              <w:t>Store Operations</w:t>
            </w:r>
          </w:p>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Experience with optimizing operations within large-scale specialty retail store environments, with a deep understanding of in-store dynamics and customer experience factors.</w:t>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408"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r>
      <w:tr>
        <w:trPr/>
        <w:tc>
          <w:tcPr>
            <w:tcW w:w="596" w:type="dxa"/>
            <w:gridSpan w:val="3"/>
            <w:tcBorders/>
            <w:shd w:fill="ECF8F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14325" cy="314325"/>
                  <wp:effectExtent l="0" t="0" r="0" b="0"/>
                  <wp:docPr id="11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89" descr=""/>
                          <pic:cNvPicPr>
                            <a:picLocks noChangeAspect="1" noChangeArrowheads="1"/>
                          </pic:cNvPicPr>
                        </pic:nvPicPr>
                        <pic:blipFill>
                          <a:blip r:embed="rId103"/>
                          <a:stretch>
                            <a:fillRect/>
                          </a:stretch>
                        </pic:blipFill>
                        <pic:spPr bwMode="auto">
                          <a:xfrm>
                            <a:off x="0" y="0"/>
                            <a:ext cx="314325" cy="314325"/>
                          </a:xfrm>
                          <a:prstGeom prst="rect">
                            <a:avLst/>
                          </a:prstGeom>
                        </pic:spPr>
                      </pic:pic>
                    </a:graphicData>
                  </a:graphic>
                </wp:inline>
              </w:drawing>
            </w:r>
            <w:bookmarkStart w:id="101" w:name="i-89"/>
            <w:bookmarkEnd w:id="101"/>
          </w:p>
        </w:tc>
        <w:tc>
          <w:tcPr>
            <w:tcW w:w="5230"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1946C8"/>
                <w:sz w:val="15"/>
              </w:rPr>
            </w:pPr>
            <w:r>
              <w:rPr>
                <w:rFonts w:ascii="Roboto;sans-serif" w:hAnsi="Roboto;sans-serif"/>
                <w:b/>
                <w:color w:val="1946C8"/>
                <w:sz w:val="15"/>
              </w:rPr>
              <w:t>Strategic Planning</w:t>
            </w:r>
          </w:p>
          <w:p>
            <w:pPr>
              <w:pStyle w:val="TableContents"/>
              <w:bidi w:val="0"/>
              <w:spacing w:lineRule="auto" w:line="312" w:before="0" w:after="0"/>
              <w:jc w:val="left"/>
              <w:rPr>
                <w:rFonts w:ascii="Roboto;sans-serif" w:hAnsi="Roboto;sans-serif"/>
                <w:b w:val="false"/>
                <w:color w:val="000000"/>
                <w:sz w:val="15"/>
              </w:rPr>
            </w:pPr>
            <w:r>
              <w:rPr>
                <w:rFonts w:ascii="Roboto;sans-serif" w:hAnsi="Roboto;sans-serif"/>
                <w:b w:val="false"/>
                <w:color w:val="000000"/>
                <w:sz w:val="15"/>
              </w:rPr>
              <w:t>Experience developing and executing long-term strategic plans to achieve sustainable growth, by identifying key strategic priorities, setting goals, and monitoring progress.</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0"/>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408"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r>
      <w:tr>
        <w:trPr/>
        <w:tc>
          <w:tcPr>
            <w:tcW w:w="5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14325" cy="314325"/>
                  <wp:effectExtent l="0" t="0" r="0" b="0"/>
                  <wp:docPr id="12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90" descr=""/>
                          <pic:cNvPicPr>
                            <a:picLocks noChangeAspect="1" noChangeArrowheads="1"/>
                          </pic:cNvPicPr>
                        </pic:nvPicPr>
                        <pic:blipFill>
                          <a:blip r:embed="rId104"/>
                          <a:stretch>
                            <a:fillRect/>
                          </a:stretch>
                        </pic:blipFill>
                        <pic:spPr bwMode="auto">
                          <a:xfrm>
                            <a:off x="0" y="0"/>
                            <a:ext cx="314325" cy="314325"/>
                          </a:xfrm>
                          <a:prstGeom prst="rect">
                            <a:avLst/>
                          </a:prstGeom>
                        </pic:spPr>
                      </pic:pic>
                    </a:graphicData>
                  </a:graphic>
                </wp:inline>
              </w:drawing>
            </w:r>
            <w:bookmarkStart w:id="102" w:name="i-90"/>
            <w:bookmarkEnd w:id="102"/>
          </w:p>
        </w:tc>
        <w:tc>
          <w:tcPr>
            <w:tcW w:w="523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1946C8"/>
                <w:sz w:val="15"/>
              </w:rPr>
            </w:pPr>
            <w:r>
              <w:rPr>
                <w:rFonts w:ascii="Roboto;sans-serif" w:hAnsi="Roboto;sans-serif"/>
                <w:b/>
                <w:color w:val="1946C8"/>
                <w:sz w:val="15"/>
              </w:rPr>
              <w:t>Supply Chain/Logistics</w:t>
            </w:r>
          </w:p>
          <w:p>
            <w:pPr>
              <w:pStyle w:val="TableContents"/>
              <w:bidi w:val="0"/>
              <w:spacing w:lineRule="auto" w:line="312" w:before="0" w:after="0"/>
              <w:jc w:val="left"/>
              <w:rPr>
                <w:rFonts w:ascii="Roboto;sans-serif" w:hAnsi="Roboto;sans-serif"/>
                <w:b w:val="false"/>
                <w:color w:val="000000"/>
                <w:sz w:val="15"/>
              </w:rPr>
            </w:pPr>
            <w:r>
              <w:rPr>
                <w:rFonts w:ascii="Roboto;sans-serif" w:hAnsi="Roboto;sans-serif"/>
                <w:b w:val="false"/>
                <w:color w:val="000000"/>
                <w:sz w:val="15"/>
              </w:rPr>
              <w:t>Experience managing the flow of goods from sourcing to final delivery, including inventory control, procurement, warehousing, transportation, and distribution planning.</w:t>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tcBorders>
            <w:tcMar>
              <w:top w:w="0" w:type="dxa"/>
              <w:bottom w:w="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408" w:type="dxa"/>
            <w:gridSpan w:val="3"/>
            <w:tcBorders>
              <w:left w:val="single" w:sz="4" w:space="0" w:color="96D0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bottom w:val="single" w:sz="12" w:space="0" w:color="E81111"/>
            </w:tcBorders>
            <w:shd w:fill="ECF8FE" w:val="clear"/>
            <w:tcMar>
              <w:top w:w="0" w:type="dxa"/>
              <w:left w:w="0" w:type="dxa"/>
              <w:right w:w="0" w:type="dxa"/>
            </w:tcMar>
            <w:vAlign w:val="center"/>
          </w:tcPr>
          <w:p>
            <w:pPr>
              <w:pStyle w:val="TableContents"/>
              <w:bidi w:val="0"/>
              <w:spacing w:before="0" w:after="0"/>
              <w:jc w:val="center"/>
              <w:rPr/>
            </w:pPr>
            <w:r>
              <w:rPr/>
              <w:drawing>
                <wp:inline distT="0" distB="0" distL="0" distR="0">
                  <wp:extent cx="314325" cy="314325"/>
                  <wp:effectExtent l="0" t="0" r="0" b="0"/>
                  <wp:docPr id="12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91" descr=""/>
                          <pic:cNvPicPr>
                            <a:picLocks noChangeAspect="1" noChangeArrowheads="1"/>
                          </pic:cNvPicPr>
                        </pic:nvPicPr>
                        <pic:blipFill>
                          <a:blip r:embed="rId105"/>
                          <a:stretch>
                            <a:fillRect/>
                          </a:stretch>
                        </pic:blipFill>
                        <pic:spPr bwMode="auto">
                          <a:xfrm>
                            <a:off x="0" y="0"/>
                            <a:ext cx="314325" cy="314325"/>
                          </a:xfrm>
                          <a:prstGeom prst="rect">
                            <a:avLst/>
                          </a:prstGeom>
                        </pic:spPr>
                      </pic:pic>
                    </a:graphicData>
                  </a:graphic>
                </wp:inline>
              </w:drawing>
            </w:r>
            <w:bookmarkStart w:id="103" w:name="i-91"/>
            <w:bookmarkEnd w:id="103"/>
          </w:p>
        </w:tc>
        <w:tc>
          <w:tcPr>
            <w:tcW w:w="5230" w:type="dxa"/>
            <w:gridSpan w:val="3"/>
            <w:tcBorders>
              <w:bottom w:val="single" w:sz="12" w:space="0" w:color="E81111"/>
            </w:tcBorders>
            <w:shd w:fill="ECF8FE" w:val="clear"/>
            <w:tcMar>
              <w:top w:w="0" w:type="dxa"/>
              <w:left w:w="0" w:type="dxa"/>
              <w:bottom w:w="30" w:type="dxa"/>
              <w:right w:w="0" w:type="dxa"/>
            </w:tcMar>
            <w:vAlign w:val="center"/>
          </w:tcPr>
          <w:p>
            <w:pPr>
              <w:pStyle w:val="TableContents"/>
              <w:bidi w:val="0"/>
              <w:spacing w:lineRule="auto" w:line="312" w:before="0" w:after="0"/>
              <w:jc w:val="left"/>
              <w:rPr>
                <w:rFonts w:ascii="Roboto;sans-serif" w:hAnsi="Roboto;sans-serif"/>
                <w:b/>
                <w:color w:val="1946C8"/>
                <w:sz w:val="16"/>
              </w:rPr>
            </w:pPr>
            <w:r>
              <w:rPr>
                <w:rFonts w:ascii="Roboto;sans-serif" w:hAnsi="Roboto;sans-serif"/>
                <w:b/>
                <w:color w:val="1946C8"/>
                <w:sz w:val="16"/>
              </w:rPr>
              <w:t>Technology</w:t>
            </w:r>
          </w:p>
          <w:p>
            <w:pPr>
              <w:pStyle w:val="TableContents"/>
              <w:bidi w:val="0"/>
              <w:spacing w:lineRule="auto" w:line="312" w:before="0" w:after="0"/>
              <w:jc w:val="left"/>
              <w:rPr>
                <w:rFonts w:ascii="Roboto;sans-serif" w:hAnsi="Roboto;sans-serif"/>
                <w:b w:val="false"/>
                <w:color w:val="000000"/>
                <w:sz w:val="15"/>
              </w:rPr>
            </w:pPr>
            <w:r>
              <w:rPr>
                <w:rFonts w:ascii="Roboto;sans-serif" w:hAnsi="Roboto;sans-serif"/>
                <w:b w:val="false"/>
                <w:color w:val="000000"/>
                <w:sz w:val="15"/>
              </w:rPr>
              <w:t xml:space="preserve">Experience managing technology infrastructure, systems, and/or teams, developing technology strategies, and aligning technology initiatives to support overall business goals. </w:t>
            </w:r>
          </w:p>
        </w:tc>
        <w:tc>
          <w:tcPr>
            <w:tcW w:w="361" w:type="dxa"/>
            <w:gridSpan w:val="3"/>
            <w:tcBorders>
              <w:left w:val="single" w:sz="4" w:space="0" w:color="96D0FF"/>
              <w:bottom w:val="single" w:sz="12" w:space="0" w:color="E81111"/>
            </w:tcBorders>
            <w:shd w:fill="ECF8FE" w:val="clear"/>
            <w:tcMar>
              <w:top w:w="0" w:type="dxa"/>
              <w:bottom w:w="3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bottom w:val="single" w:sz="12" w:space="0" w:color="E81111"/>
            </w:tcBorders>
            <w:shd w:fill="ECF8FE" w:val="clear"/>
            <w:tcMar>
              <w:top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bottom w:val="single" w:sz="12" w:space="0" w:color="E81111"/>
            </w:tcBorders>
            <w:shd w:fill="ECF8FE" w:val="clear"/>
            <w:tcMar>
              <w:top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bottom w:val="single" w:sz="12" w:space="0" w:color="E81111"/>
            </w:tcBorders>
            <w:shd w:fill="ECF8FE" w:val="clear"/>
            <w:tcMar>
              <w:top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bottom w:val="single" w:sz="12" w:space="0" w:color="E81111"/>
            </w:tcBorders>
            <w:shd w:fill="ECF8FE" w:val="clear"/>
            <w:tcMar>
              <w:top w:w="0" w:type="dxa"/>
              <w:bottom w:w="30" w:type="dxa"/>
              <w:right w:w="0" w:type="dxa"/>
            </w:tcMar>
            <w:vAlign w:val="center"/>
          </w:tcPr>
          <w:p>
            <w:pPr>
              <w:pStyle w:val="TableContents"/>
              <w:bidi w:val="0"/>
              <w:spacing w:lineRule="auto" w:line="240" w:before="0" w:after="0"/>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bottom w:val="single" w:sz="12" w:space="0" w:color="E81111"/>
            </w:tcBorders>
            <w:shd w:fill="ECF8FE" w:val="clear"/>
            <w:tcMar>
              <w:top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bottom w:val="single" w:sz="12" w:space="0" w:color="E81111"/>
            </w:tcBorders>
            <w:shd w:fill="ECF8FE" w:val="clear"/>
            <w:tcMar>
              <w:top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left w:val="single" w:sz="4" w:space="0" w:color="96D0FF"/>
              <w:bottom w:val="single" w:sz="12" w:space="0" w:color="E81111"/>
            </w:tcBorders>
            <w:shd w:fill="ECF8FE" w:val="clear"/>
            <w:tcMar>
              <w:top w:w="0" w:type="dxa"/>
              <w:bottom w:w="3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bottom w:val="single" w:sz="12" w:space="0" w:color="E81111"/>
            </w:tcBorders>
            <w:shd w:fill="ECF8FE" w:val="clear"/>
            <w:tcMar>
              <w:top w:w="0" w:type="dxa"/>
              <w:bottom w:w="30" w:type="dxa"/>
              <w:right w:w="0" w:type="dxa"/>
            </w:tcMar>
            <w:vAlign w:val="center"/>
          </w:tcPr>
          <w:p>
            <w:pPr>
              <w:pStyle w:val="TableContents"/>
              <w:bidi w:val="0"/>
              <w:spacing w:lineRule="auto" w:line="240" w:before="0" w:after="283"/>
              <w:jc w:val="center"/>
              <w:rPr>
                <w:rFonts w:ascii="Wingdings;sans-serif" w:hAnsi="Wingdings;sans-serif"/>
                <w:b/>
                <w:color w:val="E81111"/>
                <w:sz w:val="28"/>
              </w:rPr>
            </w:pPr>
            <w:r>
              <w:rPr>
                <w:rFonts w:ascii="Wingdings;sans-serif" w:hAnsi="Wingdings;sans-serif"/>
                <w:b/>
                <w:color w:val="E81111"/>
                <w:sz w:val="28"/>
              </w:rPr>
              <w:t>«</w:t>
            </w:r>
          </w:p>
        </w:tc>
        <w:tc>
          <w:tcPr>
            <w:tcW w:w="361" w:type="dxa"/>
            <w:gridSpan w:val="3"/>
            <w:tcBorders>
              <w:left w:val="single" w:sz="4" w:space="0" w:color="96D0FF"/>
              <w:bottom w:val="single" w:sz="12" w:space="0" w:color="E81111"/>
            </w:tcBorders>
            <w:shd w:fill="ECF8FE" w:val="clear"/>
            <w:tcMar>
              <w:top w:w="0" w:type="dxa"/>
              <w:bottom w:w="30" w:type="dxa"/>
              <w:right w:w="0" w:type="dxa"/>
            </w:tcMar>
            <w:vAlign w:val="center"/>
          </w:tcPr>
          <w:p>
            <w:pPr>
              <w:pStyle w:val="TableContents"/>
              <w:bidi w:val="0"/>
              <w:spacing w:lineRule="auto" w:line="240" w:before="0" w:after="283"/>
              <w:jc w:val="center"/>
              <w:rPr>
                <w:rFonts w:ascii="Wingdings;sans-serif" w:hAnsi="Wingdings;sans-serif"/>
                <w:b/>
                <w:color w:val="1946C8"/>
                <w:sz w:val="24"/>
              </w:rPr>
            </w:pPr>
            <w:r>
              <w:rPr>
                <w:rFonts w:ascii="Wingdings;sans-serif" w:hAnsi="Wingdings;sans-serif"/>
                <w:b/>
                <w:color w:val="1946C8"/>
                <w:sz w:val="24"/>
              </w:rPr>
              <w:t>l</w:t>
            </w:r>
          </w:p>
        </w:tc>
        <w:tc>
          <w:tcPr>
            <w:tcW w:w="361" w:type="dxa"/>
            <w:gridSpan w:val="3"/>
            <w:tcBorders>
              <w:left w:val="single" w:sz="4" w:space="0" w:color="96D0FF"/>
              <w:bottom w:val="single" w:sz="12" w:space="0" w:color="E81111"/>
            </w:tcBorders>
            <w:shd w:fill="ECF8FE" w:val="clear"/>
            <w:tcMar>
              <w:top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left w:val="single" w:sz="4" w:space="0" w:color="96D0FF"/>
              <w:bottom w:val="single" w:sz="12" w:space="0" w:color="E81111"/>
            </w:tcBorders>
            <w:shd w:fill="ECF8FE" w:val="clear"/>
            <w:tcMar>
              <w:top w:w="0" w:type="dxa"/>
              <w:right w:w="0" w:type="dxa"/>
            </w:tcMar>
            <w:vAlign w:val="center"/>
          </w:tcPr>
          <w:p>
            <w:pPr>
              <w:pStyle w:val="TableContents"/>
              <w:bidi w:val="0"/>
              <w:spacing w:before="0" w:after="283"/>
              <w:jc w:val="left"/>
              <w:rPr>
                <w:sz w:val="4"/>
                <w:szCs w:val="4"/>
              </w:rPr>
            </w:pPr>
            <w:r>
              <w:rPr>
                <w:sz w:val="4"/>
                <w:szCs w:val="4"/>
              </w:rPr>
            </w:r>
          </w:p>
        </w:tc>
      </w:tr>
    </w:tbl>
    <w:tbl>
      <w:tblPr>
        <w:tblW w:w="6231" w:type="dxa"/>
        <w:jc w:val="left"/>
        <w:tblInd w:w="0" w:type="dxa"/>
        <w:tblLayout w:type="fixed"/>
        <w:tblCellMar>
          <w:top w:w="28" w:type="dxa"/>
          <w:left w:w="28" w:type="dxa"/>
          <w:bottom w:w="28" w:type="dxa"/>
          <w:right w:w="28" w:type="dxa"/>
        </w:tblCellMar>
      </w:tblPr>
      <w:tblGrid>
        <w:gridCol w:w="309"/>
        <w:gridCol w:w="272"/>
        <w:gridCol w:w="274"/>
        <w:gridCol w:w="109"/>
        <w:gridCol w:w="109"/>
        <w:gridCol w:w="109"/>
        <w:gridCol w:w="120"/>
        <w:gridCol w:w="120"/>
        <w:gridCol w:w="121"/>
        <w:gridCol w:w="749"/>
        <w:gridCol w:w="749"/>
        <w:gridCol w:w="751"/>
        <w:gridCol w:w="109"/>
        <w:gridCol w:w="109"/>
        <w:gridCol w:w="109"/>
        <w:gridCol w:w="109"/>
        <w:gridCol w:w="109"/>
        <w:gridCol w:w="109"/>
        <w:gridCol w:w="522"/>
        <w:gridCol w:w="522"/>
        <w:gridCol w:w="741"/>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1024A"/>
                <w:sz w:val="16"/>
              </w:rPr>
            </w:pPr>
            <w:r>
              <w:rPr>
                <w:rFonts w:ascii="Roboto;sans-serif" w:hAnsi="Roboto;sans-serif"/>
                <w:b/>
                <w:color w:val="01024A"/>
                <w:sz w:val="16"/>
              </w:rPr>
              <w:t>Legend: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E81111"/>
                <w:sz w:val="28"/>
              </w:rPr>
            </w:pPr>
            <w:r>
              <w:rPr>
                <w:rFonts w:ascii="Wingdings;sans-serif" w:hAnsi="Wingdings;sans-serif"/>
                <w:b w:val="false"/>
                <w:color w:val="E81111"/>
                <w:sz w:val="28"/>
              </w:rPr>
              <w:t>«</w:t>
            </w:r>
          </w:p>
        </w:tc>
        <w:tc>
          <w:tcPr>
            <w:tcW w:w="224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Director’s Top 5 Key Skills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1946C8"/>
                <w:sz w:val="24"/>
              </w:rPr>
            </w:pPr>
            <w:r>
              <w:rPr>
                <w:rFonts w:ascii="Wingdings;sans-serif" w:hAnsi="Wingdings;sans-serif"/>
                <w:b w:val="false"/>
                <w:color w:val="1946C8"/>
                <w:sz w:val="24"/>
              </w:rPr>
              <w:t>l</w:t>
            </w:r>
          </w:p>
        </w:tc>
        <w:tc>
          <w:tcPr>
            <w:tcW w:w="178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Director’s Key Skills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263525"/>
                <wp:effectExtent l="0" t="0" r="0" b="0"/>
                <wp:wrapNone/>
                <wp:docPr id="122" name="Frame18"/>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123"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92" descr=""/>
                                          <pic:cNvPicPr>
                                            <a:picLocks noChangeAspect="1" noChangeArrowheads="1"/>
                                          </pic:cNvPicPr>
                                        </pic:nvPicPr>
                                        <pic:blipFill>
                                          <a:blip r:embed="rId106"/>
                                          <a:stretch>
                                            <a:fillRect/>
                                          </a:stretch>
                                        </pic:blipFill>
                                        <pic:spPr bwMode="auto">
                                          <a:xfrm>
                                            <a:off x="0" y="0"/>
                                            <a:ext cx="266700" cy="200025"/>
                                          </a:xfrm>
                                          <a:prstGeom prst="rect">
                                            <a:avLst/>
                                          </a:prstGeom>
                                        </pic:spPr>
                                      </pic:pic>
                                    </a:graphicData>
                                  </a:graphic>
                                </wp:inline>
                              </w:drawing>
                            </w:r>
                            <w:bookmarkStart w:id="104" w:name="i-92"/>
                            <w:bookmarkEnd w:id="10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124"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92" descr=""/>
                                    <pic:cNvPicPr>
                                      <a:picLocks noChangeAspect="1" noChangeArrowheads="1"/>
                                    </pic:cNvPicPr>
                                  </pic:nvPicPr>
                                  <pic:blipFill>
                                    <a:blip r:embed="rId107"/>
                                    <a:stretch>
                                      <a:fillRect/>
                                    </a:stretch>
                                  </pic:blipFill>
                                  <pic:spPr bwMode="auto">
                                    <a:xfrm>
                                      <a:off x="0" y="0"/>
                                      <a:ext cx="266700" cy="200025"/>
                                    </a:xfrm>
                                    <a:prstGeom prst="rect">
                                      <a:avLst/>
                                    </a:prstGeom>
                                  </pic:spPr>
                                </pic:pic>
                              </a:graphicData>
                            </a:graphic>
                          </wp:inline>
                        </w:drawing>
                      </w:r>
                      <w:bookmarkStart w:id="105" w:name="i-92"/>
                      <w:bookmarkEnd w:id="105"/>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13</w:t>
            </w:r>
          </w:p>
        </w:tc>
      </w:tr>
    </w:tbl>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Nominees for Election to the Board of Directors</w:t>
      </w:r>
    </w:p>
    <w:p>
      <w:pPr>
        <w:pStyle w:val="TextBody"/>
        <w:bidi w:val="0"/>
        <w:spacing w:lineRule="atLeast" w:line="240" w:before="0" w:after="360"/>
        <w:jc w:val="left"/>
        <w:rPr/>
      </w:pPr>
      <w:r>
        <w:rPr>
          <w:rFonts w:ascii="Roboto Light;sans-serif" w:hAnsi="Roboto Light;sans-serif"/>
          <w:b w:val="false"/>
          <w:color w:val="01024A"/>
          <w:sz w:val="18"/>
        </w:rPr>
        <w:t>Set forth below is information regarding each Class III Director nominee. Beneficial ownership of equity securities of the Class III Director nominees is shown under “Ownership of Securities”</w:t>
      </w:r>
      <w:r>
        <w:rPr>
          <w:rFonts w:ascii="Roboto Light;sans-serif" w:hAnsi="Roboto Light;sans-serif"/>
          <w:b w:val="false"/>
          <w:color w:val="01024A"/>
          <w:sz w:val="20"/>
        </w:rPr>
        <w:t>.</w:t>
      </w:r>
      <w:r>
        <w:rPr>
          <w:color w:val="01024A"/>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80"/>
        <w:jc w:val="left"/>
        <w:rPr>
          <w:rFonts w:ascii="Roboto;sans-serif" w:hAnsi="Roboto;sans-serif"/>
          <w:b/>
          <w:color w:val="01024A"/>
          <w:sz w:val="20"/>
        </w:rPr>
      </w:pPr>
      <w:r>
        <w:rPr>
          <w:rFonts w:ascii="Roboto;sans-serif" w:hAnsi="Roboto;sans-serif"/>
          <w:b/>
          <w:color w:val="01024A"/>
          <w:sz w:val="20"/>
        </w:rPr>
        <w:t>Class III Director Nominees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12"/>
        <w:gridCol w:w="187"/>
        <w:gridCol w:w="187"/>
        <w:gridCol w:w="187"/>
        <w:gridCol w:w="187"/>
        <w:gridCol w:w="187"/>
        <w:gridCol w:w="476"/>
        <w:gridCol w:w="259"/>
        <w:gridCol w:w="244"/>
        <w:gridCol w:w="193"/>
        <w:gridCol w:w="193"/>
        <w:gridCol w:w="193"/>
        <w:gridCol w:w="187"/>
        <w:gridCol w:w="187"/>
        <w:gridCol w:w="188"/>
        <w:gridCol w:w="109"/>
        <w:gridCol w:w="109"/>
        <w:gridCol w:w="109"/>
        <w:gridCol w:w="1050"/>
        <w:gridCol w:w="1050"/>
        <w:gridCol w:w="965"/>
        <w:gridCol w:w="760"/>
        <w:gridCol w:w="644"/>
        <w:gridCol w:w="592"/>
        <w:gridCol w:w="510"/>
        <w:gridCol w:w="427"/>
        <w:gridCol w:w="613"/>
      </w:tblGrid>
      <w:tr>
        <w:trPr/>
        <w:tc>
          <w:tcPr>
            <w:tcW w:w="21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7" w:type="dxa"/>
            <w:gridSpan w:val="15"/>
            <w:vMerge w:val="restart"/>
            <w:tcBorders/>
            <w:shd w:fill="ECF8F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33550" cy="1771650"/>
                  <wp:effectExtent l="0" t="0" r="0" b="0"/>
                  <wp:docPr id="125"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93" descr=""/>
                          <pic:cNvPicPr>
                            <a:picLocks noChangeAspect="1" noChangeArrowheads="1"/>
                          </pic:cNvPicPr>
                        </pic:nvPicPr>
                        <pic:blipFill>
                          <a:blip r:embed="rId108"/>
                          <a:stretch>
                            <a:fillRect/>
                          </a:stretch>
                        </pic:blipFill>
                        <pic:spPr bwMode="auto">
                          <a:xfrm>
                            <a:off x="0" y="0"/>
                            <a:ext cx="1733550" cy="1771650"/>
                          </a:xfrm>
                          <a:prstGeom prst="rect">
                            <a:avLst/>
                          </a:prstGeom>
                        </pic:spPr>
                      </pic:pic>
                    </a:graphicData>
                  </a:graphic>
                </wp:inline>
              </w:drawing>
            </w:r>
            <w:bookmarkStart w:id="106" w:name="i-93"/>
            <w:bookmarkEnd w:id="106"/>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7"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1" w:type="dxa"/>
            <w:gridSpan w:val="9"/>
            <w:tcBorders/>
            <w:tcMar>
              <w:top w:w="0" w:type="dxa"/>
              <w:left w:w="0" w:type="dxa"/>
              <w:bottom w:w="0" w:type="dxa"/>
              <w:right w:w="0" w:type="dxa"/>
            </w:tcMar>
            <w:vAlign w:val="center"/>
          </w:tcPr>
          <w:p>
            <w:pPr>
              <w:pStyle w:val="TableContents"/>
              <w:bidi w:val="0"/>
              <w:spacing w:lineRule="atLeast" w:line="300" w:before="0" w:after="120"/>
              <w:jc w:val="left"/>
              <w:rPr>
                <w:rFonts w:ascii="Roboto;sans-serif" w:hAnsi="Roboto;sans-serif"/>
                <w:b/>
                <w:color w:val="1946C8"/>
                <w:sz w:val="40"/>
              </w:rPr>
            </w:pPr>
            <w:r>
              <w:rPr>
                <w:rFonts w:ascii="Roboto;sans-serif" w:hAnsi="Roboto;sans-serif"/>
                <w:b/>
                <w:color w:val="1946C8"/>
                <w:sz w:val="40"/>
              </w:rPr>
              <w:t>Ken C. Hicks</w:t>
            </w:r>
          </w:p>
          <w:p>
            <w:pPr>
              <w:pStyle w:val="TableContents"/>
              <w:bidi w:val="0"/>
              <w:spacing w:lineRule="atLeast" w:line="300" w:before="0" w:after="0"/>
              <w:jc w:val="left"/>
              <w:rPr>
                <w:rFonts w:ascii="Roboto;sans-serif" w:hAnsi="Roboto;sans-serif"/>
                <w:b/>
                <w:color w:val="E81111"/>
                <w:sz w:val="24"/>
              </w:rPr>
            </w:pPr>
            <w:r>
              <w:rPr>
                <w:rFonts w:ascii="Roboto;sans-serif" w:hAnsi="Roboto;sans-serif"/>
                <w:b/>
                <w:color w:val="E81111"/>
                <w:sz w:val="24"/>
              </w:rPr>
              <w:t>Chairman of the Board</w:t>
            </w:r>
          </w:p>
        </w:tc>
      </w:tr>
      <w:tr>
        <w:trPr/>
        <w:tc>
          <w:tcPr>
            <w:tcW w:w="3267"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7"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7"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Director Since: </w:t>
            </w:r>
            <w:r>
              <w:rPr>
                <w:rFonts w:ascii="Roboto;sans-serif" w:hAnsi="Roboto;sans-serif"/>
                <w:b w:val="false"/>
                <w:color w:val="01024A"/>
                <w:sz w:val="18"/>
              </w:rPr>
              <w:t>June 2020</w:t>
            </w:r>
          </w:p>
        </w:tc>
        <w:tc>
          <w:tcPr>
            <w:tcW w:w="199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Board Class: </w:t>
            </w:r>
            <w:r>
              <w:rPr>
                <w:rFonts w:ascii="Roboto;sans-serif" w:hAnsi="Roboto;sans-serif"/>
                <w:b w:val="false"/>
                <w:color w:val="01024A"/>
                <w:sz w:val="18"/>
              </w:rPr>
              <w:t>III</w:t>
            </w:r>
          </w:p>
        </w:tc>
        <w:tc>
          <w:tcPr>
            <w:tcW w:w="1550"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Age: </w:t>
            </w:r>
            <w:r>
              <w:rPr>
                <w:rFonts w:ascii="Roboto;sans-serif" w:hAnsi="Roboto;sans-serif"/>
                <w:b w:val="false"/>
                <w:color w:val="01024A"/>
                <w:sz w:val="18"/>
              </w:rPr>
              <w:t>73</w:t>
            </w:r>
          </w:p>
        </w:tc>
      </w:tr>
      <w:tr>
        <w:trPr/>
        <w:tc>
          <w:tcPr>
            <w:tcW w:w="3267"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7"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7"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1" w:type="dxa"/>
            <w:gridSpan w:val="9"/>
            <w:vMerge w:val="restart"/>
            <w:tcBorders/>
            <w:tcMar>
              <w:top w:w="0" w:type="dxa"/>
              <w:left w:w="0" w:type="dxa"/>
              <w:bottom w:w="0" w:type="dxa"/>
              <w:right w:w="0" w:type="dxa"/>
            </w:tcMar>
            <w:vAlign w:val="center"/>
          </w:tcPr>
          <w:p>
            <w:pPr>
              <w:pStyle w:val="TableContents"/>
              <w:bidi w:val="0"/>
              <w:spacing w:lineRule="auto" w:line="312" w:before="0" w:after="60"/>
              <w:jc w:val="left"/>
              <w:rPr>
                <w:rFonts w:ascii="Roboto;sans-serif" w:hAnsi="Roboto;sans-serif"/>
                <w:b/>
                <w:color w:val="1946C8"/>
                <w:sz w:val="18"/>
              </w:rPr>
            </w:pPr>
            <w:r>
              <w:rPr>
                <w:rFonts w:ascii="Roboto;sans-serif" w:hAnsi="Roboto;sans-serif"/>
                <w:b/>
                <w:color w:val="1946C8"/>
                <w:sz w:val="18"/>
              </w:rPr>
              <w:t>Board Leadership</w:t>
            </w:r>
          </w:p>
          <w:p>
            <w:pPr>
              <w:pStyle w:val="TableContents"/>
              <w:bidi w:val="0"/>
              <w:spacing w:lineRule="auto" w:line="288" w:before="0" w:after="180"/>
              <w:ind w:left="0" w:right="0" w:hanging="216"/>
              <w:jc w:val="left"/>
              <w:rPr/>
            </w:pPr>
            <w:r>
              <w:rPr>
                <w:color w:val="01024A"/>
              </w:rPr>
              <w:t>•</w:t>
            </w:r>
            <w:r>
              <w:rPr>
                <w:rFonts w:ascii="Roboto;sans-serif" w:hAnsi="Roboto;sans-serif"/>
                <w:b w:val="false"/>
                <w:color w:val="01024A"/>
                <w:sz w:val="16"/>
              </w:rPr>
              <w:t>Chairman of the Board since June 2020</w:t>
            </w:r>
          </w:p>
          <w:p>
            <w:pPr>
              <w:pStyle w:val="TableContents"/>
              <w:bidi w:val="0"/>
              <w:spacing w:lineRule="auto" w:line="312" w:before="100" w:after="60"/>
              <w:jc w:val="left"/>
              <w:rPr>
                <w:rFonts w:ascii="Roboto;sans-serif" w:hAnsi="Roboto;sans-serif"/>
                <w:b/>
                <w:color w:val="1946C8"/>
                <w:sz w:val="18"/>
              </w:rPr>
            </w:pPr>
            <w:r>
              <w:rPr>
                <w:rFonts w:ascii="Roboto;sans-serif" w:hAnsi="Roboto;sans-serif"/>
                <w:b/>
                <w:color w:val="1946C8"/>
                <w:sz w:val="18"/>
              </w:rPr>
              <w:t>Other Public Company Directorships</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Avery Dennison: </w:t>
            </w:r>
            <w:r>
              <w:rPr>
                <w:rFonts w:ascii="Roboto;sans-serif" w:hAnsi="Roboto;sans-serif"/>
                <w:b w:val="false"/>
                <w:color w:val="01024A"/>
                <w:sz w:val="16"/>
              </w:rPr>
              <w:t>July 2007 - October 2024 (Compensation Committee)</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Whole Foods Market: </w:t>
            </w:r>
            <w:r>
              <w:rPr>
                <w:rFonts w:ascii="Roboto;sans-serif" w:hAnsi="Roboto;sans-serif"/>
                <w:b w:val="false"/>
                <w:color w:val="01024A"/>
                <w:sz w:val="16"/>
              </w:rPr>
              <w:t>May 2017 - August 2017 (Compensation Committee)</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Foot Locker: </w:t>
            </w:r>
            <w:r>
              <w:rPr>
                <w:rFonts w:ascii="Roboto;sans-serif" w:hAnsi="Roboto;sans-serif"/>
                <w:b w:val="false"/>
                <w:color w:val="01024A"/>
                <w:sz w:val="16"/>
              </w:rPr>
              <w:t>December 2014 - May 2015 (Executive Chairman); February 2010 - February 2014 (Chairman)</w:t>
            </w:r>
          </w:p>
          <w:p>
            <w:pPr>
              <w:pStyle w:val="TableContents"/>
              <w:bidi w:val="0"/>
              <w:spacing w:lineRule="auto" w:line="288" w:before="0" w:after="180"/>
              <w:ind w:left="0" w:right="0" w:hanging="216"/>
              <w:jc w:val="left"/>
              <w:rPr/>
            </w:pPr>
            <w:r>
              <w:rPr>
                <w:color w:val="01024A"/>
              </w:rPr>
              <w:t>•</w:t>
            </w:r>
            <w:r>
              <w:rPr>
                <w:rFonts w:ascii="Roboto;sans-serif" w:hAnsi="Roboto;sans-serif"/>
                <w:b/>
                <w:color w:val="01024A"/>
                <w:sz w:val="16"/>
              </w:rPr>
              <w:t xml:space="preserve">J.C. Penney: </w:t>
            </w:r>
            <w:r>
              <w:rPr>
                <w:rFonts w:ascii="Roboto;sans-serif" w:hAnsi="Roboto;sans-serif"/>
                <w:b w:val="false"/>
                <w:color w:val="01024A"/>
                <w:sz w:val="16"/>
              </w:rPr>
              <w:t>March 2008 - July 2009</w:t>
            </w:r>
          </w:p>
          <w:p>
            <w:pPr>
              <w:pStyle w:val="TableContents"/>
              <w:bidi w:val="0"/>
              <w:spacing w:lineRule="auto" w:line="312" w:before="100" w:after="60"/>
              <w:jc w:val="left"/>
              <w:rPr>
                <w:rFonts w:ascii="Roboto;sans-serif" w:hAnsi="Roboto;sans-serif"/>
                <w:b/>
                <w:color w:val="1946C8"/>
                <w:sz w:val="18"/>
              </w:rPr>
            </w:pPr>
            <w:r>
              <w:rPr>
                <w:rFonts w:ascii="Roboto;sans-serif" w:hAnsi="Roboto;sans-serif"/>
                <w:b/>
                <w:color w:val="1946C8"/>
                <w:sz w:val="18"/>
              </w:rPr>
              <w:t>Experience and Qualifications</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Petsmart: </w:t>
            </w:r>
            <w:r>
              <w:rPr>
                <w:rFonts w:ascii="Roboto;sans-serif" w:hAnsi="Roboto;sans-serif"/>
                <w:b w:val="false"/>
                <w:color w:val="01024A"/>
                <w:sz w:val="16"/>
              </w:rPr>
              <w:t>President &amp; Chief Executive Officer and Board of Directors since October 2024</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Academy Sports + Outdoors: </w:t>
            </w:r>
            <w:r>
              <w:rPr>
                <w:rFonts w:ascii="Roboto;sans-serif" w:hAnsi="Roboto;sans-serif"/>
                <w:b w:val="false"/>
                <w:color w:val="01024A"/>
                <w:sz w:val="16"/>
              </w:rPr>
              <w:t>Executive Chairman (June 2023 - May 2024); President &amp; Chief Executive Officer (May 2018 - June 2023); Board of Managers of New Academy Holding Company, LLC (May 2017 - June 2020)</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Foot Locker:</w:t>
            </w:r>
            <w:r>
              <w:rPr>
                <w:color w:val="01024A"/>
              </w:rPr>
              <w:t xml:space="preserve"> </w:t>
            </w:r>
            <w:r>
              <w:rPr>
                <w:rFonts w:ascii="Roboto;sans-serif" w:hAnsi="Roboto;sans-serif"/>
                <w:b w:val="false"/>
                <w:color w:val="01024A"/>
                <w:sz w:val="16"/>
              </w:rPr>
              <w:t xml:space="preserve">Executive Chairman (December 2014 - May 2015); President and Chief Executive Officer (August 2009 - February 2010); Chairman, President and Chief Executive Officer (February 2010 - November 2014); Chairman, President and Chief Executive Officer (February 2010 - November 2014) </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J.C. Penney, Payless ShoeSource, Home Shopping Network, May Department Stores, and McKinsey &amp; Company: </w:t>
            </w:r>
            <w:r>
              <w:rPr>
                <w:rFonts w:ascii="Roboto;sans-serif" w:hAnsi="Roboto;sans-serif"/>
                <w:b w:val="false"/>
                <w:color w:val="01024A"/>
                <w:sz w:val="16"/>
              </w:rPr>
              <w:t xml:space="preserve">Various senior leadership positions </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Graduate of United States Military Academy in West Point, NY, and served in the U.S. Army </w:t>
            </w:r>
          </w:p>
          <w:p>
            <w:pPr>
              <w:pStyle w:val="TableContents"/>
              <w:bidi w:val="0"/>
              <w:spacing w:lineRule="auto" w:line="288" w:before="0" w:after="180"/>
              <w:ind w:left="0" w:right="0" w:hanging="216"/>
              <w:jc w:val="left"/>
              <w:rPr/>
            </w:pPr>
            <w:r>
              <w:rPr>
                <w:color w:val="01024A"/>
              </w:rPr>
              <w:t>•</w:t>
            </w:r>
            <w:r>
              <w:rPr>
                <w:rFonts w:ascii="Roboto;sans-serif" w:hAnsi="Roboto;sans-serif"/>
                <w:b/>
                <w:color w:val="01024A"/>
                <w:sz w:val="16"/>
              </w:rPr>
              <w:t xml:space="preserve">Masters of Business Administration with highest distinction: </w:t>
            </w:r>
            <w:r>
              <w:rPr>
                <w:rFonts w:ascii="Roboto;sans-serif" w:hAnsi="Roboto;sans-serif"/>
                <w:b w:val="false"/>
                <w:color w:val="01024A"/>
                <w:sz w:val="16"/>
              </w:rPr>
              <w:t>Harvard Business School</w:t>
            </w:r>
          </w:p>
          <w:p>
            <w:pPr>
              <w:pStyle w:val="TableContents"/>
              <w:bidi w:val="0"/>
              <w:spacing w:lineRule="auto" w:line="312" w:before="100" w:after="40"/>
              <w:jc w:val="left"/>
              <w:rPr>
                <w:rFonts w:ascii="Roboto;sans-serif" w:hAnsi="Roboto;sans-serif"/>
                <w:b/>
                <w:color w:val="1946C8"/>
                <w:sz w:val="18"/>
              </w:rPr>
            </w:pPr>
            <w:r>
              <w:rPr>
                <w:rFonts w:ascii="Roboto;sans-serif" w:hAnsi="Roboto;sans-serif"/>
                <w:b/>
                <w:color w:val="1946C8"/>
                <w:sz w:val="18"/>
              </w:rPr>
              <w:t>Contributions to the Board</w:t>
            </w:r>
          </w:p>
          <w:p>
            <w:pPr>
              <w:pStyle w:val="TableContents"/>
              <w:bidi w:val="0"/>
              <w:spacing w:lineRule="auto" w:line="288" w:before="0" w:after="0"/>
              <w:jc w:val="left"/>
              <w:rPr>
                <w:rFonts w:ascii="Roboto;sans-serif" w:hAnsi="Roboto;sans-serif"/>
                <w:b w:val="false"/>
                <w:color w:val="01024A"/>
                <w:sz w:val="16"/>
              </w:rPr>
            </w:pPr>
            <w:r>
              <w:rPr>
                <w:rFonts w:ascii="Roboto;sans-serif" w:hAnsi="Roboto;sans-serif"/>
                <w:b w:val="false"/>
                <w:color w:val="01024A"/>
                <w:sz w:val="16"/>
              </w:rPr>
              <w:t>Mr. Hicks has nearly 40 years of retail business and leadership experience, including five years as President &amp; Chief Executive Officer of Academy, including retail strategy, operations, merchandising and customer experience, and a proven track record of driving growth and value creation, which the Board values as we execute our growth strategies regarding new store openings, omnichannel expansion, connecting with our customers, and increasing the productivity of existing stores and distribution centers.</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1"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147" w:type="dxa"/>
            <w:gridSpan w:val="6"/>
            <w:tcBorders>
              <w:bottom w:val="single" w:sz="8" w:space="0" w:color="19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vMerge w:val="restart"/>
            <w:tcBorders/>
            <w:shd w:fill="E81111"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8"/>
              </w:rPr>
            </w:pPr>
            <w:r>
              <w:rPr>
                <w:rFonts w:ascii="Roboto;sans-serif" w:hAnsi="Roboto;sans-serif"/>
                <w:b/>
                <w:color w:val="FFFFFF"/>
                <w:sz w:val="18"/>
              </w:rPr>
              <w:t>Key Skills</w:t>
            </w:r>
          </w:p>
        </w:tc>
        <w:tc>
          <w:tcPr>
            <w:tcW w:w="1141" w:type="dxa"/>
            <w:gridSpan w:val="6"/>
            <w:tcBorders>
              <w:bottom w:val="single" w:sz="8" w:space="0" w:color="19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1"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147" w:type="dxa"/>
            <w:gridSpan w:val="6"/>
            <w:tcBorders>
              <w:top w:val="single" w:sz="8" w:space="0" w:color="1946C8"/>
              <w:left w:val="single" w:sz="8" w:space="0" w:color="1946C8"/>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vMerge w:val="continue"/>
            <w:tcBorders/>
            <w:shd w:fill="E81111" w:val="clear"/>
            <w:tcMar>
              <w:top w:w="0" w:type="dxa"/>
              <w:left w:w="0" w:type="dxa"/>
              <w:bottom w:w="0" w:type="dxa"/>
              <w:right w:w="0" w:type="dxa"/>
            </w:tcMar>
            <w:vAlign w:val="center"/>
          </w:tcPr>
          <w:p>
            <w:pPr>
              <w:pStyle w:val="Normal"/>
              <w:bidi w:val="0"/>
              <w:jc w:val="left"/>
              <w:rPr/>
            </w:pPr>
            <w:r>
              <w:rPr/>
            </w:r>
          </w:p>
        </w:tc>
        <w:tc>
          <w:tcPr>
            <w:tcW w:w="1141" w:type="dxa"/>
            <w:gridSpan w:val="6"/>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1"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8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1"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8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26"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94" descr=""/>
                          <pic:cNvPicPr>
                            <a:picLocks noChangeAspect="1" noChangeArrowheads="1"/>
                          </pic:cNvPicPr>
                        </pic:nvPicPr>
                        <pic:blipFill>
                          <a:blip r:embed="rId109"/>
                          <a:stretch>
                            <a:fillRect/>
                          </a:stretch>
                        </pic:blipFill>
                        <pic:spPr bwMode="auto">
                          <a:xfrm>
                            <a:off x="0" y="0"/>
                            <a:ext cx="228600" cy="228600"/>
                          </a:xfrm>
                          <a:prstGeom prst="rect">
                            <a:avLst/>
                          </a:prstGeom>
                        </pic:spPr>
                      </pic:pic>
                    </a:graphicData>
                  </a:graphic>
                </wp:inline>
              </w:drawing>
            </w:r>
            <w:bookmarkStart w:id="107" w:name="i-94"/>
            <w:bookmarkEnd w:id="107"/>
          </w:p>
        </w:tc>
        <w:tc>
          <w:tcPr>
            <w:tcW w:w="1558" w:type="dxa"/>
            <w:gridSpan w:val="6"/>
            <w:tcBorders>
              <w:bottom w:val="single" w:sz="4" w:space="0" w:color="96D0FF"/>
            </w:tcBorders>
            <w:tcMar>
              <w:top w:w="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Corporate Governance</w:t>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1"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8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27"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95" descr=""/>
                          <pic:cNvPicPr>
                            <a:picLocks noChangeAspect="1" noChangeArrowheads="1"/>
                          </pic:cNvPicPr>
                        </pic:nvPicPr>
                        <pic:blipFill>
                          <a:blip r:embed="rId110"/>
                          <a:stretch>
                            <a:fillRect/>
                          </a:stretch>
                        </pic:blipFill>
                        <pic:spPr bwMode="auto">
                          <a:xfrm>
                            <a:off x="0" y="0"/>
                            <a:ext cx="228600" cy="228600"/>
                          </a:xfrm>
                          <a:prstGeom prst="rect">
                            <a:avLst/>
                          </a:prstGeom>
                        </pic:spPr>
                      </pic:pic>
                    </a:graphicData>
                  </a:graphic>
                </wp:inline>
              </w:drawing>
            </w:r>
            <w:bookmarkStart w:id="108" w:name="i-95"/>
            <w:bookmarkEnd w:id="108"/>
          </w:p>
        </w:tc>
        <w:tc>
          <w:tcPr>
            <w:tcW w:w="1558"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Digital/eCommerce</w:t>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1"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8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28"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96" descr=""/>
                          <pic:cNvPicPr>
                            <a:picLocks noChangeAspect="1" noChangeArrowheads="1"/>
                          </pic:cNvPicPr>
                        </pic:nvPicPr>
                        <pic:blipFill>
                          <a:blip r:embed="rId111"/>
                          <a:stretch>
                            <a:fillRect/>
                          </a:stretch>
                        </pic:blipFill>
                        <pic:spPr bwMode="auto">
                          <a:xfrm>
                            <a:off x="0" y="0"/>
                            <a:ext cx="228600" cy="228600"/>
                          </a:xfrm>
                          <a:prstGeom prst="rect">
                            <a:avLst/>
                          </a:prstGeom>
                        </pic:spPr>
                      </pic:pic>
                    </a:graphicData>
                  </a:graphic>
                </wp:inline>
              </w:drawing>
            </w:r>
            <w:bookmarkStart w:id="109" w:name="i-96"/>
            <w:bookmarkEnd w:id="109"/>
          </w:p>
        </w:tc>
        <w:tc>
          <w:tcPr>
            <w:tcW w:w="1558"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Merchandising</w:t>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1"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8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29"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97" descr=""/>
                          <pic:cNvPicPr>
                            <a:picLocks noChangeAspect="1" noChangeArrowheads="1"/>
                          </pic:cNvPicPr>
                        </pic:nvPicPr>
                        <pic:blipFill>
                          <a:blip r:embed="rId112"/>
                          <a:stretch>
                            <a:fillRect/>
                          </a:stretch>
                        </pic:blipFill>
                        <pic:spPr bwMode="auto">
                          <a:xfrm>
                            <a:off x="0" y="0"/>
                            <a:ext cx="228600" cy="228600"/>
                          </a:xfrm>
                          <a:prstGeom prst="rect">
                            <a:avLst/>
                          </a:prstGeom>
                        </pic:spPr>
                      </pic:pic>
                    </a:graphicData>
                  </a:graphic>
                </wp:inline>
              </w:drawing>
            </w:r>
            <w:bookmarkStart w:id="110" w:name="i-97"/>
            <w:bookmarkEnd w:id="110"/>
          </w:p>
        </w:tc>
        <w:tc>
          <w:tcPr>
            <w:tcW w:w="1558"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Store Operations</w:t>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1"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8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30"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98" descr=""/>
                          <pic:cNvPicPr>
                            <a:picLocks noChangeAspect="1" noChangeArrowheads="1"/>
                          </pic:cNvPicPr>
                        </pic:nvPicPr>
                        <pic:blipFill>
                          <a:blip r:embed="rId113"/>
                          <a:stretch>
                            <a:fillRect/>
                          </a:stretch>
                        </pic:blipFill>
                        <pic:spPr bwMode="auto">
                          <a:xfrm>
                            <a:off x="0" y="0"/>
                            <a:ext cx="228600" cy="228600"/>
                          </a:xfrm>
                          <a:prstGeom prst="rect">
                            <a:avLst/>
                          </a:prstGeom>
                        </pic:spPr>
                      </pic:pic>
                    </a:graphicData>
                  </a:graphic>
                </wp:inline>
              </w:drawing>
            </w:r>
            <w:bookmarkStart w:id="111" w:name="i-98"/>
            <w:bookmarkEnd w:id="111"/>
          </w:p>
        </w:tc>
        <w:tc>
          <w:tcPr>
            <w:tcW w:w="1558" w:type="dxa"/>
            <w:gridSpan w:val="6"/>
            <w:tcBorders>
              <w:top w:val="single" w:sz="4" w:space="0" w:color="96D0FF"/>
            </w:tcBorders>
            <w:tcMar>
              <w:top w:w="3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Strategic Planning</w:t>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1"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86"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1"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1" w:type="dxa"/>
            <w:gridSpan w:val="9"/>
            <w:tcBorders/>
            <w:shd w:fill="ECF8FE" w:val="clear"/>
            <w:tcMar>
              <w:top w:w="0" w:type="dxa"/>
              <w:left w:w="0" w:type="dxa"/>
              <w:bottom w:w="0" w:type="dxa"/>
              <w:right w:w="0" w:type="dxa"/>
            </w:tcMar>
            <w:vAlign w:val="center"/>
          </w:tcPr>
          <w:p>
            <w:pPr>
              <w:pStyle w:val="TableContents"/>
              <w:bidi w:val="0"/>
              <w:spacing w:lineRule="atLeast" w:line="200" w:before="0" w:after="0"/>
              <w:jc w:val="left"/>
              <w:rPr>
                <w:rFonts w:ascii="Roboto;sans-serif" w:hAnsi="Roboto;sans-serif"/>
                <w:b/>
                <w:color w:val="1946C8"/>
                <w:sz w:val="16"/>
              </w:rPr>
            </w:pPr>
            <w:r>
              <w:rPr>
                <w:rFonts w:ascii="Roboto;sans-serif" w:hAnsi="Roboto;sans-serif"/>
                <w:b/>
                <w:color w:val="1946C8"/>
                <w:sz w:val="16"/>
              </w:rPr>
              <w:t>The Board selected Mr. Hicks to serve as a director based on his board, executive leadership, and management experience related to the retail industry, which includes accounting/finance, strategic planning, merchandising, corporate governance, store operations, digital/eCommerce, financial, marketing, real estate &amp; construction, sourcing/manufacturing, and supply chain/logistics skills.</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263525"/>
                <wp:effectExtent l="0" t="0" r="0" b="0"/>
                <wp:wrapNone/>
                <wp:docPr id="131" name="Frame19"/>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13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99" descr=""/>
                                          <pic:cNvPicPr>
                                            <a:picLocks noChangeAspect="1" noChangeArrowheads="1"/>
                                          </pic:cNvPicPr>
                                        </pic:nvPicPr>
                                        <pic:blipFill>
                                          <a:blip r:embed="rId114"/>
                                          <a:stretch>
                                            <a:fillRect/>
                                          </a:stretch>
                                        </pic:blipFill>
                                        <pic:spPr bwMode="auto">
                                          <a:xfrm>
                                            <a:off x="0" y="0"/>
                                            <a:ext cx="266700" cy="200025"/>
                                          </a:xfrm>
                                          <a:prstGeom prst="rect">
                                            <a:avLst/>
                                          </a:prstGeom>
                                        </pic:spPr>
                                      </pic:pic>
                                    </a:graphicData>
                                  </a:graphic>
                                </wp:inline>
                              </w:drawing>
                            </w:r>
                            <w:bookmarkStart w:id="112" w:name="i-99"/>
                            <w:bookmarkEnd w:id="11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133"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99" descr=""/>
                                    <pic:cNvPicPr>
                                      <a:picLocks noChangeAspect="1" noChangeArrowheads="1"/>
                                    </pic:cNvPicPr>
                                  </pic:nvPicPr>
                                  <pic:blipFill>
                                    <a:blip r:embed="rId115"/>
                                    <a:stretch>
                                      <a:fillRect/>
                                    </a:stretch>
                                  </pic:blipFill>
                                  <pic:spPr bwMode="auto">
                                    <a:xfrm>
                                      <a:off x="0" y="0"/>
                                      <a:ext cx="266700" cy="200025"/>
                                    </a:xfrm>
                                    <a:prstGeom prst="rect">
                                      <a:avLst/>
                                    </a:prstGeom>
                                  </pic:spPr>
                                </pic:pic>
                              </a:graphicData>
                            </a:graphic>
                          </wp:inline>
                        </w:drawing>
                      </w:r>
                      <w:bookmarkStart w:id="113" w:name="i-99"/>
                      <w:bookmarkEnd w:id="113"/>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tbl>
      <w:tblPr>
        <w:tblW w:w="10205" w:type="dxa"/>
        <w:jc w:val="center"/>
        <w:tblInd w:w="0" w:type="dxa"/>
        <w:tblLayout w:type="fixed"/>
        <w:tblCellMar>
          <w:top w:w="28" w:type="dxa"/>
          <w:left w:w="28" w:type="dxa"/>
          <w:bottom w:w="28" w:type="dxa"/>
          <w:right w:w="28" w:type="dxa"/>
        </w:tblCellMar>
      </w:tblPr>
      <w:tblGrid>
        <w:gridCol w:w="191"/>
        <w:gridCol w:w="168"/>
        <w:gridCol w:w="168"/>
        <w:gridCol w:w="168"/>
        <w:gridCol w:w="168"/>
        <w:gridCol w:w="168"/>
        <w:gridCol w:w="548"/>
        <w:gridCol w:w="260"/>
        <w:gridCol w:w="258"/>
        <w:gridCol w:w="179"/>
        <w:gridCol w:w="179"/>
        <w:gridCol w:w="179"/>
        <w:gridCol w:w="168"/>
        <w:gridCol w:w="168"/>
        <w:gridCol w:w="171"/>
        <w:gridCol w:w="109"/>
        <w:gridCol w:w="109"/>
        <w:gridCol w:w="109"/>
        <w:gridCol w:w="1131"/>
        <w:gridCol w:w="1131"/>
        <w:gridCol w:w="1134"/>
        <w:gridCol w:w="697"/>
        <w:gridCol w:w="594"/>
        <w:gridCol w:w="594"/>
        <w:gridCol w:w="424"/>
        <w:gridCol w:w="424"/>
        <w:gridCol w:w="608"/>
      </w:tblGrid>
      <w:tr>
        <w:trPr/>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5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6"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15"/>
            <w:vMerge w:val="restart"/>
            <w:tcBorders/>
            <w:shd w:fill="ECF8F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552575" cy="1924050"/>
                  <wp:effectExtent l="0" t="0" r="0" b="0"/>
                  <wp:docPr id="13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00" descr=""/>
                          <pic:cNvPicPr>
                            <a:picLocks noChangeAspect="1" noChangeArrowheads="1"/>
                          </pic:cNvPicPr>
                        </pic:nvPicPr>
                        <pic:blipFill>
                          <a:blip r:embed="rId116"/>
                          <a:stretch>
                            <a:fillRect/>
                          </a:stretch>
                        </pic:blipFill>
                        <pic:spPr bwMode="auto">
                          <a:xfrm>
                            <a:off x="0" y="0"/>
                            <a:ext cx="1552575" cy="1924050"/>
                          </a:xfrm>
                          <a:prstGeom prst="rect">
                            <a:avLst/>
                          </a:prstGeom>
                        </pic:spPr>
                      </pic:pic>
                    </a:graphicData>
                  </a:graphic>
                </wp:inline>
              </w:drawing>
            </w:r>
            <w:bookmarkStart w:id="114" w:name="i-100"/>
            <w:bookmarkEnd w:id="11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7" w:type="dxa"/>
            <w:gridSpan w:val="9"/>
            <w:tcBorders/>
            <w:tcMar>
              <w:top w:w="0" w:type="dxa"/>
              <w:left w:w="0" w:type="dxa"/>
              <w:bottom w:w="0" w:type="dxa"/>
              <w:right w:w="0" w:type="dxa"/>
            </w:tcMar>
            <w:vAlign w:val="center"/>
          </w:tcPr>
          <w:p>
            <w:pPr>
              <w:pStyle w:val="TableContents"/>
              <w:bidi w:val="0"/>
              <w:spacing w:lineRule="atLeast" w:line="300" w:before="0" w:after="120"/>
              <w:jc w:val="left"/>
              <w:rPr>
                <w:rFonts w:ascii="Roboto;sans-serif" w:hAnsi="Roboto;sans-serif"/>
                <w:b/>
                <w:color w:val="1946C8"/>
                <w:sz w:val="40"/>
              </w:rPr>
            </w:pPr>
            <w:r>
              <w:rPr>
                <w:rFonts w:ascii="Roboto;sans-serif" w:hAnsi="Roboto;sans-serif"/>
                <w:b/>
                <w:color w:val="1946C8"/>
                <w:sz w:val="40"/>
              </w:rPr>
              <w:t>Beryl C. Raff</w:t>
            </w:r>
          </w:p>
          <w:p>
            <w:pPr>
              <w:pStyle w:val="TableContents"/>
              <w:bidi w:val="0"/>
              <w:spacing w:lineRule="atLeast" w:line="300" w:before="0" w:after="0"/>
              <w:jc w:val="left"/>
              <w:rPr>
                <w:rFonts w:ascii="Roboto;sans-serif" w:hAnsi="Roboto;sans-serif"/>
                <w:b/>
                <w:color w:val="E81111"/>
                <w:sz w:val="24"/>
              </w:rPr>
            </w:pPr>
            <w:r>
              <w:rPr>
                <w:rFonts w:ascii="Roboto;sans-serif" w:hAnsi="Roboto;sans-serif"/>
                <w:b/>
                <w:color w:val="E81111"/>
                <w:sz w:val="24"/>
              </w:rPr>
              <w:t>Independent Director</w:t>
            </w:r>
          </w:p>
        </w:tc>
      </w:tr>
      <w:tr>
        <w:trPr/>
        <w:tc>
          <w:tcPr>
            <w:tcW w:w="3141"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6"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Director Since: </w:t>
            </w:r>
            <w:r>
              <w:rPr>
                <w:rFonts w:ascii="Roboto;sans-serif" w:hAnsi="Roboto;sans-serif"/>
                <w:b w:val="false"/>
                <w:color w:val="01024A"/>
                <w:sz w:val="18"/>
              </w:rPr>
              <w:t>December 2021</w:t>
            </w:r>
          </w:p>
        </w:tc>
        <w:tc>
          <w:tcPr>
            <w:tcW w:w="1885"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Board Class: </w:t>
            </w:r>
            <w:r>
              <w:rPr>
                <w:rFonts w:ascii="Roboto;sans-serif" w:hAnsi="Roboto;sans-serif"/>
                <w:b w:val="false"/>
                <w:color w:val="01024A"/>
                <w:sz w:val="18"/>
              </w:rPr>
              <w:t>III</w:t>
            </w:r>
          </w:p>
        </w:tc>
        <w:tc>
          <w:tcPr>
            <w:tcW w:w="145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Age: </w:t>
            </w:r>
            <w:r>
              <w:rPr>
                <w:rFonts w:ascii="Roboto;sans-serif" w:hAnsi="Roboto;sans-serif"/>
                <w:b w:val="false"/>
                <w:color w:val="01024A"/>
                <w:sz w:val="18"/>
              </w:rPr>
              <w:t>75</w:t>
            </w:r>
          </w:p>
        </w:tc>
      </w:tr>
      <w:tr>
        <w:trPr/>
        <w:tc>
          <w:tcPr>
            <w:tcW w:w="3141"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7" w:type="dxa"/>
            <w:gridSpan w:val="9"/>
            <w:vMerge w:val="restart"/>
            <w:tcBorders/>
            <w:tcMar>
              <w:top w:w="0" w:type="dxa"/>
              <w:left w:w="0" w:type="dxa"/>
              <w:bottom w:w="0" w:type="dxa"/>
              <w:right w:w="0" w:type="dxa"/>
            </w:tcMar>
            <w:vAlign w:val="center"/>
          </w:tcPr>
          <w:p>
            <w:pPr>
              <w:pStyle w:val="TableContents"/>
              <w:bidi w:val="0"/>
              <w:spacing w:lineRule="auto" w:line="312" w:before="0" w:after="60"/>
              <w:jc w:val="left"/>
              <w:rPr>
                <w:rFonts w:ascii="Roboto;sans-serif" w:hAnsi="Roboto;sans-serif"/>
                <w:b/>
                <w:color w:val="1946C8"/>
                <w:sz w:val="18"/>
              </w:rPr>
            </w:pPr>
            <w:r>
              <w:rPr>
                <w:rFonts w:ascii="Roboto;sans-serif" w:hAnsi="Roboto;sans-serif"/>
                <w:b/>
                <w:color w:val="1946C8"/>
                <w:sz w:val="18"/>
              </w:rPr>
              <w:t>Committee Memberships</w:t>
            </w:r>
          </w:p>
          <w:p>
            <w:pPr>
              <w:pStyle w:val="TableContents"/>
              <w:bidi w:val="0"/>
              <w:spacing w:lineRule="auto" w:line="288" w:before="0" w:after="180"/>
              <w:ind w:left="0" w:right="0" w:hanging="216"/>
              <w:jc w:val="left"/>
              <w:rPr/>
            </w:pPr>
            <w:r>
              <w:rPr>
                <w:color w:val="01024A"/>
              </w:rPr>
              <w:t>•</w:t>
            </w:r>
            <w:r>
              <w:rPr>
                <w:rFonts w:ascii="Roboto;sans-serif" w:hAnsi="Roboto;sans-serif"/>
                <w:b w:val="false"/>
                <w:color w:val="01024A"/>
                <w:sz w:val="16"/>
              </w:rPr>
              <w:t xml:space="preserve">Compensation since May 2021 (Chair since October 2021) </w:t>
            </w:r>
          </w:p>
          <w:p>
            <w:pPr>
              <w:pStyle w:val="TableContents"/>
              <w:bidi w:val="0"/>
              <w:spacing w:lineRule="auto" w:line="312" w:before="100" w:after="60"/>
              <w:jc w:val="left"/>
              <w:rPr>
                <w:rFonts w:ascii="Roboto;sans-serif" w:hAnsi="Roboto;sans-serif"/>
                <w:b/>
                <w:color w:val="1946C8"/>
                <w:sz w:val="18"/>
              </w:rPr>
            </w:pPr>
            <w:r>
              <w:rPr>
                <w:rFonts w:ascii="Roboto;sans-serif" w:hAnsi="Roboto;sans-serif"/>
                <w:b/>
                <w:color w:val="1946C8"/>
                <w:sz w:val="18"/>
              </w:rPr>
              <w:t>Other Public Company Directorships</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Helen of Troy: </w:t>
            </w:r>
            <w:r>
              <w:rPr>
                <w:rFonts w:ascii="Roboto;sans-serif" w:hAnsi="Roboto;sans-serif"/>
                <w:b w:val="false"/>
                <w:color w:val="01024A"/>
                <w:sz w:val="16"/>
              </w:rPr>
              <w:t>August 2014 - present (Audit Committee)</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Michaels: </w:t>
            </w:r>
            <w:r>
              <w:rPr>
                <w:rFonts w:ascii="Roboto;sans-serif" w:hAnsi="Roboto;sans-serif"/>
                <w:b w:val="false"/>
                <w:color w:val="01024A"/>
                <w:sz w:val="16"/>
              </w:rPr>
              <w:t>September 2014 - April 2021 (Audit &amp; Compensation Committees)</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Jo-Ann Stores: </w:t>
            </w:r>
            <w:r>
              <w:rPr>
                <w:rFonts w:ascii="Roboto;sans-serif" w:hAnsi="Roboto;sans-serif"/>
                <w:b w:val="false"/>
                <w:color w:val="01024A"/>
                <w:sz w:val="16"/>
              </w:rPr>
              <w:t>August 2001 - February 2011 (Audit Committee &amp; Compensation Committee Chair)</w:t>
            </w:r>
          </w:p>
          <w:p>
            <w:pPr>
              <w:pStyle w:val="TableContents"/>
              <w:bidi w:val="0"/>
              <w:spacing w:lineRule="auto" w:line="288" w:before="0" w:after="180"/>
              <w:ind w:left="0" w:right="0" w:hanging="216"/>
              <w:jc w:val="left"/>
              <w:rPr/>
            </w:pPr>
            <w:r>
              <w:rPr>
                <w:color w:val="01024A"/>
              </w:rPr>
              <w:t>•</w:t>
            </w:r>
            <w:r>
              <w:rPr>
                <w:rFonts w:ascii="Roboto;sans-serif" w:hAnsi="Roboto;sans-serif"/>
                <w:b/>
                <w:color w:val="01024A"/>
                <w:sz w:val="16"/>
              </w:rPr>
              <w:t xml:space="preserve">Group 1 Automotive: </w:t>
            </w:r>
            <w:r>
              <w:rPr>
                <w:rFonts w:ascii="Roboto;sans-serif" w:hAnsi="Roboto;sans-serif"/>
                <w:b w:val="false"/>
                <w:color w:val="01024A"/>
                <w:sz w:val="16"/>
              </w:rPr>
              <w:t>June 2007 - February 2015 (Compensation Committee &amp; Governance &amp; Nominating Committee Chair)</w:t>
            </w:r>
          </w:p>
          <w:p>
            <w:pPr>
              <w:pStyle w:val="TableContents"/>
              <w:bidi w:val="0"/>
              <w:spacing w:lineRule="auto" w:line="312" w:before="100" w:after="60"/>
              <w:jc w:val="left"/>
              <w:rPr>
                <w:rFonts w:ascii="Roboto;sans-serif" w:hAnsi="Roboto;sans-serif"/>
                <w:b/>
                <w:color w:val="1946C8"/>
                <w:sz w:val="18"/>
              </w:rPr>
            </w:pPr>
            <w:r>
              <w:rPr>
                <w:rFonts w:ascii="Roboto;sans-serif" w:hAnsi="Roboto;sans-serif"/>
                <w:b/>
                <w:color w:val="1946C8"/>
                <w:sz w:val="18"/>
              </w:rPr>
              <w:t>Experience and Qualifications</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Helzberg Diamonds: </w:t>
            </w:r>
            <w:r>
              <w:rPr>
                <w:rFonts w:ascii="Roboto;sans-serif" w:hAnsi="Roboto;sans-serif"/>
                <w:b w:val="false"/>
                <w:color w:val="01024A"/>
                <w:sz w:val="16"/>
              </w:rPr>
              <w:t>Chief Executive Officer (2009 - July 2022); Non-executive Chairman (July 2022 - July 2023)</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J.C. Penney: </w:t>
            </w:r>
            <w:r>
              <w:rPr>
                <w:rFonts w:ascii="Roboto;sans-serif" w:hAnsi="Roboto;sans-serif"/>
                <w:b w:val="false"/>
                <w:color w:val="01024A"/>
                <w:sz w:val="16"/>
              </w:rPr>
              <w:t>Executive Vice President and General Merchandise Manager and various senior merchandising positions (2001 - 2009)</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Zales: </w:t>
            </w:r>
            <w:r>
              <w:rPr>
                <w:rFonts w:ascii="Roboto;sans-serif" w:hAnsi="Roboto;sans-serif"/>
                <w:b w:val="false"/>
                <w:color w:val="01024A"/>
                <w:sz w:val="16"/>
              </w:rPr>
              <w:t>Chairman and Chief Executive Officer (2000 - 2001)</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R.H. Macy &amp; Company: </w:t>
            </w:r>
            <w:r>
              <w:rPr>
                <w:rFonts w:ascii="Roboto;sans-serif" w:hAnsi="Roboto;sans-serif"/>
                <w:b w:val="false"/>
                <w:color w:val="01024A"/>
                <w:sz w:val="16"/>
              </w:rPr>
              <w:t xml:space="preserve">Various senior merchant positions (19 years) </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Bachelors of Business Administration: </w:t>
            </w:r>
            <w:r>
              <w:rPr>
                <w:rFonts w:ascii="Roboto;sans-serif" w:hAnsi="Roboto;sans-serif"/>
                <w:b w:val="false"/>
                <w:color w:val="01024A"/>
                <w:sz w:val="16"/>
              </w:rPr>
              <w:t>Boston University</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Masters of Business Administration: </w:t>
            </w:r>
            <w:r>
              <w:rPr>
                <w:rFonts w:ascii="Roboto;sans-serif" w:hAnsi="Roboto;sans-serif"/>
                <w:b w:val="false"/>
                <w:color w:val="01024A"/>
                <w:sz w:val="16"/>
              </w:rPr>
              <w:t>Drexel University</w:t>
            </w:r>
          </w:p>
          <w:p>
            <w:pPr>
              <w:pStyle w:val="TableContents"/>
              <w:bidi w:val="0"/>
              <w:spacing w:lineRule="auto" w:line="312" w:before="180" w:after="40"/>
              <w:jc w:val="left"/>
              <w:rPr>
                <w:rFonts w:ascii="Roboto;sans-serif" w:hAnsi="Roboto;sans-serif"/>
                <w:b/>
                <w:color w:val="1946C8"/>
                <w:sz w:val="18"/>
              </w:rPr>
            </w:pPr>
            <w:r>
              <w:rPr>
                <w:rFonts w:ascii="Roboto;sans-serif" w:hAnsi="Roboto;sans-serif"/>
                <w:b/>
                <w:color w:val="1946C8"/>
                <w:sz w:val="18"/>
              </w:rPr>
              <w:t>Contributions to the Board</w:t>
            </w:r>
          </w:p>
          <w:p>
            <w:pPr>
              <w:pStyle w:val="TableContents"/>
              <w:bidi w:val="0"/>
              <w:spacing w:lineRule="auto" w:line="288" w:before="0" w:after="0"/>
              <w:jc w:val="left"/>
              <w:rPr>
                <w:rFonts w:ascii="Roboto;sans-serif" w:hAnsi="Roboto;sans-serif"/>
                <w:b w:val="false"/>
                <w:color w:val="01024A"/>
                <w:sz w:val="16"/>
              </w:rPr>
            </w:pPr>
            <w:r>
              <w:rPr>
                <w:rFonts w:ascii="Roboto;sans-serif" w:hAnsi="Roboto;sans-serif"/>
                <w:b w:val="false"/>
                <w:color w:val="01024A"/>
                <w:sz w:val="16"/>
              </w:rPr>
              <w:t>Ms. Raff has over 40 years of executive leadership and management experience in the retail industry, including retail strategy, operations, merchandising and customer experience, which the Board values as we drive growth through new store openings, connecting with our customers, increasing the productivity of existing stores, and building the best team in retail.</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7"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shd w:fill="E81111"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8"/>
              </w:rPr>
            </w:pPr>
            <w:r>
              <w:rPr>
                <w:rFonts w:ascii="Roboto;sans-serif" w:hAnsi="Roboto;sans-serif"/>
                <w:b/>
                <w:color w:val="FFFFFF"/>
                <w:sz w:val="18"/>
              </w:rPr>
              <w:t>Key Skills</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7"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27" w:type="dxa"/>
            <w:gridSpan w:val="3"/>
            <w:tcBorders>
              <w:top w:val="single" w:sz="8" w:space="0" w:color="1946C8"/>
              <w:left w:val="single" w:sz="8" w:space="0" w:color="1946C8"/>
            </w:tcBorders>
            <w:tcMar>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shd w:fill="E81111" w:val="clear"/>
            <w:tcMar>
              <w:top w:w="0" w:type="dxa"/>
              <w:left w:w="0" w:type="dxa"/>
              <w:bottom w:w="0" w:type="dxa"/>
              <w:right w:w="0" w:type="dxa"/>
            </w:tcMar>
            <w:vAlign w:val="center"/>
          </w:tcPr>
          <w:p>
            <w:pPr>
              <w:pStyle w:val="Normal"/>
              <w:bidi w:val="0"/>
              <w:jc w:val="left"/>
              <w:rPr/>
            </w:pPr>
            <w:r>
              <w:rPr/>
            </w:r>
          </w:p>
        </w:tc>
        <w:tc>
          <w:tcPr>
            <w:tcW w:w="53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37"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37"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3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01" descr=""/>
                          <pic:cNvPicPr>
                            <a:picLocks noChangeAspect="1" noChangeArrowheads="1"/>
                          </pic:cNvPicPr>
                        </pic:nvPicPr>
                        <pic:blipFill>
                          <a:blip r:embed="rId117"/>
                          <a:stretch>
                            <a:fillRect/>
                          </a:stretch>
                        </pic:blipFill>
                        <pic:spPr bwMode="auto">
                          <a:xfrm>
                            <a:off x="0" y="0"/>
                            <a:ext cx="228600" cy="228600"/>
                          </a:xfrm>
                          <a:prstGeom prst="rect">
                            <a:avLst/>
                          </a:prstGeom>
                        </pic:spPr>
                      </pic:pic>
                    </a:graphicData>
                  </a:graphic>
                </wp:inline>
              </w:drawing>
            </w:r>
            <w:bookmarkStart w:id="115" w:name="i-101"/>
            <w:bookmarkEnd w:id="115"/>
          </w:p>
        </w:tc>
        <w:tc>
          <w:tcPr>
            <w:tcW w:w="1603" w:type="dxa"/>
            <w:gridSpan w:val="6"/>
            <w:tcBorders>
              <w:bottom w:val="single" w:sz="4" w:space="0" w:color="96D0FF"/>
            </w:tcBorders>
            <w:tcMar>
              <w:top w:w="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Corporate Governance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37"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3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02" descr=""/>
                          <pic:cNvPicPr>
                            <a:picLocks noChangeAspect="1" noChangeArrowheads="1"/>
                          </pic:cNvPicPr>
                        </pic:nvPicPr>
                        <pic:blipFill>
                          <a:blip r:embed="rId118"/>
                          <a:stretch>
                            <a:fillRect/>
                          </a:stretch>
                        </pic:blipFill>
                        <pic:spPr bwMode="auto">
                          <a:xfrm>
                            <a:off x="0" y="0"/>
                            <a:ext cx="228600" cy="228600"/>
                          </a:xfrm>
                          <a:prstGeom prst="rect">
                            <a:avLst/>
                          </a:prstGeom>
                        </pic:spPr>
                      </pic:pic>
                    </a:graphicData>
                  </a:graphic>
                </wp:inline>
              </w:drawing>
            </w:r>
            <w:bookmarkStart w:id="116" w:name="i-102"/>
            <w:bookmarkEnd w:id="116"/>
          </w:p>
        </w:tc>
        <w:tc>
          <w:tcPr>
            <w:tcW w:w="1603"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Human Resources/Talent</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37"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37"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03" descr=""/>
                          <pic:cNvPicPr>
                            <a:picLocks noChangeAspect="1" noChangeArrowheads="1"/>
                          </pic:cNvPicPr>
                        </pic:nvPicPr>
                        <pic:blipFill>
                          <a:blip r:embed="rId119"/>
                          <a:stretch>
                            <a:fillRect/>
                          </a:stretch>
                        </pic:blipFill>
                        <pic:spPr bwMode="auto">
                          <a:xfrm>
                            <a:off x="0" y="0"/>
                            <a:ext cx="228600" cy="228600"/>
                          </a:xfrm>
                          <a:prstGeom prst="rect">
                            <a:avLst/>
                          </a:prstGeom>
                        </pic:spPr>
                      </pic:pic>
                    </a:graphicData>
                  </a:graphic>
                </wp:inline>
              </w:drawing>
            </w:r>
            <w:bookmarkStart w:id="117" w:name="i-103"/>
            <w:bookmarkEnd w:id="117"/>
          </w:p>
        </w:tc>
        <w:tc>
          <w:tcPr>
            <w:tcW w:w="1603"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Merchandising</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37"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38"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04" descr=""/>
                          <pic:cNvPicPr>
                            <a:picLocks noChangeAspect="1" noChangeArrowheads="1"/>
                          </pic:cNvPicPr>
                        </pic:nvPicPr>
                        <pic:blipFill>
                          <a:blip r:embed="rId120"/>
                          <a:stretch>
                            <a:fillRect/>
                          </a:stretch>
                        </pic:blipFill>
                        <pic:spPr bwMode="auto">
                          <a:xfrm>
                            <a:off x="0" y="0"/>
                            <a:ext cx="228600" cy="228600"/>
                          </a:xfrm>
                          <a:prstGeom prst="rect">
                            <a:avLst/>
                          </a:prstGeom>
                        </pic:spPr>
                      </pic:pic>
                    </a:graphicData>
                  </a:graphic>
                </wp:inline>
              </w:drawing>
            </w:r>
            <w:bookmarkStart w:id="118" w:name="i-104"/>
            <w:bookmarkEnd w:id="118"/>
          </w:p>
        </w:tc>
        <w:tc>
          <w:tcPr>
            <w:tcW w:w="1603"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Store Operations</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37"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3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05" descr=""/>
                          <pic:cNvPicPr>
                            <a:picLocks noChangeAspect="1" noChangeArrowheads="1"/>
                          </pic:cNvPicPr>
                        </pic:nvPicPr>
                        <pic:blipFill>
                          <a:blip r:embed="rId121"/>
                          <a:stretch>
                            <a:fillRect/>
                          </a:stretch>
                        </pic:blipFill>
                        <pic:spPr bwMode="auto">
                          <a:xfrm>
                            <a:off x="0" y="0"/>
                            <a:ext cx="228600" cy="228600"/>
                          </a:xfrm>
                          <a:prstGeom prst="rect">
                            <a:avLst/>
                          </a:prstGeom>
                        </pic:spPr>
                      </pic:pic>
                    </a:graphicData>
                  </a:graphic>
                </wp:inline>
              </w:drawing>
            </w:r>
            <w:bookmarkStart w:id="119" w:name="i-105"/>
            <w:bookmarkEnd w:id="119"/>
          </w:p>
        </w:tc>
        <w:tc>
          <w:tcPr>
            <w:tcW w:w="1603" w:type="dxa"/>
            <w:gridSpan w:val="6"/>
            <w:tcBorders>
              <w:top w:val="single" w:sz="4" w:space="0" w:color="96D0FF"/>
            </w:tcBorders>
            <w:tcMar>
              <w:top w:w="3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Strategic Planning</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37"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2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7"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7" w:type="dxa"/>
            <w:gridSpan w:val="9"/>
            <w:tcBorders/>
            <w:shd w:fill="ECF8FE" w:val="clear"/>
            <w:tcMar>
              <w:top w:w="0" w:type="dxa"/>
              <w:left w:w="0" w:type="dxa"/>
              <w:bottom w:w="0" w:type="dxa"/>
              <w:right w:w="0" w:type="dxa"/>
            </w:tcMar>
            <w:vAlign w:val="center"/>
          </w:tcPr>
          <w:p>
            <w:pPr>
              <w:pStyle w:val="TableContents"/>
              <w:bidi w:val="0"/>
              <w:spacing w:lineRule="atLeast" w:line="200" w:before="0" w:after="0"/>
              <w:jc w:val="left"/>
              <w:rPr>
                <w:rFonts w:ascii="Roboto;sans-serif" w:hAnsi="Roboto;sans-serif"/>
                <w:b/>
                <w:color w:val="1946C8"/>
                <w:sz w:val="16"/>
              </w:rPr>
            </w:pPr>
            <w:r>
              <w:rPr>
                <w:rFonts w:ascii="Roboto;sans-serif" w:hAnsi="Roboto;sans-serif"/>
                <w:b/>
                <w:color w:val="1946C8"/>
                <w:sz w:val="16"/>
              </w:rPr>
              <w:t>The Board selected Ms. Raff to serve as a director based on her board, executive leadership and management experience related to the retail industry, which includes merchandising, strategic planning, human resources/talent, store operations, corporate governance, accounting/finance, marketing, sourcing/manufacturing, real estate &amp; construction, and supply chain/logistics skills.</w:t>
            </w:r>
          </w:p>
        </w:tc>
      </w:tr>
      <w:tr>
        <w:trPr/>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263525"/>
                <wp:effectExtent l="0" t="0" r="0" b="0"/>
                <wp:wrapNone/>
                <wp:docPr id="140" name="Frame20"/>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141"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06" descr=""/>
                                          <pic:cNvPicPr>
                                            <a:picLocks noChangeAspect="1" noChangeArrowheads="1"/>
                                          </pic:cNvPicPr>
                                        </pic:nvPicPr>
                                        <pic:blipFill>
                                          <a:blip r:embed="rId122"/>
                                          <a:stretch>
                                            <a:fillRect/>
                                          </a:stretch>
                                        </pic:blipFill>
                                        <pic:spPr bwMode="auto">
                                          <a:xfrm>
                                            <a:off x="0" y="0"/>
                                            <a:ext cx="266700" cy="200025"/>
                                          </a:xfrm>
                                          <a:prstGeom prst="rect">
                                            <a:avLst/>
                                          </a:prstGeom>
                                        </pic:spPr>
                                      </pic:pic>
                                    </a:graphicData>
                                  </a:graphic>
                                </wp:inline>
                              </w:drawing>
                            </w:r>
                            <w:bookmarkStart w:id="120" w:name="i-106"/>
                            <w:bookmarkEnd w:id="12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142"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06" descr=""/>
                                    <pic:cNvPicPr>
                                      <a:picLocks noChangeAspect="1" noChangeArrowheads="1"/>
                                    </pic:cNvPicPr>
                                  </pic:nvPicPr>
                                  <pic:blipFill>
                                    <a:blip r:embed="rId123"/>
                                    <a:stretch>
                                      <a:fillRect/>
                                    </a:stretch>
                                  </pic:blipFill>
                                  <pic:spPr bwMode="auto">
                                    <a:xfrm>
                                      <a:off x="0" y="0"/>
                                      <a:ext cx="266700" cy="200025"/>
                                    </a:xfrm>
                                    <a:prstGeom prst="rect">
                                      <a:avLst/>
                                    </a:prstGeom>
                                  </pic:spPr>
                                </pic:pic>
                              </a:graphicData>
                            </a:graphic>
                          </wp:inline>
                        </w:drawing>
                      </w:r>
                      <w:bookmarkStart w:id="121" w:name="i-106"/>
                      <w:bookmarkEnd w:id="121"/>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15</w:t>
            </w:r>
          </w:p>
        </w:tc>
      </w:tr>
    </w:tbl>
    <w:tbl>
      <w:tblPr>
        <w:tblW w:w="10205" w:type="dxa"/>
        <w:jc w:val="center"/>
        <w:tblInd w:w="0" w:type="dxa"/>
        <w:tblLayout w:type="fixed"/>
        <w:tblCellMar>
          <w:top w:w="28" w:type="dxa"/>
          <w:left w:w="28" w:type="dxa"/>
          <w:bottom w:w="28" w:type="dxa"/>
          <w:right w:w="28" w:type="dxa"/>
        </w:tblCellMar>
      </w:tblPr>
      <w:tblGrid>
        <w:gridCol w:w="224"/>
        <w:gridCol w:w="196"/>
        <w:gridCol w:w="196"/>
        <w:gridCol w:w="196"/>
        <w:gridCol w:w="196"/>
        <w:gridCol w:w="196"/>
        <w:gridCol w:w="468"/>
        <w:gridCol w:w="249"/>
        <w:gridCol w:w="250"/>
        <w:gridCol w:w="204"/>
        <w:gridCol w:w="204"/>
        <w:gridCol w:w="204"/>
        <w:gridCol w:w="196"/>
        <w:gridCol w:w="196"/>
        <w:gridCol w:w="209"/>
        <w:gridCol w:w="109"/>
        <w:gridCol w:w="109"/>
        <w:gridCol w:w="109"/>
        <w:gridCol w:w="1067"/>
        <w:gridCol w:w="1067"/>
        <w:gridCol w:w="950"/>
        <w:gridCol w:w="680"/>
        <w:gridCol w:w="587"/>
        <w:gridCol w:w="587"/>
        <w:gridCol w:w="448"/>
        <w:gridCol w:w="448"/>
        <w:gridCol w:w="660"/>
      </w:tblGrid>
      <w:tr>
        <w:trPr/>
        <w:tc>
          <w:tcPr>
            <w:tcW w:w="2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4" w:type="dxa"/>
            <w:gridSpan w:val="15"/>
            <w:vMerge w:val="restart"/>
            <w:tcBorders/>
            <w:shd w:fill="ECF8F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28800" cy="1857375"/>
                  <wp:effectExtent l="0" t="0" r="0" b="0"/>
                  <wp:docPr id="143"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07" descr=""/>
                          <pic:cNvPicPr>
                            <a:picLocks noChangeAspect="1" noChangeArrowheads="1"/>
                          </pic:cNvPicPr>
                        </pic:nvPicPr>
                        <pic:blipFill>
                          <a:blip r:embed="rId124"/>
                          <a:stretch>
                            <a:fillRect/>
                          </a:stretch>
                        </pic:blipFill>
                        <pic:spPr bwMode="auto">
                          <a:xfrm>
                            <a:off x="0" y="0"/>
                            <a:ext cx="1828800" cy="1857375"/>
                          </a:xfrm>
                          <a:prstGeom prst="rect">
                            <a:avLst/>
                          </a:prstGeom>
                        </pic:spPr>
                      </pic:pic>
                    </a:graphicData>
                  </a:graphic>
                </wp:inline>
              </w:drawing>
            </w:r>
            <w:bookmarkStart w:id="122" w:name="i-107"/>
            <w:bookmarkEnd w:id="122"/>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4"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494" w:type="dxa"/>
            <w:gridSpan w:val="9"/>
            <w:tcBorders/>
            <w:tcMar>
              <w:top w:w="0" w:type="dxa"/>
              <w:left w:w="0" w:type="dxa"/>
              <w:bottom w:w="0" w:type="dxa"/>
              <w:right w:w="0" w:type="dxa"/>
            </w:tcMar>
            <w:vAlign w:val="center"/>
          </w:tcPr>
          <w:p>
            <w:pPr>
              <w:pStyle w:val="TableContents"/>
              <w:bidi w:val="0"/>
              <w:spacing w:lineRule="atLeast" w:line="300" w:before="0" w:after="120"/>
              <w:jc w:val="left"/>
              <w:rPr>
                <w:rFonts w:ascii="Roboto;sans-serif" w:hAnsi="Roboto;sans-serif"/>
                <w:b/>
                <w:color w:val="1946C8"/>
                <w:sz w:val="40"/>
              </w:rPr>
            </w:pPr>
            <w:r>
              <w:rPr>
                <w:rFonts w:ascii="Roboto;sans-serif" w:hAnsi="Roboto;sans-serif"/>
                <w:b/>
                <w:color w:val="1946C8"/>
                <w:sz w:val="40"/>
              </w:rPr>
              <w:t>Jeff C. Tweedy</w:t>
            </w:r>
          </w:p>
          <w:p>
            <w:pPr>
              <w:pStyle w:val="TableContents"/>
              <w:bidi w:val="0"/>
              <w:spacing w:lineRule="atLeast" w:line="300" w:before="0" w:after="0"/>
              <w:jc w:val="left"/>
              <w:rPr>
                <w:rFonts w:ascii="Roboto;sans-serif" w:hAnsi="Roboto;sans-serif"/>
                <w:b/>
                <w:color w:val="E81111"/>
                <w:sz w:val="24"/>
              </w:rPr>
            </w:pPr>
            <w:r>
              <w:rPr>
                <w:rFonts w:ascii="Roboto;sans-serif" w:hAnsi="Roboto;sans-serif"/>
                <w:b/>
                <w:color w:val="E81111"/>
                <w:sz w:val="24"/>
              </w:rPr>
              <w:t>Independent Director</w:t>
            </w:r>
          </w:p>
        </w:tc>
      </w:tr>
      <w:tr>
        <w:trPr/>
        <w:tc>
          <w:tcPr>
            <w:tcW w:w="3384"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4"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084"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4"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084"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Director Since: </w:t>
            </w:r>
            <w:r>
              <w:rPr>
                <w:rFonts w:ascii="Roboto;sans-serif" w:hAnsi="Roboto;sans-serif"/>
                <w:b w:val="false"/>
                <w:color w:val="01024A"/>
                <w:sz w:val="18"/>
              </w:rPr>
              <w:t>October 2020</w:t>
            </w:r>
          </w:p>
        </w:tc>
        <w:tc>
          <w:tcPr>
            <w:tcW w:w="1854"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Board Class: </w:t>
            </w:r>
            <w:r>
              <w:rPr>
                <w:rFonts w:ascii="Roboto;sans-serif" w:hAnsi="Roboto;sans-serif"/>
                <w:b w:val="false"/>
                <w:color w:val="01024A"/>
                <w:sz w:val="18"/>
              </w:rPr>
              <w:t>III</w:t>
            </w:r>
          </w:p>
        </w:tc>
        <w:tc>
          <w:tcPr>
            <w:tcW w:w="155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Age: </w:t>
            </w:r>
            <w:r>
              <w:rPr>
                <w:rFonts w:ascii="Roboto;sans-serif" w:hAnsi="Roboto;sans-serif"/>
                <w:b w:val="false"/>
                <w:color w:val="01024A"/>
                <w:sz w:val="18"/>
              </w:rPr>
              <w:t>63</w:t>
            </w:r>
          </w:p>
        </w:tc>
      </w:tr>
      <w:tr>
        <w:trPr/>
        <w:tc>
          <w:tcPr>
            <w:tcW w:w="3384"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084"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4"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4"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494" w:type="dxa"/>
            <w:gridSpan w:val="9"/>
            <w:vMerge w:val="restart"/>
            <w:tcBorders/>
            <w:tcMar>
              <w:top w:w="0" w:type="dxa"/>
              <w:left w:w="0" w:type="dxa"/>
              <w:bottom w:w="0" w:type="dxa"/>
              <w:right w:w="0" w:type="dxa"/>
            </w:tcMar>
            <w:vAlign w:val="center"/>
          </w:tcPr>
          <w:p>
            <w:pPr>
              <w:pStyle w:val="TableContents"/>
              <w:bidi w:val="0"/>
              <w:spacing w:lineRule="auto" w:line="312" w:before="0" w:after="60"/>
              <w:jc w:val="left"/>
              <w:rPr>
                <w:rFonts w:ascii="Roboto;sans-serif" w:hAnsi="Roboto;sans-serif"/>
                <w:b/>
                <w:color w:val="1946C8"/>
                <w:sz w:val="18"/>
              </w:rPr>
            </w:pPr>
            <w:r>
              <w:rPr>
                <w:rFonts w:ascii="Roboto;sans-serif" w:hAnsi="Roboto;sans-serif"/>
                <w:b/>
                <w:color w:val="1946C8"/>
                <w:sz w:val="18"/>
              </w:rPr>
              <w:t>Committee Memberships</w:t>
            </w:r>
          </w:p>
          <w:p>
            <w:pPr>
              <w:pStyle w:val="TableContents"/>
              <w:bidi w:val="0"/>
              <w:spacing w:lineRule="auto" w:line="288" w:before="0" w:after="0"/>
              <w:ind w:left="0" w:right="0" w:hanging="216"/>
              <w:jc w:val="left"/>
              <w:rPr/>
            </w:pPr>
            <w:r>
              <w:rPr>
                <w:color w:val="01024A"/>
              </w:rPr>
              <w:t>•</w:t>
            </w:r>
            <w:r>
              <w:rPr>
                <w:rFonts w:ascii="Roboto;sans-serif" w:hAnsi="Roboto;sans-serif"/>
                <w:b w:val="false"/>
                <w:color w:val="01024A"/>
                <w:sz w:val="16"/>
              </w:rPr>
              <w:t>Compensation since October 2020</w:t>
            </w:r>
          </w:p>
          <w:p>
            <w:pPr>
              <w:pStyle w:val="TableContents"/>
              <w:bidi w:val="0"/>
              <w:spacing w:lineRule="auto" w:line="288" w:before="0" w:after="180"/>
              <w:ind w:left="0" w:right="0" w:hanging="216"/>
              <w:jc w:val="left"/>
              <w:rPr/>
            </w:pPr>
            <w:r>
              <w:rPr>
                <w:color w:val="000000"/>
              </w:rPr>
              <w:t>•</w:t>
            </w:r>
            <w:r>
              <w:rPr>
                <w:rFonts w:ascii="Roboto;sans-serif" w:hAnsi="Roboto;sans-serif"/>
                <w:b w:val="false"/>
                <w:color w:val="01024A"/>
                <w:sz w:val="16"/>
              </w:rPr>
              <w:t xml:space="preserve">Nominating and Governance since October 2020 </w:t>
            </w:r>
          </w:p>
          <w:p>
            <w:pPr>
              <w:pStyle w:val="TableContents"/>
              <w:bidi w:val="0"/>
              <w:spacing w:lineRule="auto" w:line="312" w:before="0" w:after="60"/>
              <w:jc w:val="left"/>
              <w:rPr>
                <w:rFonts w:ascii="Roboto;sans-serif" w:hAnsi="Roboto;sans-serif"/>
                <w:b/>
                <w:color w:val="1946C8"/>
                <w:sz w:val="18"/>
              </w:rPr>
            </w:pPr>
            <w:r>
              <w:rPr>
                <w:rFonts w:ascii="Roboto;sans-serif" w:hAnsi="Roboto;sans-serif"/>
                <w:b/>
                <w:color w:val="1946C8"/>
                <w:sz w:val="18"/>
              </w:rPr>
              <w:t>Other Public Company Directorships</w:t>
            </w:r>
          </w:p>
          <w:p>
            <w:pPr>
              <w:pStyle w:val="TableContents"/>
              <w:bidi w:val="0"/>
              <w:spacing w:lineRule="auto" w:line="288" w:before="0" w:after="180"/>
              <w:ind w:left="0" w:right="0" w:hanging="216"/>
              <w:jc w:val="left"/>
              <w:rPr/>
            </w:pPr>
            <w:r>
              <w:rPr>
                <w:color w:val="01024A"/>
              </w:rPr>
              <w:t>•</w:t>
            </w:r>
            <w:r>
              <w:rPr>
                <w:rFonts w:ascii="Roboto;sans-serif" w:hAnsi="Roboto;sans-serif"/>
                <w:b/>
                <w:color w:val="01024A"/>
                <w:sz w:val="16"/>
              </w:rPr>
              <w:t xml:space="preserve">RenX Enterprises Corp. (Formerly, Safe and Green Development): </w:t>
            </w:r>
            <w:r>
              <w:rPr>
                <w:rFonts w:ascii="Roboto;sans-serif" w:hAnsi="Roboto;sans-serif"/>
                <w:b w:val="false"/>
                <w:color w:val="01024A"/>
                <w:sz w:val="16"/>
              </w:rPr>
              <w:t>April 2023 - present (Compensation Committee &amp; Nominating and Corporate Governance Committee Chair)</w:t>
            </w:r>
          </w:p>
          <w:p>
            <w:pPr>
              <w:pStyle w:val="TableContents"/>
              <w:bidi w:val="0"/>
              <w:spacing w:lineRule="auto" w:line="312" w:before="100" w:after="60"/>
              <w:jc w:val="left"/>
              <w:rPr>
                <w:rFonts w:ascii="Roboto;sans-serif" w:hAnsi="Roboto;sans-serif"/>
                <w:b/>
                <w:color w:val="1946C8"/>
                <w:sz w:val="18"/>
              </w:rPr>
            </w:pPr>
            <w:r>
              <w:rPr>
                <w:rFonts w:ascii="Roboto;sans-serif" w:hAnsi="Roboto;sans-serif"/>
                <w:b/>
                <w:color w:val="1946C8"/>
                <w:sz w:val="18"/>
              </w:rPr>
              <w:t>Experience and Qualifications</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BMBIRD Consultant: </w:t>
            </w:r>
            <w:r>
              <w:rPr>
                <w:rFonts w:ascii="Roboto;sans-serif" w:hAnsi="Roboto;sans-serif"/>
                <w:b w:val="false"/>
                <w:color w:val="01024A"/>
                <w:sz w:val="16"/>
              </w:rPr>
              <w:t xml:space="preserve">Managing Director (October 2022 - Present) </w:t>
            </w:r>
          </w:p>
          <w:p>
            <w:pPr>
              <w:pStyle w:val="TableContents"/>
              <w:bidi w:val="0"/>
              <w:spacing w:lineRule="auto" w:line="288" w:before="0" w:after="0"/>
              <w:ind w:left="0" w:right="0" w:hanging="216"/>
              <w:jc w:val="left"/>
              <w:rPr/>
            </w:pPr>
            <w:r>
              <w:rPr>
                <w:color w:val="000000"/>
              </w:rPr>
              <w:t>•</w:t>
            </w:r>
            <w:r>
              <w:rPr>
                <w:rFonts w:ascii="Roboto;sans-serif" w:hAnsi="Roboto;sans-serif"/>
                <w:b/>
                <w:color w:val="01024A"/>
                <w:sz w:val="16"/>
              </w:rPr>
              <w:t>Global Brands Group/Sean John Clothing:</w:t>
            </w:r>
            <w:r>
              <w:rPr>
                <w:color w:val="01024A"/>
              </w:rPr>
              <w:t xml:space="preserve"> </w:t>
            </w:r>
            <w:r>
              <w:rPr>
                <w:rFonts w:ascii="Roboto;sans-serif" w:hAnsi="Roboto;sans-serif"/>
                <w:b w:val="false"/>
                <w:color w:val="01024A"/>
                <w:sz w:val="16"/>
              </w:rPr>
              <w:t xml:space="preserve">Advisory role (March 2021 - August 2022) </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Sean John Clothing: </w:t>
            </w:r>
            <w:r>
              <w:rPr>
                <w:rFonts w:ascii="Roboto;sans-serif" w:hAnsi="Roboto;sans-serif"/>
                <w:b w:val="false"/>
                <w:color w:val="01024A"/>
                <w:sz w:val="16"/>
              </w:rPr>
              <w:t xml:space="preserve">Chief Executive Officer (November 2007 - March 2021); Executive Vice President (February 1996 - March 2005) </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Karl Kani Jeans: </w:t>
            </w:r>
            <w:r>
              <w:rPr>
                <w:rFonts w:ascii="Roboto;sans-serif" w:hAnsi="Roboto;sans-serif"/>
                <w:b w:val="false"/>
                <w:color w:val="01024A"/>
                <w:sz w:val="16"/>
              </w:rPr>
              <w:t>Vice President (March 1993 - June 1996)</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Spike Lee: </w:t>
            </w:r>
            <w:r>
              <w:rPr>
                <w:rFonts w:ascii="Roboto;sans-serif" w:hAnsi="Roboto;sans-serif"/>
                <w:b w:val="false"/>
                <w:color w:val="01024A"/>
                <w:sz w:val="16"/>
              </w:rPr>
              <w:t>Vice President (February 1992 - June 1993)</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Ralph Lauren Womenswear: </w:t>
            </w:r>
            <w:r>
              <w:rPr>
                <w:rFonts w:ascii="Roboto;sans-serif" w:hAnsi="Roboto;sans-serif"/>
                <w:b w:val="false"/>
                <w:color w:val="01024A"/>
                <w:sz w:val="16"/>
              </w:rPr>
              <w:t>East Coast Sales Manager (February 1990 - December 1992)</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Fashion Institute of Technology:</w:t>
            </w:r>
            <w:r>
              <w:rPr>
                <w:color w:val="01024A"/>
              </w:rPr>
              <w:t xml:space="preserve"> </w:t>
            </w:r>
            <w:r>
              <w:rPr>
                <w:rFonts w:ascii="Roboto;sans-serif" w:hAnsi="Roboto;sans-serif"/>
                <w:b w:val="false"/>
                <w:color w:val="01024A"/>
                <w:sz w:val="16"/>
              </w:rPr>
              <w:t>Menswear Design &amp; Marketing</w:t>
            </w:r>
          </w:p>
          <w:p>
            <w:pPr>
              <w:pStyle w:val="TableContents"/>
              <w:bidi w:val="0"/>
              <w:spacing w:lineRule="auto" w:line="312" w:before="180" w:after="40"/>
              <w:jc w:val="left"/>
              <w:rPr>
                <w:rFonts w:ascii="Roboto;sans-serif" w:hAnsi="Roboto;sans-serif"/>
                <w:b/>
                <w:color w:val="1946C8"/>
                <w:sz w:val="18"/>
              </w:rPr>
            </w:pPr>
            <w:r>
              <w:rPr>
                <w:rFonts w:ascii="Roboto;sans-serif" w:hAnsi="Roboto;sans-serif"/>
                <w:b/>
                <w:color w:val="1946C8"/>
                <w:sz w:val="18"/>
              </w:rPr>
              <w:t>Contributions to the Board</w:t>
            </w:r>
          </w:p>
          <w:p>
            <w:pPr>
              <w:pStyle w:val="TableContents"/>
              <w:bidi w:val="0"/>
              <w:spacing w:lineRule="auto" w:line="288" w:before="0" w:after="0"/>
              <w:jc w:val="left"/>
              <w:rPr>
                <w:rFonts w:ascii="Roboto;sans-serif" w:hAnsi="Roboto;sans-serif"/>
                <w:b w:val="false"/>
                <w:color w:val="01024A"/>
                <w:sz w:val="16"/>
              </w:rPr>
            </w:pPr>
            <w:r>
              <w:rPr>
                <w:rFonts w:ascii="Roboto;sans-serif" w:hAnsi="Roboto;sans-serif"/>
                <w:b w:val="false"/>
                <w:color w:val="01024A"/>
                <w:sz w:val="16"/>
              </w:rPr>
              <w:t>Mr. Tweedy brings over 25 years of executive leadership and management experience in the fashion and retail industries, including merchandising, marketing, sourcing, manufacturing, strategic, and talent management skills, which the Board values as we drive growth through omnichannel expansion, connecting with our customers, increasing the productivity of existing stores, and building the best team in retail.</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49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vMerge w:val="restart"/>
            <w:tcBorders/>
            <w:shd w:fill="E81111"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8"/>
              </w:rPr>
            </w:pPr>
            <w:r>
              <w:rPr>
                <w:rFonts w:ascii="Roboto;sans-serif" w:hAnsi="Roboto;sans-serif"/>
                <w:b/>
                <w:color w:val="FFFFFF"/>
                <w:sz w:val="18"/>
              </w:rPr>
              <w:t>Key Skills</w:t>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49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top w:val="single" w:sz="8" w:space="0" w:color="1946C8"/>
              <w:left w:val="single" w:sz="8" w:space="0" w:color="1946C8"/>
            </w:tcBorders>
            <w:tcMar>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vMerge w:val="continue"/>
            <w:tcBorders/>
            <w:shd w:fill="E81111" w:val="clear"/>
            <w:tcMar>
              <w:top w:w="0" w:type="dxa"/>
              <w:left w:w="0" w:type="dxa"/>
              <w:bottom w:w="0" w:type="dxa"/>
              <w:right w:w="0" w:type="dxa"/>
            </w:tcMar>
            <w:vAlign w:val="center"/>
          </w:tcPr>
          <w:p>
            <w:pPr>
              <w:pStyle w:val="Normal"/>
              <w:bidi w:val="0"/>
              <w:jc w:val="left"/>
              <w:rPr/>
            </w:pPr>
            <w:r>
              <w:rPr/>
            </w:r>
          </w:p>
        </w:tc>
        <w:tc>
          <w:tcPr>
            <w:tcW w:w="612"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1946C8"/>
              <w:right w:val="single" w:sz="8" w:space="0" w:color="1946C8"/>
            </w:tcBorders>
            <w:tcMar>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49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right w:val="single" w:sz="8"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49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44"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08" descr=""/>
                          <pic:cNvPicPr>
                            <a:picLocks noChangeAspect="1" noChangeArrowheads="1"/>
                          </pic:cNvPicPr>
                        </pic:nvPicPr>
                        <pic:blipFill>
                          <a:blip r:embed="rId125"/>
                          <a:stretch>
                            <a:fillRect/>
                          </a:stretch>
                        </pic:blipFill>
                        <pic:spPr bwMode="auto">
                          <a:xfrm>
                            <a:off x="0" y="0"/>
                            <a:ext cx="228600" cy="228600"/>
                          </a:xfrm>
                          <a:prstGeom prst="rect">
                            <a:avLst/>
                          </a:prstGeom>
                        </pic:spPr>
                      </pic:pic>
                    </a:graphicData>
                  </a:graphic>
                </wp:inline>
              </w:drawing>
            </w:r>
            <w:bookmarkStart w:id="123" w:name="i-108"/>
            <w:bookmarkEnd w:id="123"/>
          </w:p>
        </w:tc>
        <w:tc>
          <w:tcPr>
            <w:tcW w:w="1579" w:type="dxa"/>
            <w:gridSpan w:val="6"/>
            <w:tcBorders>
              <w:bottom w:val="single" w:sz="4" w:space="0" w:color="96D0FF"/>
            </w:tcBorders>
            <w:tcMar>
              <w:top w:w="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 xml:space="preserve">Corporate Governance </w:t>
            </w:r>
          </w:p>
        </w:tc>
        <w:tc>
          <w:tcPr>
            <w:tcW w:w="601" w:type="dxa"/>
            <w:gridSpan w:val="3"/>
            <w:tcBorders>
              <w:right w:val="single" w:sz="8"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49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45"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09" descr=""/>
                          <pic:cNvPicPr>
                            <a:picLocks noChangeAspect="1" noChangeArrowheads="1"/>
                          </pic:cNvPicPr>
                        </pic:nvPicPr>
                        <pic:blipFill>
                          <a:blip r:embed="rId126"/>
                          <a:stretch>
                            <a:fillRect/>
                          </a:stretch>
                        </pic:blipFill>
                        <pic:spPr bwMode="auto">
                          <a:xfrm>
                            <a:off x="0" y="0"/>
                            <a:ext cx="228600" cy="228600"/>
                          </a:xfrm>
                          <a:prstGeom prst="rect">
                            <a:avLst/>
                          </a:prstGeom>
                        </pic:spPr>
                      </pic:pic>
                    </a:graphicData>
                  </a:graphic>
                </wp:inline>
              </w:drawing>
            </w:r>
            <w:bookmarkStart w:id="124" w:name="i-109"/>
            <w:bookmarkEnd w:id="124"/>
          </w:p>
        </w:tc>
        <w:tc>
          <w:tcPr>
            <w:tcW w:w="1579"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Digital/eCommerce</w:t>
            </w:r>
          </w:p>
        </w:tc>
        <w:tc>
          <w:tcPr>
            <w:tcW w:w="601" w:type="dxa"/>
            <w:gridSpan w:val="3"/>
            <w:tcBorders>
              <w:right w:val="single" w:sz="8"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49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46"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10" descr=""/>
                          <pic:cNvPicPr>
                            <a:picLocks noChangeAspect="1" noChangeArrowheads="1"/>
                          </pic:cNvPicPr>
                        </pic:nvPicPr>
                        <pic:blipFill>
                          <a:blip r:embed="rId127"/>
                          <a:stretch>
                            <a:fillRect/>
                          </a:stretch>
                        </pic:blipFill>
                        <pic:spPr bwMode="auto">
                          <a:xfrm>
                            <a:off x="0" y="0"/>
                            <a:ext cx="228600" cy="228600"/>
                          </a:xfrm>
                          <a:prstGeom prst="rect">
                            <a:avLst/>
                          </a:prstGeom>
                        </pic:spPr>
                      </pic:pic>
                    </a:graphicData>
                  </a:graphic>
                </wp:inline>
              </w:drawing>
            </w:r>
            <w:bookmarkStart w:id="125" w:name="i-110"/>
            <w:bookmarkEnd w:id="125"/>
          </w:p>
        </w:tc>
        <w:tc>
          <w:tcPr>
            <w:tcW w:w="1579"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Marketing</w:t>
            </w:r>
          </w:p>
        </w:tc>
        <w:tc>
          <w:tcPr>
            <w:tcW w:w="601" w:type="dxa"/>
            <w:gridSpan w:val="3"/>
            <w:tcBorders>
              <w:right w:val="single" w:sz="8"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49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47"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11" descr=""/>
                          <pic:cNvPicPr>
                            <a:picLocks noChangeAspect="1" noChangeArrowheads="1"/>
                          </pic:cNvPicPr>
                        </pic:nvPicPr>
                        <pic:blipFill>
                          <a:blip r:embed="rId128"/>
                          <a:stretch>
                            <a:fillRect/>
                          </a:stretch>
                        </pic:blipFill>
                        <pic:spPr bwMode="auto">
                          <a:xfrm>
                            <a:off x="0" y="0"/>
                            <a:ext cx="228600" cy="228600"/>
                          </a:xfrm>
                          <a:prstGeom prst="rect">
                            <a:avLst/>
                          </a:prstGeom>
                        </pic:spPr>
                      </pic:pic>
                    </a:graphicData>
                  </a:graphic>
                </wp:inline>
              </w:drawing>
            </w:r>
            <w:bookmarkStart w:id="126" w:name="i-111"/>
            <w:bookmarkEnd w:id="126"/>
          </w:p>
        </w:tc>
        <w:tc>
          <w:tcPr>
            <w:tcW w:w="1579"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Merchandising</w:t>
            </w:r>
          </w:p>
        </w:tc>
        <w:tc>
          <w:tcPr>
            <w:tcW w:w="601" w:type="dxa"/>
            <w:gridSpan w:val="3"/>
            <w:tcBorders>
              <w:right w:val="single" w:sz="8"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49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48"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12" descr=""/>
                          <pic:cNvPicPr>
                            <a:picLocks noChangeAspect="1" noChangeArrowheads="1"/>
                          </pic:cNvPicPr>
                        </pic:nvPicPr>
                        <pic:blipFill>
                          <a:blip r:embed="rId129"/>
                          <a:stretch>
                            <a:fillRect/>
                          </a:stretch>
                        </pic:blipFill>
                        <pic:spPr bwMode="auto">
                          <a:xfrm>
                            <a:off x="0" y="0"/>
                            <a:ext cx="228600" cy="228600"/>
                          </a:xfrm>
                          <a:prstGeom prst="rect">
                            <a:avLst/>
                          </a:prstGeom>
                        </pic:spPr>
                      </pic:pic>
                    </a:graphicData>
                  </a:graphic>
                </wp:inline>
              </w:drawing>
            </w:r>
            <w:bookmarkStart w:id="127" w:name="i-112"/>
            <w:bookmarkEnd w:id="127"/>
          </w:p>
        </w:tc>
        <w:tc>
          <w:tcPr>
            <w:tcW w:w="1579" w:type="dxa"/>
            <w:gridSpan w:val="6"/>
            <w:tcBorders>
              <w:top w:val="single" w:sz="4" w:space="0" w:color="96D0FF"/>
            </w:tcBorders>
            <w:tcMar>
              <w:top w:w="3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Strategic Planning</w:t>
            </w:r>
          </w:p>
        </w:tc>
        <w:tc>
          <w:tcPr>
            <w:tcW w:w="601" w:type="dxa"/>
            <w:gridSpan w:val="3"/>
            <w:tcBorders>
              <w:right w:val="single" w:sz="8"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49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49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084"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494" w:type="dxa"/>
            <w:gridSpan w:val="9"/>
            <w:tcBorders/>
            <w:shd w:fill="ECF8FE" w:val="clear"/>
            <w:tcMar>
              <w:top w:w="0" w:type="dxa"/>
              <w:left w:w="0" w:type="dxa"/>
              <w:bottom w:w="0" w:type="dxa"/>
              <w:right w:w="0" w:type="dxa"/>
            </w:tcMar>
            <w:vAlign w:val="center"/>
          </w:tcPr>
          <w:p>
            <w:pPr>
              <w:pStyle w:val="TableContents"/>
              <w:bidi w:val="0"/>
              <w:spacing w:lineRule="atLeast" w:line="200" w:before="0" w:after="0"/>
              <w:jc w:val="left"/>
              <w:rPr/>
            </w:pPr>
            <w:r>
              <w:rPr>
                <w:rFonts w:ascii="Helvetica;sans-serif" w:hAnsi="Helvetica;sans-serif"/>
                <w:b/>
                <w:color w:val="1946C8"/>
                <w:sz w:val="16"/>
              </w:rPr>
              <w:t xml:space="preserve">The Board selected Mr. Tweedy to serve as a director based on his extensive executive leadership and management experience related to the retail industry, including merchandising, </w:t>
            </w:r>
            <w:r>
              <w:rPr>
                <w:rFonts w:ascii="Roboto;sans-serif" w:hAnsi="Roboto;sans-serif"/>
                <w:b/>
                <w:color w:val="1946C8"/>
                <w:sz w:val="16"/>
              </w:rPr>
              <w:t>d</w:t>
            </w:r>
            <w:r>
              <w:rPr>
                <w:rFonts w:ascii="Helvetica;sans-serif" w:hAnsi="Helvetica;sans-serif"/>
                <w:b/>
                <w:color w:val="1946C8"/>
                <w:sz w:val="16"/>
              </w:rPr>
              <w:t>igital/eCommerce,</w:t>
            </w:r>
            <w:r>
              <w:rPr>
                <w:color w:val="1946C8"/>
              </w:rPr>
              <w:t xml:space="preserve"> </w:t>
            </w:r>
            <w:r>
              <w:rPr>
                <w:rFonts w:ascii="Helvetica;sans-serif" w:hAnsi="Helvetica;sans-serif"/>
                <w:b/>
                <w:color w:val="1946C8"/>
                <w:sz w:val="16"/>
              </w:rPr>
              <w:t xml:space="preserve">marketing, </w:t>
            </w:r>
            <w:r>
              <w:rPr>
                <w:rFonts w:ascii="Roboto;sans-serif" w:hAnsi="Roboto;sans-serif"/>
                <w:b/>
                <w:color w:val="1946C8"/>
                <w:sz w:val="16"/>
              </w:rPr>
              <w:t xml:space="preserve">corporate governance, </w:t>
            </w:r>
            <w:r>
              <w:rPr>
                <w:rFonts w:ascii="Helvetica;sans-serif" w:hAnsi="Helvetica;sans-serif"/>
                <w:b/>
                <w:color w:val="1946C8"/>
                <w:sz w:val="16"/>
              </w:rPr>
              <w:t>sourcing</w:t>
            </w:r>
            <w:r>
              <w:rPr>
                <w:rFonts w:ascii="Roboto;sans-serif" w:hAnsi="Roboto;sans-serif"/>
                <w:b/>
                <w:color w:val="1946C8"/>
                <w:sz w:val="16"/>
              </w:rPr>
              <w:t>/</w:t>
            </w:r>
            <w:r>
              <w:rPr>
                <w:rFonts w:ascii="Helvetica;sans-serif" w:hAnsi="Helvetica;sans-serif"/>
                <w:b/>
                <w:color w:val="1946C8"/>
                <w:sz w:val="16"/>
              </w:rPr>
              <w:t>manufacturing, strategic planning, store operations,</w:t>
            </w:r>
            <w:r>
              <w:rPr>
                <w:color w:val="1946C8"/>
              </w:rPr>
              <w:t xml:space="preserve"> </w:t>
            </w:r>
            <w:r>
              <w:rPr>
                <w:rFonts w:ascii="Helvetica;sans-serif" w:hAnsi="Helvetica;sans-serif"/>
                <w:b/>
                <w:color w:val="1946C8"/>
                <w:sz w:val="16"/>
              </w:rPr>
              <w:t xml:space="preserve">and </w:t>
            </w:r>
            <w:r>
              <w:rPr>
                <w:rFonts w:ascii="Roboto;sans-serif" w:hAnsi="Roboto;sans-serif"/>
                <w:b/>
                <w:color w:val="1946C8"/>
                <w:sz w:val="16"/>
              </w:rPr>
              <w:t>human resources/</w:t>
            </w:r>
            <w:r>
              <w:rPr>
                <w:rFonts w:ascii="Helvetica;sans-serif" w:hAnsi="Helvetica;sans-serif"/>
                <w:b/>
                <w:color w:val="1946C8"/>
                <w:sz w:val="16"/>
              </w:rPr>
              <w:t>talent management skills.</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084"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93"/>
        <w:gridCol w:w="193"/>
        <w:gridCol w:w="195"/>
        <w:gridCol w:w="2968"/>
        <w:gridCol w:w="2968"/>
        <w:gridCol w:w="2973"/>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2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ECF8F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14325" cy="314325"/>
                  <wp:effectExtent l="0" t="0" r="0" b="0"/>
                  <wp:docPr id="149"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13" descr=""/>
                          <pic:cNvPicPr>
                            <a:picLocks noChangeAspect="1" noChangeArrowheads="1"/>
                          </pic:cNvPicPr>
                        </pic:nvPicPr>
                        <pic:blipFill>
                          <a:blip r:embed="rId130"/>
                          <a:stretch>
                            <a:fillRect/>
                          </a:stretch>
                        </pic:blipFill>
                        <pic:spPr bwMode="auto">
                          <a:xfrm>
                            <a:off x="0" y="0"/>
                            <a:ext cx="314325" cy="314325"/>
                          </a:xfrm>
                          <a:prstGeom prst="rect">
                            <a:avLst/>
                          </a:prstGeom>
                        </pic:spPr>
                      </pic:pic>
                    </a:graphicData>
                  </a:graphic>
                </wp:inline>
              </w:drawing>
            </w:r>
            <w:bookmarkStart w:id="128" w:name="i-113"/>
            <w:bookmarkEnd w:id="128"/>
          </w:p>
        </w:tc>
        <w:tc>
          <w:tcPr>
            <w:tcW w:w="8909" w:type="dxa"/>
            <w:gridSpan w:val="3"/>
            <w:tcBorders/>
            <w:shd w:fill="ECF8FE" w:val="clear"/>
            <w:tcMar>
              <w:top w:w="0" w:type="dxa"/>
              <w:left w:w="0" w:type="dxa"/>
              <w:bottom w:w="0" w:type="dxa"/>
              <w:right w:w="0" w:type="dxa"/>
            </w:tcMar>
            <w:vAlign w:val="center"/>
          </w:tcPr>
          <w:p>
            <w:pPr>
              <w:pStyle w:val="TableContents"/>
              <w:bidi w:val="0"/>
              <w:spacing w:lineRule="auto" w:line="312" w:before="0" w:after="60"/>
              <w:jc w:val="left"/>
              <w:rPr>
                <w:rFonts w:ascii="Roboto;sans-serif" w:hAnsi="Roboto;sans-serif"/>
                <w:b/>
                <w:color w:val="EE2724"/>
                <w:sz w:val="16"/>
              </w:rPr>
            </w:pPr>
            <w:r>
              <w:rPr>
                <w:rFonts w:ascii="Roboto;sans-serif" w:hAnsi="Roboto;sans-serif"/>
                <w:b/>
                <w:color w:val="EE2724"/>
                <w:sz w:val="16"/>
              </w:rPr>
              <w:t>BOARD RECOMMENDATION</w:t>
            </w:r>
          </w:p>
          <w:p>
            <w:pPr>
              <w:pStyle w:val="TableContents"/>
              <w:bidi w:val="0"/>
              <w:spacing w:lineRule="auto" w:line="288" w:before="0" w:after="0"/>
              <w:jc w:val="left"/>
              <w:rPr>
                <w:rFonts w:ascii="Roboto;sans-serif" w:hAnsi="Roboto;sans-serif"/>
                <w:b/>
                <w:color w:val="01024A"/>
                <w:sz w:val="24"/>
              </w:rPr>
            </w:pPr>
            <w:r>
              <w:rPr>
                <w:rFonts w:ascii="Roboto;sans-serif" w:hAnsi="Roboto;sans-serif"/>
                <w:b/>
                <w:color w:val="01024A"/>
                <w:sz w:val="24"/>
              </w:rPr>
              <w:t>The Board recommends that you vote “FOR” the election of each of the Class III Director nominees named above.</w:t>
            </w:r>
          </w:p>
        </w:tc>
        <w:tc>
          <w:tcPr>
            <w:tcW w:w="373"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263525"/>
                <wp:effectExtent l="0" t="0" r="0" b="0"/>
                <wp:wrapNone/>
                <wp:docPr id="150" name="Frame21"/>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151"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14" descr=""/>
                                          <pic:cNvPicPr>
                                            <a:picLocks noChangeAspect="1" noChangeArrowheads="1"/>
                                          </pic:cNvPicPr>
                                        </pic:nvPicPr>
                                        <pic:blipFill>
                                          <a:blip r:embed="rId131"/>
                                          <a:stretch>
                                            <a:fillRect/>
                                          </a:stretch>
                                        </pic:blipFill>
                                        <pic:spPr bwMode="auto">
                                          <a:xfrm>
                                            <a:off x="0" y="0"/>
                                            <a:ext cx="266700" cy="200025"/>
                                          </a:xfrm>
                                          <a:prstGeom prst="rect">
                                            <a:avLst/>
                                          </a:prstGeom>
                                        </pic:spPr>
                                      </pic:pic>
                                    </a:graphicData>
                                  </a:graphic>
                                </wp:inline>
                              </w:drawing>
                            </w:r>
                            <w:bookmarkStart w:id="129" w:name="i-114"/>
                            <w:bookmarkEnd w:id="129"/>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152"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14" descr=""/>
                                    <pic:cNvPicPr>
                                      <a:picLocks noChangeAspect="1" noChangeArrowheads="1"/>
                                    </pic:cNvPicPr>
                                  </pic:nvPicPr>
                                  <pic:blipFill>
                                    <a:blip r:embed="rId132"/>
                                    <a:stretch>
                                      <a:fillRect/>
                                    </a:stretch>
                                  </pic:blipFill>
                                  <pic:spPr bwMode="auto">
                                    <a:xfrm>
                                      <a:off x="0" y="0"/>
                                      <a:ext cx="266700" cy="200025"/>
                                    </a:xfrm>
                                    <a:prstGeom prst="rect">
                                      <a:avLst/>
                                    </a:prstGeom>
                                  </pic:spPr>
                                </pic:pic>
                              </a:graphicData>
                            </a:graphic>
                          </wp:inline>
                        </w:drawing>
                      </w:r>
                      <w:bookmarkStart w:id="130" w:name="i-114"/>
                      <w:bookmarkEnd w:id="130"/>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Continuing Board Members Not Standing for Re-Election at the Annual Meeting</w:t>
      </w:r>
    </w:p>
    <w:p>
      <w:pPr>
        <w:pStyle w:val="TextBody"/>
        <w:bidi w:val="0"/>
        <w:spacing w:lineRule="atLeast" w:line="240" w:before="0" w:after="360"/>
        <w:jc w:val="left"/>
        <w:rPr>
          <w:rFonts w:ascii="Roboto Light;sans-serif" w:hAnsi="Roboto Light;sans-serif"/>
          <w:b w:val="false"/>
          <w:color w:val="000000"/>
          <w:sz w:val="18"/>
        </w:rPr>
      </w:pPr>
      <w:r>
        <w:rPr>
          <w:rFonts w:ascii="Roboto Light;sans-serif" w:hAnsi="Roboto Light;sans-serif"/>
          <w:b w:val="false"/>
          <w:color w:val="000000"/>
          <w:sz w:val="18"/>
        </w:rPr>
        <w:t xml:space="preserve">Set forth below is information regarding each director whose term continues beyond the Annual Meeting and who is not subject to re-election this year. Beneficial ownership of equity securities for these directors is also shown under “Ownership of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240"/>
        <w:jc w:val="left"/>
        <w:rPr>
          <w:rFonts w:ascii="Roboto;sans-serif" w:hAnsi="Roboto;sans-serif"/>
          <w:b/>
          <w:color w:val="01024A"/>
          <w:sz w:val="20"/>
        </w:rPr>
      </w:pPr>
      <w:r>
        <w:rPr>
          <w:rFonts w:ascii="Roboto;sans-serif" w:hAnsi="Roboto;sans-serif"/>
          <w:b/>
          <w:color w:val="01024A"/>
          <w:sz w:val="20"/>
        </w:rPr>
        <w:t>Class I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87"/>
        <w:gridCol w:w="165"/>
        <w:gridCol w:w="165"/>
        <w:gridCol w:w="165"/>
        <w:gridCol w:w="165"/>
        <w:gridCol w:w="165"/>
        <w:gridCol w:w="433"/>
        <w:gridCol w:w="373"/>
        <w:gridCol w:w="249"/>
        <w:gridCol w:w="173"/>
        <w:gridCol w:w="173"/>
        <w:gridCol w:w="173"/>
        <w:gridCol w:w="165"/>
        <w:gridCol w:w="165"/>
        <w:gridCol w:w="169"/>
        <w:gridCol w:w="109"/>
        <w:gridCol w:w="109"/>
        <w:gridCol w:w="109"/>
        <w:gridCol w:w="1095"/>
        <w:gridCol w:w="919"/>
        <w:gridCol w:w="919"/>
        <w:gridCol w:w="615"/>
        <w:gridCol w:w="615"/>
        <w:gridCol w:w="615"/>
        <w:gridCol w:w="585"/>
        <w:gridCol w:w="585"/>
        <w:gridCol w:w="845"/>
      </w:tblGrid>
      <w:tr>
        <w:trPr/>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15"/>
            <w:vMerge w:val="restart"/>
            <w:tcBorders/>
            <w:shd w:fill="ECF8F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524000" cy="1752600"/>
                  <wp:effectExtent l="0" t="0" r="0" b="0"/>
                  <wp:docPr id="153"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15" descr=""/>
                          <pic:cNvPicPr>
                            <a:picLocks noChangeAspect="1" noChangeArrowheads="1"/>
                          </pic:cNvPicPr>
                        </pic:nvPicPr>
                        <pic:blipFill>
                          <a:blip r:embed="rId133"/>
                          <a:stretch>
                            <a:fillRect/>
                          </a:stretch>
                        </pic:blipFill>
                        <pic:spPr bwMode="auto">
                          <a:xfrm>
                            <a:off x="0" y="0"/>
                            <a:ext cx="1524000" cy="1752600"/>
                          </a:xfrm>
                          <a:prstGeom prst="rect">
                            <a:avLst/>
                          </a:prstGeom>
                        </pic:spPr>
                      </pic:pic>
                    </a:graphicData>
                  </a:graphic>
                </wp:inline>
              </w:drawing>
            </w:r>
            <w:bookmarkStart w:id="131" w:name="i-115"/>
            <w:bookmarkEnd w:id="131"/>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3" w:type="dxa"/>
            <w:gridSpan w:val="9"/>
            <w:tcBorders/>
            <w:tcMar>
              <w:top w:w="0" w:type="dxa"/>
              <w:left w:w="0" w:type="dxa"/>
              <w:bottom w:w="0" w:type="dxa"/>
              <w:right w:w="0" w:type="dxa"/>
            </w:tcMar>
            <w:vAlign w:val="center"/>
          </w:tcPr>
          <w:p>
            <w:pPr>
              <w:pStyle w:val="TableContents"/>
              <w:bidi w:val="0"/>
              <w:spacing w:lineRule="atLeast" w:line="300" w:before="0" w:after="120"/>
              <w:jc w:val="left"/>
              <w:rPr>
                <w:rFonts w:ascii="Roboto;sans-serif" w:hAnsi="Roboto;sans-serif"/>
                <w:b/>
                <w:color w:val="1946C8"/>
                <w:sz w:val="40"/>
              </w:rPr>
            </w:pPr>
            <w:r>
              <w:rPr>
                <w:rFonts w:ascii="Roboto;sans-serif" w:hAnsi="Roboto;sans-serif"/>
                <w:b/>
                <w:color w:val="1946C8"/>
                <w:sz w:val="40"/>
              </w:rPr>
              <w:t>Steve P. Lawrence</w:t>
            </w:r>
          </w:p>
          <w:p>
            <w:pPr>
              <w:pStyle w:val="TableContents"/>
              <w:bidi w:val="0"/>
              <w:spacing w:lineRule="atLeast" w:line="300" w:before="0" w:after="0"/>
              <w:jc w:val="left"/>
              <w:rPr>
                <w:rFonts w:ascii="Roboto;sans-serif" w:hAnsi="Roboto;sans-serif"/>
                <w:b/>
                <w:color w:val="E81111"/>
                <w:sz w:val="24"/>
              </w:rPr>
            </w:pPr>
            <w:r>
              <w:rPr>
                <w:rFonts w:ascii="Roboto;sans-serif" w:hAnsi="Roboto;sans-serif"/>
                <w:b/>
                <w:color w:val="E81111"/>
                <w:sz w:val="24"/>
              </w:rPr>
              <w:t>Chief Executive Officer</w:t>
            </w:r>
          </w:p>
        </w:tc>
      </w:tr>
      <w:tr>
        <w:trPr/>
        <w:tc>
          <w:tcPr>
            <w:tcW w:w="3085"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Director Since: </w:t>
            </w:r>
            <w:r>
              <w:rPr>
                <w:rFonts w:ascii="Roboto;sans-serif" w:hAnsi="Roboto;sans-serif"/>
                <w:b w:val="false"/>
                <w:color w:val="01024A"/>
                <w:sz w:val="18"/>
              </w:rPr>
              <w:t>June 2023</w:t>
            </w:r>
          </w:p>
        </w:tc>
        <w:tc>
          <w:tcPr>
            <w:tcW w:w="1845"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Board Class: </w:t>
            </w:r>
            <w:r>
              <w:rPr>
                <w:rFonts w:ascii="Roboto;sans-serif" w:hAnsi="Roboto;sans-serif"/>
                <w:b w:val="false"/>
                <w:color w:val="01024A"/>
                <w:sz w:val="18"/>
              </w:rPr>
              <w:t>I</w:t>
            </w:r>
          </w:p>
        </w:tc>
        <w:tc>
          <w:tcPr>
            <w:tcW w:w="2015"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Age: </w:t>
            </w:r>
            <w:r>
              <w:rPr>
                <w:rFonts w:ascii="Roboto;sans-serif" w:hAnsi="Roboto;sans-serif"/>
                <w:b w:val="false"/>
                <w:color w:val="01024A"/>
                <w:sz w:val="18"/>
              </w:rPr>
              <w:t>58</w:t>
            </w:r>
          </w:p>
        </w:tc>
      </w:tr>
      <w:tr>
        <w:trPr/>
        <w:tc>
          <w:tcPr>
            <w:tcW w:w="3085"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3" w:type="dxa"/>
            <w:gridSpan w:val="9"/>
            <w:vMerge w:val="restart"/>
            <w:tcBorders/>
            <w:tcMar>
              <w:top w:w="0" w:type="dxa"/>
              <w:left w:w="0" w:type="dxa"/>
              <w:bottom w:w="0" w:type="dxa"/>
              <w:right w:w="0" w:type="dxa"/>
            </w:tcMar>
            <w:vAlign w:val="center"/>
          </w:tcPr>
          <w:p>
            <w:pPr>
              <w:pStyle w:val="TableContents"/>
              <w:bidi w:val="0"/>
              <w:spacing w:lineRule="auto" w:line="312" w:before="0" w:after="60"/>
              <w:jc w:val="left"/>
              <w:rPr>
                <w:rFonts w:ascii="Roboto;sans-serif" w:hAnsi="Roboto;sans-serif"/>
                <w:b/>
                <w:color w:val="1946C8"/>
                <w:sz w:val="18"/>
              </w:rPr>
            </w:pPr>
            <w:r>
              <w:rPr>
                <w:rFonts w:ascii="Roboto;sans-serif" w:hAnsi="Roboto;sans-serif"/>
                <w:b/>
                <w:color w:val="1946C8"/>
                <w:sz w:val="18"/>
              </w:rPr>
              <w:t>Other Public Company Directorships</w:t>
            </w:r>
          </w:p>
          <w:p>
            <w:pPr>
              <w:pStyle w:val="TableContents"/>
              <w:bidi w:val="0"/>
              <w:spacing w:lineRule="auto" w:line="288" w:before="0" w:after="180"/>
              <w:ind w:left="0" w:right="0" w:hanging="216"/>
              <w:jc w:val="left"/>
              <w:rPr/>
            </w:pPr>
            <w:r>
              <w:rPr>
                <w:color w:val="01024A"/>
              </w:rPr>
              <w:t>•</w:t>
            </w:r>
            <w:r>
              <w:rPr>
                <w:rFonts w:ascii="Roboto;sans-serif" w:hAnsi="Roboto;sans-serif"/>
                <w:b/>
                <w:color w:val="01024A"/>
                <w:sz w:val="16"/>
              </w:rPr>
              <w:t xml:space="preserve">francesca’s: </w:t>
            </w:r>
            <w:r>
              <w:rPr>
                <w:rFonts w:ascii="Roboto;sans-serif" w:hAnsi="Roboto;sans-serif"/>
                <w:b w:val="false"/>
                <w:color w:val="01024A"/>
                <w:sz w:val="16"/>
              </w:rPr>
              <w:t>October 2016 - January 2019</w:t>
            </w:r>
          </w:p>
          <w:p>
            <w:pPr>
              <w:pStyle w:val="TableContents"/>
              <w:bidi w:val="0"/>
              <w:spacing w:lineRule="auto" w:line="312" w:before="100" w:after="60"/>
              <w:jc w:val="left"/>
              <w:rPr>
                <w:rFonts w:ascii="Roboto;sans-serif" w:hAnsi="Roboto;sans-serif"/>
                <w:b/>
                <w:color w:val="1946C8"/>
                <w:sz w:val="18"/>
              </w:rPr>
            </w:pPr>
            <w:r>
              <w:rPr>
                <w:rFonts w:ascii="Roboto;sans-serif" w:hAnsi="Roboto;sans-serif"/>
                <w:b/>
                <w:color w:val="1946C8"/>
                <w:sz w:val="18"/>
              </w:rPr>
              <w:t>Experience and Qualifications</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Academy Sports + Outdoors: </w:t>
            </w:r>
            <w:r>
              <w:rPr>
                <w:rFonts w:ascii="Roboto;sans-serif" w:hAnsi="Roboto;sans-serif"/>
                <w:b w:val="false"/>
                <w:color w:val="01024A"/>
                <w:sz w:val="16"/>
              </w:rPr>
              <w:t>Chief Executive Officer since June 2023; Executive Vice President and Chief Merchandising Officer (February 2019 - June 2023)</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francesca’s: </w:t>
            </w:r>
            <w:r>
              <w:rPr>
                <w:rFonts w:ascii="Roboto;sans-serif" w:hAnsi="Roboto;sans-serif"/>
                <w:b w:val="false"/>
                <w:color w:val="01024A"/>
                <w:sz w:val="16"/>
              </w:rPr>
              <w:t>President, Chief Executive Officer and served on the Board of Directors (October 2016 - January 2019)</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Stage Stores: </w:t>
            </w:r>
            <w:r>
              <w:rPr>
                <w:rFonts w:ascii="Roboto;sans-serif" w:hAnsi="Roboto;sans-serif"/>
                <w:b w:val="false"/>
                <w:color w:val="01024A"/>
                <w:sz w:val="16"/>
              </w:rPr>
              <w:t>Chief Merchandising Officer (May 2012 - September 2016)</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J.C. Penney: </w:t>
            </w:r>
            <w:r>
              <w:rPr>
                <w:rFonts w:ascii="Roboto;sans-serif" w:hAnsi="Roboto;sans-serif"/>
                <w:b w:val="false"/>
                <w:color w:val="01024A"/>
                <w:sz w:val="16"/>
              </w:rPr>
              <w:t>Various merchandising leadership roles (12 years)</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Foley’s/May Co.: </w:t>
            </w:r>
            <w:r>
              <w:rPr>
                <w:rFonts w:ascii="Roboto;sans-serif" w:hAnsi="Roboto;sans-serif"/>
                <w:b w:val="false"/>
                <w:color w:val="01024A"/>
                <w:sz w:val="16"/>
              </w:rPr>
              <w:t xml:space="preserve">Various merchandising roles (10 years) </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Bachelor of Business Administration in Finance: </w:t>
            </w:r>
            <w:r>
              <w:rPr>
                <w:rFonts w:ascii="Roboto;sans-serif" w:hAnsi="Roboto;sans-serif"/>
                <w:b w:val="false"/>
                <w:color w:val="01024A"/>
                <w:sz w:val="16"/>
              </w:rPr>
              <w:t>University of Notre Dame</w:t>
            </w:r>
          </w:p>
          <w:p>
            <w:pPr>
              <w:pStyle w:val="TableContents"/>
              <w:bidi w:val="0"/>
              <w:spacing w:lineRule="auto" w:line="312" w:before="180" w:after="40"/>
              <w:jc w:val="left"/>
              <w:rPr>
                <w:rFonts w:ascii="Roboto;sans-serif" w:hAnsi="Roboto;sans-serif"/>
                <w:b/>
                <w:color w:val="1946C8"/>
                <w:sz w:val="18"/>
              </w:rPr>
            </w:pPr>
            <w:r>
              <w:rPr>
                <w:rFonts w:ascii="Roboto;sans-serif" w:hAnsi="Roboto;sans-serif"/>
                <w:b/>
                <w:color w:val="1946C8"/>
                <w:sz w:val="18"/>
              </w:rPr>
              <w:t>Contributions to the Board</w:t>
            </w:r>
          </w:p>
          <w:p>
            <w:pPr>
              <w:pStyle w:val="TableContents"/>
              <w:bidi w:val="0"/>
              <w:spacing w:lineRule="auto" w:line="288" w:before="0" w:after="0"/>
              <w:jc w:val="left"/>
              <w:rPr>
                <w:rFonts w:ascii="Roboto;sans-serif" w:hAnsi="Roboto;sans-serif"/>
                <w:b w:val="false"/>
                <w:color w:val="01024A"/>
                <w:sz w:val="16"/>
              </w:rPr>
            </w:pPr>
            <w:r>
              <w:rPr>
                <w:rFonts w:ascii="Roboto;sans-serif" w:hAnsi="Roboto;sans-serif"/>
                <w:b w:val="false"/>
                <w:color w:val="01024A"/>
                <w:sz w:val="16"/>
              </w:rPr>
              <w:t xml:space="preserve">Mr. Lawrence has over 35 years of retail business and leadership experience, including six years at Academy in senior leadership roles, with expertise in strategic planning, retail buying, merchandising, planning &amp; allocation (MP&amp;A), private brand, marketing &amp; advertising, and customer loyalty, which the Board values as we drive growth through new store openings, omnichannel expansion, connecting with our customers, increasing the productivity of existing stores and distribution centers, and building the best team in retail. </w:t>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vMerge w:val="restart"/>
            <w:tcBorders/>
            <w:shd w:fill="E81111"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8"/>
              </w:rPr>
            </w:pPr>
            <w:r>
              <w:rPr>
                <w:rFonts w:ascii="Roboto;sans-serif" w:hAnsi="Roboto;sans-serif"/>
                <w:b/>
                <w:color w:val="FFFFFF"/>
                <w:sz w:val="18"/>
              </w:rPr>
              <w:t>Key Skills</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17" w:type="dxa"/>
            <w:gridSpan w:val="3"/>
            <w:tcBorders>
              <w:top w:val="single" w:sz="8" w:space="0" w:color="1946C8"/>
              <w:left w:val="single" w:sz="8" w:space="0" w:color="1946C8"/>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vMerge w:val="continue"/>
            <w:tcBorders/>
            <w:shd w:fill="E81111" w:val="clear"/>
            <w:tcMar>
              <w:top w:w="0" w:type="dxa"/>
              <w:left w:w="0" w:type="dxa"/>
              <w:bottom w:w="0" w:type="dxa"/>
              <w:right w:w="0" w:type="dxa"/>
            </w:tcMar>
            <w:vAlign w:val="center"/>
          </w:tcPr>
          <w:p>
            <w:pPr>
              <w:pStyle w:val="Normal"/>
              <w:bidi w:val="0"/>
              <w:jc w:val="left"/>
              <w:rPr/>
            </w:pPr>
            <w:r>
              <w:rPr/>
            </w:r>
          </w:p>
        </w:tc>
        <w:tc>
          <w:tcPr>
            <w:tcW w:w="519"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9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1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9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1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54"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16" descr=""/>
                          <pic:cNvPicPr>
                            <a:picLocks noChangeAspect="1" noChangeArrowheads="1"/>
                          </pic:cNvPicPr>
                        </pic:nvPicPr>
                        <pic:blipFill>
                          <a:blip r:embed="rId134"/>
                          <a:stretch>
                            <a:fillRect/>
                          </a:stretch>
                        </pic:blipFill>
                        <pic:spPr bwMode="auto">
                          <a:xfrm>
                            <a:off x="0" y="0"/>
                            <a:ext cx="228600" cy="228600"/>
                          </a:xfrm>
                          <a:prstGeom prst="rect">
                            <a:avLst/>
                          </a:prstGeom>
                        </pic:spPr>
                      </pic:pic>
                    </a:graphicData>
                  </a:graphic>
                </wp:inline>
              </w:drawing>
            </w:r>
            <w:bookmarkStart w:id="132" w:name="i-116"/>
            <w:bookmarkEnd w:id="132"/>
          </w:p>
        </w:tc>
        <w:tc>
          <w:tcPr>
            <w:tcW w:w="1574" w:type="dxa"/>
            <w:gridSpan w:val="6"/>
            <w:tcBorders>
              <w:bottom w:val="single" w:sz="4" w:space="0" w:color="96D0FF"/>
            </w:tcBorders>
            <w:tcMar>
              <w:top w:w="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Digital/eCommerce</w:t>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9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1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55"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17" descr=""/>
                          <pic:cNvPicPr>
                            <a:picLocks noChangeAspect="1" noChangeArrowheads="1"/>
                          </pic:cNvPicPr>
                        </pic:nvPicPr>
                        <pic:blipFill>
                          <a:blip r:embed="rId135"/>
                          <a:stretch>
                            <a:fillRect/>
                          </a:stretch>
                        </pic:blipFill>
                        <pic:spPr bwMode="auto">
                          <a:xfrm>
                            <a:off x="0" y="0"/>
                            <a:ext cx="228600" cy="228600"/>
                          </a:xfrm>
                          <a:prstGeom prst="rect">
                            <a:avLst/>
                          </a:prstGeom>
                        </pic:spPr>
                      </pic:pic>
                    </a:graphicData>
                  </a:graphic>
                </wp:inline>
              </w:drawing>
            </w:r>
            <w:bookmarkStart w:id="133" w:name="i-117"/>
            <w:bookmarkEnd w:id="133"/>
          </w:p>
        </w:tc>
        <w:tc>
          <w:tcPr>
            <w:tcW w:w="1574"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Marketing</w:t>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9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1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56"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18" descr=""/>
                          <pic:cNvPicPr>
                            <a:picLocks noChangeAspect="1" noChangeArrowheads="1"/>
                          </pic:cNvPicPr>
                        </pic:nvPicPr>
                        <pic:blipFill>
                          <a:blip r:embed="rId136"/>
                          <a:stretch>
                            <a:fillRect/>
                          </a:stretch>
                        </pic:blipFill>
                        <pic:spPr bwMode="auto">
                          <a:xfrm>
                            <a:off x="0" y="0"/>
                            <a:ext cx="228600" cy="228600"/>
                          </a:xfrm>
                          <a:prstGeom prst="rect">
                            <a:avLst/>
                          </a:prstGeom>
                        </pic:spPr>
                      </pic:pic>
                    </a:graphicData>
                  </a:graphic>
                </wp:inline>
              </w:drawing>
            </w:r>
            <w:bookmarkStart w:id="134" w:name="i-118"/>
            <w:bookmarkEnd w:id="134"/>
          </w:p>
        </w:tc>
        <w:tc>
          <w:tcPr>
            <w:tcW w:w="1574"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Merchandising</w:t>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9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1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57"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19" descr=""/>
                          <pic:cNvPicPr>
                            <a:picLocks noChangeAspect="1" noChangeArrowheads="1"/>
                          </pic:cNvPicPr>
                        </pic:nvPicPr>
                        <pic:blipFill>
                          <a:blip r:embed="rId137"/>
                          <a:stretch>
                            <a:fillRect/>
                          </a:stretch>
                        </pic:blipFill>
                        <pic:spPr bwMode="auto">
                          <a:xfrm>
                            <a:off x="0" y="0"/>
                            <a:ext cx="228600" cy="228600"/>
                          </a:xfrm>
                          <a:prstGeom prst="rect">
                            <a:avLst/>
                          </a:prstGeom>
                        </pic:spPr>
                      </pic:pic>
                    </a:graphicData>
                  </a:graphic>
                </wp:inline>
              </w:drawing>
            </w:r>
            <w:bookmarkStart w:id="135" w:name="i-119"/>
            <w:bookmarkEnd w:id="135"/>
          </w:p>
        </w:tc>
        <w:tc>
          <w:tcPr>
            <w:tcW w:w="1574"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Sourcing/Manufacturing</w:t>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9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1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58"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20" descr=""/>
                          <pic:cNvPicPr>
                            <a:picLocks noChangeAspect="1" noChangeArrowheads="1"/>
                          </pic:cNvPicPr>
                        </pic:nvPicPr>
                        <pic:blipFill>
                          <a:blip r:embed="rId138"/>
                          <a:stretch>
                            <a:fillRect/>
                          </a:stretch>
                        </pic:blipFill>
                        <pic:spPr bwMode="auto">
                          <a:xfrm>
                            <a:off x="0" y="0"/>
                            <a:ext cx="228600" cy="228600"/>
                          </a:xfrm>
                          <a:prstGeom prst="rect">
                            <a:avLst/>
                          </a:prstGeom>
                        </pic:spPr>
                      </pic:pic>
                    </a:graphicData>
                  </a:graphic>
                </wp:inline>
              </w:drawing>
            </w:r>
            <w:bookmarkStart w:id="136" w:name="i-120"/>
            <w:bookmarkEnd w:id="136"/>
          </w:p>
        </w:tc>
        <w:tc>
          <w:tcPr>
            <w:tcW w:w="1574" w:type="dxa"/>
            <w:gridSpan w:val="6"/>
            <w:tcBorders>
              <w:top w:val="single" w:sz="4" w:space="0" w:color="96D0FF"/>
            </w:tcBorders>
            <w:tcMar>
              <w:top w:w="3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Strategic Planning</w:t>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9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1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3" w:type="dxa"/>
            <w:gridSpan w:val="9"/>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1946C8"/>
                <w:sz w:val="16"/>
              </w:rPr>
            </w:pPr>
            <w:r>
              <w:rPr>
                <w:rFonts w:ascii="Roboto;sans-serif" w:hAnsi="Roboto;sans-serif"/>
                <w:b/>
                <w:color w:val="1946C8"/>
                <w:sz w:val="16"/>
              </w:rPr>
              <w:t>The Board selected Mr. Lawrence to serve as a director based on his board, executive leadership, and management experience related to the retail industry, which includes strategic planning, merchandising, sourcing/manufacturing, marketing, digital/eCommerce, customer loyalty, governance, accounting/finance, real estate &amp; construction, supply chain/logistics skills.</w:t>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263525"/>
                <wp:effectExtent l="0" t="0" r="0" b="0"/>
                <wp:wrapNone/>
                <wp:docPr id="159" name="Frame22"/>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160"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21" descr=""/>
                                          <pic:cNvPicPr>
                                            <a:picLocks noChangeAspect="1" noChangeArrowheads="1"/>
                                          </pic:cNvPicPr>
                                        </pic:nvPicPr>
                                        <pic:blipFill>
                                          <a:blip r:embed="rId139"/>
                                          <a:stretch>
                                            <a:fillRect/>
                                          </a:stretch>
                                        </pic:blipFill>
                                        <pic:spPr bwMode="auto">
                                          <a:xfrm>
                                            <a:off x="0" y="0"/>
                                            <a:ext cx="266700" cy="200025"/>
                                          </a:xfrm>
                                          <a:prstGeom prst="rect">
                                            <a:avLst/>
                                          </a:prstGeom>
                                        </pic:spPr>
                                      </pic:pic>
                                    </a:graphicData>
                                  </a:graphic>
                                </wp:inline>
                              </w:drawing>
                            </w:r>
                            <w:bookmarkStart w:id="137" w:name="i-121"/>
                            <w:bookmarkEnd w:id="137"/>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16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21" descr=""/>
                                    <pic:cNvPicPr>
                                      <a:picLocks noChangeAspect="1" noChangeArrowheads="1"/>
                                    </pic:cNvPicPr>
                                  </pic:nvPicPr>
                                  <pic:blipFill>
                                    <a:blip r:embed="rId140"/>
                                    <a:stretch>
                                      <a:fillRect/>
                                    </a:stretch>
                                  </pic:blipFill>
                                  <pic:spPr bwMode="auto">
                                    <a:xfrm>
                                      <a:off x="0" y="0"/>
                                      <a:ext cx="266700" cy="200025"/>
                                    </a:xfrm>
                                    <a:prstGeom prst="rect">
                                      <a:avLst/>
                                    </a:prstGeom>
                                  </pic:spPr>
                                </pic:pic>
                              </a:graphicData>
                            </a:graphic>
                          </wp:inline>
                        </w:drawing>
                      </w:r>
                      <w:bookmarkStart w:id="138" w:name="i-121"/>
                      <w:bookmarkEnd w:id="138"/>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17</w:t>
            </w:r>
          </w:p>
        </w:tc>
      </w:tr>
    </w:tbl>
    <w:tbl>
      <w:tblPr>
        <w:tblW w:w="10205" w:type="dxa"/>
        <w:jc w:val="center"/>
        <w:tblInd w:w="0" w:type="dxa"/>
        <w:tblLayout w:type="fixed"/>
        <w:tblCellMar>
          <w:top w:w="28" w:type="dxa"/>
          <w:left w:w="28" w:type="dxa"/>
          <w:bottom w:w="28" w:type="dxa"/>
          <w:right w:w="28" w:type="dxa"/>
        </w:tblCellMar>
      </w:tblPr>
      <w:tblGrid>
        <w:gridCol w:w="212"/>
        <w:gridCol w:w="187"/>
        <w:gridCol w:w="187"/>
        <w:gridCol w:w="187"/>
        <w:gridCol w:w="187"/>
        <w:gridCol w:w="187"/>
        <w:gridCol w:w="345"/>
        <w:gridCol w:w="243"/>
        <w:gridCol w:w="244"/>
        <w:gridCol w:w="193"/>
        <w:gridCol w:w="193"/>
        <w:gridCol w:w="193"/>
        <w:gridCol w:w="187"/>
        <w:gridCol w:w="187"/>
        <w:gridCol w:w="188"/>
        <w:gridCol w:w="109"/>
        <w:gridCol w:w="109"/>
        <w:gridCol w:w="109"/>
        <w:gridCol w:w="1098"/>
        <w:gridCol w:w="1076"/>
        <w:gridCol w:w="934"/>
        <w:gridCol w:w="709"/>
        <w:gridCol w:w="604"/>
        <w:gridCol w:w="604"/>
        <w:gridCol w:w="504"/>
        <w:gridCol w:w="504"/>
        <w:gridCol w:w="725"/>
      </w:tblGrid>
      <w:tr>
        <w:trPr/>
        <w:tc>
          <w:tcPr>
            <w:tcW w:w="21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15"/>
            <w:vMerge w:val="restart"/>
            <w:tcBorders/>
            <w:shd w:fill="ECF8F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33550" cy="1771650"/>
                  <wp:effectExtent l="0" t="0" r="0" b="0"/>
                  <wp:docPr id="16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22" descr=""/>
                          <pic:cNvPicPr>
                            <a:picLocks noChangeAspect="1" noChangeArrowheads="1"/>
                          </pic:cNvPicPr>
                        </pic:nvPicPr>
                        <pic:blipFill>
                          <a:blip r:embed="rId141"/>
                          <a:stretch>
                            <a:fillRect/>
                          </a:stretch>
                        </pic:blipFill>
                        <pic:spPr bwMode="auto">
                          <a:xfrm>
                            <a:off x="0" y="0"/>
                            <a:ext cx="1733550" cy="1771650"/>
                          </a:xfrm>
                          <a:prstGeom prst="rect">
                            <a:avLst/>
                          </a:prstGeom>
                        </pic:spPr>
                      </pic:pic>
                    </a:graphicData>
                  </a:graphic>
                </wp:inline>
              </w:drawing>
            </w:r>
            <w:bookmarkStart w:id="139" w:name="i-122"/>
            <w:bookmarkEnd w:id="139"/>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8" w:type="dxa"/>
            <w:gridSpan w:val="9"/>
            <w:tcBorders/>
            <w:tcMar>
              <w:top w:w="0" w:type="dxa"/>
              <w:left w:w="0" w:type="dxa"/>
              <w:bottom w:w="0" w:type="dxa"/>
              <w:right w:w="0" w:type="dxa"/>
            </w:tcMar>
            <w:vAlign w:val="center"/>
          </w:tcPr>
          <w:p>
            <w:pPr>
              <w:pStyle w:val="TableContents"/>
              <w:bidi w:val="0"/>
              <w:spacing w:lineRule="atLeast" w:line="300" w:before="0" w:after="120"/>
              <w:jc w:val="left"/>
              <w:rPr>
                <w:rFonts w:ascii="Roboto;sans-serif" w:hAnsi="Roboto;sans-serif"/>
                <w:b/>
                <w:color w:val="1946C8"/>
                <w:sz w:val="40"/>
              </w:rPr>
            </w:pPr>
            <w:r>
              <w:rPr>
                <w:rFonts w:ascii="Roboto;sans-serif" w:hAnsi="Roboto;sans-serif"/>
                <w:b/>
                <w:color w:val="1946C8"/>
                <w:sz w:val="40"/>
              </w:rPr>
              <w:t>Brian T. Marley</w:t>
            </w:r>
          </w:p>
          <w:p>
            <w:pPr>
              <w:pStyle w:val="TableContents"/>
              <w:bidi w:val="0"/>
              <w:spacing w:lineRule="atLeast" w:line="300" w:before="0" w:after="0"/>
              <w:jc w:val="left"/>
              <w:rPr>
                <w:rFonts w:ascii="Roboto;sans-serif" w:hAnsi="Roboto;sans-serif"/>
                <w:b/>
                <w:color w:val="E81111"/>
                <w:sz w:val="24"/>
              </w:rPr>
            </w:pPr>
            <w:r>
              <w:rPr>
                <w:rFonts w:ascii="Roboto;sans-serif" w:hAnsi="Roboto;sans-serif"/>
                <w:b/>
                <w:color w:val="E81111"/>
                <w:sz w:val="24"/>
              </w:rPr>
              <w:t>Independent Director</w:t>
            </w:r>
          </w:p>
        </w:tc>
      </w:tr>
      <w:tr>
        <w:trPr/>
        <w:tc>
          <w:tcPr>
            <w:tcW w:w="3120"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Director Since: </w:t>
            </w:r>
            <w:r>
              <w:rPr>
                <w:rFonts w:ascii="Roboto;sans-serif" w:hAnsi="Roboto;sans-serif"/>
                <w:b w:val="false"/>
                <w:color w:val="01024A"/>
                <w:sz w:val="18"/>
              </w:rPr>
              <w:t>June 2020</w:t>
            </w:r>
          </w:p>
        </w:tc>
        <w:tc>
          <w:tcPr>
            <w:tcW w:w="1917"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Board Class: </w:t>
            </w:r>
            <w:r>
              <w:rPr>
                <w:rFonts w:ascii="Roboto;sans-serif" w:hAnsi="Roboto;sans-serif"/>
                <w:b w:val="false"/>
                <w:color w:val="01024A"/>
                <w:sz w:val="18"/>
              </w:rPr>
              <w:t>I</w:t>
            </w:r>
          </w:p>
        </w:tc>
        <w:tc>
          <w:tcPr>
            <w:tcW w:w="1733"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Age: </w:t>
            </w:r>
            <w:r>
              <w:rPr>
                <w:rFonts w:ascii="Roboto;sans-serif" w:hAnsi="Roboto;sans-serif"/>
                <w:b w:val="false"/>
                <w:color w:val="01024A"/>
                <w:sz w:val="18"/>
              </w:rPr>
              <w:t>68</w:t>
            </w:r>
          </w:p>
        </w:tc>
      </w:tr>
      <w:tr>
        <w:trPr/>
        <w:tc>
          <w:tcPr>
            <w:tcW w:w="3120"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8" w:type="dxa"/>
            <w:gridSpan w:val="9"/>
            <w:vMerge w:val="restart"/>
            <w:tcBorders/>
            <w:tcMar>
              <w:top w:w="0" w:type="dxa"/>
              <w:left w:w="0" w:type="dxa"/>
              <w:bottom w:w="0" w:type="dxa"/>
              <w:right w:w="0" w:type="dxa"/>
            </w:tcMar>
            <w:vAlign w:val="center"/>
          </w:tcPr>
          <w:p>
            <w:pPr>
              <w:pStyle w:val="TableContents"/>
              <w:bidi w:val="0"/>
              <w:spacing w:lineRule="auto" w:line="312" w:before="0" w:after="60"/>
              <w:jc w:val="left"/>
              <w:rPr>
                <w:rFonts w:ascii="Roboto;sans-serif" w:hAnsi="Roboto;sans-serif"/>
                <w:b/>
                <w:color w:val="1946C8"/>
                <w:sz w:val="18"/>
              </w:rPr>
            </w:pPr>
            <w:r>
              <w:rPr>
                <w:rFonts w:ascii="Roboto;sans-serif" w:hAnsi="Roboto;sans-serif"/>
                <w:b/>
                <w:color w:val="1946C8"/>
                <w:sz w:val="18"/>
              </w:rPr>
              <w:t>Committee Memberships</w:t>
            </w:r>
          </w:p>
          <w:p>
            <w:pPr>
              <w:pStyle w:val="TableContents"/>
              <w:bidi w:val="0"/>
              <w:spacing w:lineRule="auto" w:line="288" w:before="0" w:after="180"/>
              <w:ind w:left="0" w:right="0" w:hanging="216"/>
              <w:jc w:val="left"/>
              <w:rPr/>
            </w:pPr>
            <w:r>
              <w:rPr>
                <w:color w:val="000000"/>
              </w:rPr>
              <w:t>•</w:t>
            </w:r>
            <w:r>
              <w:rPr>
                <w:rFonts w:ascii="Roboto;sans-serif" w:hAnsi="Roboto;sans-serif"/>
                <w:b w:val="false"/>
                <w:color w:val="01024A"/>
                <w:sz w:val="16"/>
              </w:rPr>
              <w:t>Audit (Chair) since June 2020</w:t>
            </w:r>
          </w:p>
          <w:p>
            <w:pPr>
              <w:pStyle w:val="TableContents"/>
              <w:bidi w:val="0"/>
              <w:spacing w:lineRule="auto" w:line="312" w:before="100" w:after="60"/>
              <w:jc w:val="left"/>
              <w:rPr>
                <w:rFonts w:ascii="Roboto;sans-serif" w:hAnsi="Roboto;sans-serif"/>
                <w:b/>
                <w:color w:val="1946C8"/>
                <w:sz w:val="18"/>
              </w:rPr>
            </w:pPr>
            <w:r>
              <w:rPr>
                <w:rFonts w:ascii="Roboto;sans-serif" w:hAnsi="Roboto;sans-serif"/>
                <w:b/>
                <w:color w:val="1946C8"/>
                <w:sz w:val="18"/>
              </w:rPr>
              <w:t>Experience and Qualifications</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Academy Sports + Outdoors: </w:t>
            </w:r>
            <w:r>
              <w:rPr>
                <w:rFonts w:ascii="Roboto;sans-serif" w:hAnsi="Roboto;sans-serif"/>
                <w:b w:val="false"/>
                <w:color w:val="01024A"/>
                <w:sz w:val="16"/>
              </w:rPr>
              <w:t>Board of Managers of New Academy Holding Company, LLC (January 2018 - June 2020)</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Marley Associates LLC: </w:t>
            </w:r>
            <w:r>
              <w:rPr>
                <w:rFonts w:ascii="Roboto;sans-serif" w:hAnsi="Roboto;sans-serif"/>
                <w:b w:val="false"/>
                <w:color w:val="01024A"/>
                <w:sz w:val="16"/>
              </w:rPr>
              <w:t>Founder &amp; Managing Partner (2014 - present)</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Kohlberg, Kravis, Roberts &amp; Co.: </w:t>
            </w:r>
            <w:r>
              <w:rPr>
                <w:rFonts w:ascii="Roboto;sans-serif" w:hAnsi="Roboto;sans-serif"/>
                <w:b w:val="false"/>
                <w:color w:val="01024A"/>
                <w:sz w:val="16"/>
              </w:rPr>
              <w:t>Consumer and Retail Industry Advisor (January 2023 - present)</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Belk:</w:t>
            </w:r>
            <w:r>
              <w:rPr>
                <w:color w:val="01024A"/>
              </w:rPr>
              <w:t xml:space="preserve"> </w:t>
            </w:r>
            <w:r>
              <w:rPr>
                <w:rFonts w:ascii="Roboto;sans-serif" w:hAnsi="Roboto;sans-serif"/>
                <w:b w:val="false"/>
                <w:color w:val="01024A"/>
                <w:sz w:val="16"/>
              </w:rPr>
              <w:t xml:space="preserve">Executive Vice President and Chief Financial Officer (2000 - 2013) </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Belk National Bank:</w:t>
            </w:r>
            <w:r>
              <w:rPr>
                <w:color w:val="01024A"/>
              </w:rPr>
              <w:t xml:space="preserve"> </w:t>
            </w:r>
            <w:r>
              <w:rPr>
                <w:rFonts w:ascii="Roboto;sans-serif" w:hAnsi="Roboto;sans-serif"/>
                <w:b w:val="false"/>
                <w:color w:val="01024A"/>
                <w:sz w:val="16"/>
              </w:rPr>
              <w:t>Chairman (2000 - 2006)</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KPMG: </w:t>
            </w:r>
            <w:r>
              <w:rPr>
                <w:rFonts w:ascii="Roboto;sans-serif" w:hAnsi="Roboto;sans-serif"/>
                <w:b w:val="false"/>
                <w:color w:val="01024A"/>
                <w:sz w:val="16"/>
              </w:rPr>
              <w:t>Audit and assurance partner - Retail and Consumer Industry practice (20 years)</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Bachelor of Science in Business Administration: </w:t>
            </w:r>
            <w:r>
              <w:rPr>
                <w:rFonts w:ascii="Roboto;sans-serif" w:hAnsi="Roboto;sans-serif"/>
                <w:b w:val="false"/>
                <w:color w:val="01024A"/>
                <w:sz w:val="16"/>
              </w:rPr>
              <w:t>University of North Carolina at Chapel Hill</w:t>
            </w:r>
          </w:p>
          <w:p>
            <w:pPr>
              <w:pStyle w:val="TableContents"/>
              <w:bidi w:val="0"/>
              <w:spacing w:lineRule="auto" w:line="312" w:before="180" w:after="40"/>
              <w:jc w:val="left"/>
              <w:rPr>
                <w:rFonts w:ascii="Roboto;sans-serif" w:hAnsi="Roboto;sans-serif"/>
                <w:b/>
                <w:color w:val="1946C8"/>
                <w:sz w:val="18"/>
              </w:rPr>
            </w:pPr>
            <w:r>
              <w:rPr>
                <w:rFonts w:ascii="Roboto;sans-serif" w:hAnsi="Roboto;sans-serif"/>
                <w:b/>
                <w:color w:val="1946C8"/>
                <w:sz w:val="18"/>
              </w:rPr>
              <w:t>Contributions to the Board</w:t>
            </w:r>
          </w:p>
          <w:p>
            <w:pPr>
              <w:pStyle w:val="TableContents"/>
              <w:bidi w:val="0"/>
              <w:spacing w:lineRule="auto" w:line="288" w:before="0" w:after="0"/>
              <w:jc w:val="left"/>
              <w:rPr>
                <w:rFonts w:ascii="Roboto;sans-serif" w:hAnsi="Roboto;sans-serif"/>
                <w:b w:val="false"/>
                <w:color w:val="01024A"/>
                <w:sz w:val="16"/>
              </w:rPr>
            </w:pPr>
            <w:r>
              <w:rPr>
                <w:rFonts w:ascii="Roboto;sans-serif" w:hAnsi="Roboto;sans-serif"/>
                <w:b w:val="false"/>
                <w:color w:val="01024A"/>
                <w:sz w:val="16"/>
              </w:rPr>
              <w:t>Mr. Marley has over 20 years of retail experience with both public and privately held companies in the department store and other retail industries, as well as 20 years of experience in public accounting, including extensive executive leadership, financial/accounting, and business consulting experience, which the Board values as we drive growth through new store openings, omnichannel expansion, connecting with our customers, increasing the productivity of our assets, and managing our capital allocation.</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vMerge w:val="restart"/>
            <w:tcBorders/>
            <w:shd w:fill="E81111"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8"/>
              </w:rPr>
            </w:pPr>
            <w:r>
              <w:rPr>
                <w:rFonts w:ascii="Roboto;sans-serif" w:hAnsi="Roboto;sans-serif"/>
                <w:b/>
                <w:color w:val="FFFFFF"/>
                <w:sz w:val="18"/>
              </w:rPr>
              <w:t>Key Skills</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86" w:type="dxa"/>
            <w:gridSpan w:val="3"/>
            <w:tcBorders>
              <w:top w:val="single" w:sz="8" w:space="0" w:color="1946C8"/>
              <w:left w:val="single" w:sz="8" w:space="0" w:color="1946C8"/>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vMerge w:val="continue"/>
            <w:tcBorders/>
            <w:shd w:fill="E81111" w:val="clear"/>
            <w:tcMar>
              <w:top w:w="0" w:type="dxa"/>
              <w:left w:w="0" w:type="dxa"/>
              <w:bottom w:w="0" w:type="dxa"/>
              <w:right w:w="0" w:type="dxa"/>
            </w:tcMar>
            <w:vAlign w:val="center"/>
          </w:tcPr>
          <w:p>
            <w:pPr>
              <w:pStyle w:val="Normal"/>
              <w:bidi w:val="0"/>
              <w:jc w:val="left"/>
              <w:rPr/>
            </w:pPr>
            <w:r>
              <w:rPr/>
            </w:r>
          </w:p>
        </w:tc>
        <w:tc>
          <w:tcPr>
            <w:tcW w:w="579"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5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8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5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8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6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23" descr=""/>
                          <pic:cNvPicPr>
                            <a:picLocks noChangeAspect="1" noChangeArrowheads="1"/>
                          </pic:cNvPicPr>
                        </pic:nvPicPr>
                        <pic:blipFill>
                          <a:blip r:embed="rId142"/>
                          <a:stretch>
                            <a:fillRect/>
                          </a:stretch>
                        </pic:blipFill>
                        <pic:spPr bwMode="auto">
                          <a:xfrm>
                            <a:off x="0" y="0"/>
                            <a:ext cx="228600" cy="228600"/>
                          </a:xfrm>
                          <a:prstGeom prst="rect">
                            <a:avLst/>
                          </a:prstGeom>
                        </pic:spPr>
                      </pic:pic>
                    </a:graphicData>
                  </a:graphic>
                </wp:inline>
              </w:drawing>
            </w:r>
            <w:bookmarkStart w:id="140" w:name="i-123"/>
            <w:bookmarkEnd w:id="140"/>
          </w:p>
        </w:tc>
        <w:tc>
          <w:tcPr>
            <w:tcW w:w="1411" w:type="dxa"/>
            <w:gridSpan w:val="6"/>
            <w:tcBorders>
              <w:bottom w:val="single" w:sz="4" w:space="0" w:color="96D0FF"/>
            </w:tcBorders>
            <w:tcMar>
              <w:top w:w="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Accounting/Finance</w:t>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5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8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6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24" descr=""/>
                          <pic:cNvPicPr>
                            <a:picLocks noChangeAspect="1" noChangeArrowheads="1"/>
                          </pic:cNvPicPr>
                        </pic:nvPicPr>
                        <pic:blipFill>
                          <a:blip r:embed="rId143"/>
                          <a:stretch>
                            <a:fillRect/>
                          </a:stretch>
                        </pic:blipFill>
                        <pic:spPr bwMode="auto">
                          <a:xfrm>
                            <a:off x="0" y="0"/>
                            <a:ext cx="228600" cy="228600"/>
                          </a:xfrm>
                          <a:prstGeom prst="rect">
                            <a:avLst/>
                          </a:prstGeom>
                        </pic:spPr>
                      </pic:pic>
                    </a:graphicData>
                  </a:graphic>
                </wp:inline>
              </w:drawing>
            </w:r>
            <w:bookmarkStart w:id="141" w:name="i-124"/>
            <w:bookmarkEnd w:id="141"/>
          </w:p>
        </w:tc>
        <w:tc>
          <w:tcPr>
            <w:tcW w:w="1411"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Corporate Governance</w:t>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5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8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6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25" descr=""/>
                          <pic:cNvPicPr>
                            <a:picLocks noChangeAspect="1" noChangeArrowheads="1"/>
                          </pic:cNvPicPr>
                        </pic:nvPicPr>
                        <pic:blipFill>
                          <a:blip r:embed="rId144"/>
                          <a:stretch>
                            <a:fillRect/>
                          </a:stretch>
                        </pic:blipFill>
                        <pic:spPr bwMode="auto">
                          <a:xfrm>
                            <a:off x="0" y="0"/>
                            <a:ext cx="228600" cy="228600"/>
                          </a:xfrm>
                          <a:prstGeom prst="rect">
                            <a:avLst/>
                          </a:prstGeom>
                        </pic:spPr>
                      </pic:pic>
                    </a:graphicData>
                  </a:graphic>
                </wp:inline>
              </w:drawing>
            </w:r>
            <w:bookmarkStart w:id="142" w:name="i-125"/>
            <w:bookmarkEnd w:id="142"/>
          </w:p>
        </w:tc>
        <w:tc>
          <w:tcPr>
            <w:tcW w:w="1411"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Customer Loyalty</w:t>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5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8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6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26" descr=""/>
                          <pic:cNvPicPr>
                            <a:picLocks noChangeAspect="1" noChangeArrowheads="1"/>
                          </pic:cNvPicPr>
                        </pic:nvPicPr>
                        <pic:blipFill>
                          <a:blip r:embed="rId145"/>
                          <a:stretch>
                            <a:fillRect/>
                          </a:stretch>
                        </pic:blipFill>
                        <pic:spPr bwMode="auto">
                          <a:xfrm>
                            <a:off x="0" y="0"/>
                            <a:ext cx="228600" cy="228600"/>
                          </a:xfrm>
                          <a:prstGeom prst="rect">
                            <a:avLst/>
                          </a:prstGeom>
                        </pic:spPr>
                      </pic:pic>
                    </a:graphicData>
                  </a:graphic>
                </wp:inline>
              </w:drawing>
            </w:r>
            <w:bookmarkStart w:id="143" w:name="i-126"/>
            <w:bookmarkEnd w:id="143"/>
          </w:p>
        </w:tc>
        <w:tc>
          <w:tcPr>
            <w:tcW w:w="1411"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Process Improvement</w:t>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5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8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6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27" descr=""/>
                          <pic:cNvPicPr>
                            <a:picLocks noChangeAspect="1" noChangeArrowheads="1"/>
                          </pic:cNvPicPr>
                        </pic:nvPicPr>
                        <pic:blipFill>
                          <a:blip r:embed="rId146"/>
                          <a:stretch>
                            <a:fillRect/>
                          </a:stretch>
                        </pic:blipFill>
                        <pic:spPr bwMode="auto">
                          <a:xfrm>
                            <a:off x="0" y="0"/>
                            <a:ext cx="228600" cy="228600"/>
                          </a:xfrm>
                          <a:prstGeom prst="rect">
                            <a:avLst/>
                          </a:prstGeom>
                        </pic:spPr>
                      </pic:pic>
                    </a:graphicData>
                  </a:graphic>
                </wp:inline>
              </w:drawing>
            </w:r>
            <w:bookmarkStart w:id="144" w:name="i-127"/>
            <w:bookmarkEnd w:id="144"/>
          </w:p>
        </w:tc>
        <w:tc>
          <w:tcPr>
            <w:tcW w:w="1411" w:type="dxa"/>
            <w:gridSpan w:val="6"/>
            <w:tcBorders>
              <w:top w:val="single" w:sz="4" w:space="0" w:color="96D0FF"/>
            </w:tcBorders>
            <w:tcMar>
              <w:top w:w="3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Strategic Planning</w:t>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5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86"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8" w:type="dxa"/>
            <w:gridSpan w:val="9"/>
            <w:tcBorders/>
            <w:shd w:fill="ECF8FE"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1946C8"/>
                <w:sz w:val="16"/>
              </w:rPr>
              <w:t>The Board selected Mr. Marley to serve as a director based on his executive leadership</w:t>
            </w:r>
            <w:r>
              <w:rPr>
                <w:color w:val="1946C8"/>
              </w:rPr>
              <w:t xml:space="preserve"> </w:t>
            </w:r>
            <w:r>
              <w:rPr>
                <w:rFonts w:ascii="Helvetica;sans-serif" w:hAnsi="Helvetica;sans-serif"/>
                <w:b/>
                <w:color w:val="1946C8"/>
                <w:sz w:val="16"/>
              </w:rPr>
              <w:t>experience related to the retail industry, including extensive accounting</w:t>
            </w:r>
            <w:r>
              <w:rPr>
                <w:rFonts w:ascii="Roboto;sans-serif" w:hAnsi="Roboto;sans-serif"/>
                <w:b/>
                <w:color w:val="1946C8"/>
                <w:sz w:val="16"/>
              </w:rPr>
              <w:t>/</w:t>
            </w:r>
            <w:r>
              <w:rPr>
                <w:rFonts w:ascii="Helvetica;sans-serif" w:hAnsi="Helvetica;sans-serif"/>
                <w:b/>
                <w:color w:val="1946C8"/>
                <w:sz w:val="16"/>
              </w:rPr>
              <w:t>financial</w:t>
            </w:r>
            <w:r>
              <w:rPr>
                <w:rFonts w:ascii="Roboto;sans-serif" w:hAnsi="Roboto;sans-serif"/>
                <w:b/>
                <w:color w:val="1946C8"/>
                <w:sz w:val="16"/>
              </w:rPr>
              <w:t xml:space="preserve">, </w:t>
            </w:r>
            <w:r>
              <w:rPr>
                <w:rFonts w:ascii="Helvetica;sans-serif" w:hAnsi="Helvetica;sans-serif"/>
                <w:b/>
                <w:color w:val="1946C8"/>
                <w:sz w:val="16"/>
              </w:rPr>
              <w:t>strateg</w:t>
            </w:r>
            <w:r>
              <w:rPr>
                <w:rFonts w:ascii="Roboto;sans-serif" w:hAnsi="Roboto;sans-serif"/>
                <w:b/>
                <w:color w:val="1946C8"/>
                <w:sz w:val="16"/>
              </w:rPr>
              <w:t>ic planning</w:t>
            </w:r>
            <w:r>
              <w:rPr>
                <w:rFonts w:ascii="Helvetica;sans-serif" w:hAnsi="Helvetica;sans-serif"/>
                <w:b/>
                <w:color w:val="1946C8"/>
                <w:sz w:val="16"/>
              </w:rPr>
              <w:t xml:space="preserve">, process improvement, </w:t>
            </w:r>
            <w:r>
              <w:rPr>
                <w:rFonts w:ascii="Roboto;sans-serif" w:hAnsi="Roboto;sans-serif"/>
                <w:b/>
                <w:color w:val="1946C8"/>
                <w:sz w:val="16"/>
              </w:rPr>
              <w:t xml:space="preserve">corporate governance, </w:t>
            </w:r>
            <w:r>
              <w:rPr>
                <w:rFonts w:ascii="Helvetica;sans-serif" w:hAnsi="Helvetica;sans-serif"/>
                <w:b/>
                <w:color w:val="1946C8"/>
                <w:sz w:val="16"/>
              </w:rPr>
              <w:t>customer loyalty</w:t>
            </w:r>
            <w:r>
              <w:rPr>
                <w:rFonts w:ascii="Roboto;sans-serif" w:hAnsi="Roboto;sans-serif"/>
                <w:b/>
                <w:color w:val="1946C8"/>
                <w:sz w:val="16"/>
              </w:rPr>
              <w:t xml:space="preserve">, </w:t>
            </w:r>
            <w:r>
              <w:rPr>
                <w:rFonts w:ascii="Helvetica;sans-serif" w:hAnsi="Helvetica;sans-serif"/>
                <w:b/>
                <w:color w:val="1946C8"/>
                <w:sz w:val="16"/>
              </w:rPr>
              <w:t xml:space="preserve">risk management, </w:t>
            </w:r>
            <w:r>
              <w:rPr>
                <w:rFonts w:ascii="Roboto;sans-serif" w:hAnsi="Roboto;sans-serif"/>
                <w:b/>
                <w:color w:val="1946C8"/>
                <w:sz w:val="16"/>
              </w:rPr>
              <w:t xml:space="preserve">and </w:t>
            </w:r>
            <w:r>
              <w:rPr>
                <w:rFonts w:ascii="Helvetica;sans-serif" w:hAnsi="Helvetica;sans-serif"/>
                <w:b/>
                <w:color w:val="1946C8"/>
                <w:sz w:val="16"/>
              </w:rPr>
              <w:t>marketing</w:t>
            </w:r>
            <w:r>
              <w:rPr>
                <w:color w:val="1946C8"/>
              </w:rPr>
              <w:t xml:space="preserve"> </w:t>
            </w:r>
            <w:r>
              <w:rPr>
                <w:rFonts w:ascii="Roboto;sans-serif" w:hAnsi="Roboto;sans-serif"/>
                <w:b/>
                <w:color w:val="1946C8"/>
                <w:sz w:val="16"/>
              </w:rPr>
              <w:t>skills</w:t>
            </w:r>
            <w:r>
              <w:rPr>
                <w:rFonts w:ascii="Helvetica;sans-serif" w:hAnsi="Helvetica;sans-serif"/>
                <w:b/>
                <w:color w:val="1946C8"/>
                <w:sz w:val="16"/>
              </w:rPr>
              <w:t>.</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263525"/>
                <wp:effectExtent l="0" t="0" r="0" b="0"/>
                <wp:wrapNone/>
                <wp:docPr id="168" name="Frame23"/>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169"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28" descr=""/>
                                          <pic:cNvPicPr>
                                            <a:picLocks noChangeAspect="1" noChangeArrowheads="1"/>
                                          </pic:cNvPicPr>
                                        </pic:nvPicPr>
                                        <pic:blipFill>
                                          <a:blip r:embed="rId147"/>
                                          <a:stretch>
                                            <a:fillRect/>
                                          </a:stretch>
                                        </pic:blipFill>
                                        <pic:spPr bwMode="auto">
                                          <a:xfrm>
                                            <a:off x="0" y="0"/>
                                            <a:ext cx="266700" cy="200025"/>
                                          </a:xfrm>
                                          <a:prstGeom prst="rect">
                                            <a:avLst/>
                                          </a:prstGeom>
                                        </pic:spPr>
                                      </pic:pic>
                                    </a:graphicData>
                                  </a:graphic>
                                </wp:inline>
                              </w:drawing>
                            </w:r>
                            <w:bookmarkStart w:id="145" w:name="i-128"/>
                            <w:bookmarkEnd w:id="145"/>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170"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28" descr=""/>
                                    <pic:cNvPicPr>
                                      <a:picLocks noChangeAspect="1" noChangeArrowheads="1"/>
                                    </pic:cNvPicPr>
                                  </pic:nvPicPr>
                                  <pic:blipFill>
                                    <a:blip r:embed="rId148"/>
                                    <a:stretch>
                                      <a:fillRect/>
                                    </a:stretch>
                                  </pic:blipFill>
                                  <pic:spPr bwMode="auto">
                                    <a:xfrm>
                                      <a:off x="0" y="0"/>
                                      <a:ext cx="266700" cy="200025"/>
                                    </a:xfrm>
                                    <a:prstGeom prst="rect">
                                      <a:avLst/>
                                    </a:prstGeom>
                                  </pic:spPr>
                                </pic:pic>
                              </a:graphicData>
                            </a:graphic>
                          </wp:inline>
                        </w:drawing>
                      </w:r>
                      <w:bookmarkStart w:id="146" w:name="i-128"/>
                      <w:bookmarkEnd w:id="146"/>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tbl>
      <w:tblPr>
        <w:tblW w:w="10205" w:type="dxa"/>
        <w:jc w:val="center"/>
        <w:tblInd w:w="0" w:type="dxa"/>
        <w:tblLayout w:type="fixed"/>
        <w:tblCellMar>
          <w:top w:w="28" w:type="dxa"/>
          <w:left w:w="28" w:type="dxa"/>
          <w:bottom w:w="28" w:type="dxa"/>
          <w:right w:w="28" w:type="dxa"/>
        </w:tblCellMar>
      </w:tblPr>
      <w:tblGrid>
        <w:gridCol w:w="212"/>
        <w:gridCol w:w="187"/>
        <w:gridCol w:w="187"/>
        <w:gridCol w:w="187"/>
        <w:gridCol w:w="187"/>
        <w:gridCol w:w="187"/>
        <w:gridCol w:w="415"/>
        <w:gridCol w:w="262"/>
        <w:gridCol w:w="263"/>
        <w:gridCol w:w="202"/>
        <w:gridCol w:w="202"/>
        <w:gridCol w:w="202"/>
        <w:gridCol w:w="187"/>
        <w:gridCol w:w="187"/>
        <w:gridCol w:w="188"/>
        <w:gridCol w:w="109"/>
        <w:gridCol w:w="109"/>
        <w:gridCol w:w="109"/>
        <w:gridCol w:w="1058"/>
        <w:gridCol w:w="756"/>
        <w:gridCol w:w="756"/>
        <w:gridCol w:w="718"/>
        <w:gridCol w:w="614"/>
        <w:gridCol w:w="614"/>
        <w:gridCol w:w="614"/>
        <w:gridCol w:w="614"/>
        <w:gridCol w:w="879"/>
      </w:tblGrid>
      <w:tr>
        <w:trPr/>
        <w:tc>
          <w:tcPr>
            <w:tcW w:w="21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15"/>
            <w:vMerge w:val="restart"/>
            <w:tcBorders/>
            <w:shd w:fill="ECF8FE" w:val="clear"/>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drawing>
                <wp:inline distT="0" distB="0" distL="0" distR="0">
                  <wp:extent cx="1733550" cy="1990725"/>
                  <wp:effectExtent l="0" t="0" r="0" b="0"/>
                  <wp:docPr id="171"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29" descr=""/>
                          <pic:cNvPicPr>
                            <a:picLocks noChangeAspect="1" noChangeArrowheads="1"/>
                          </pic:cNvPicPr>
                        </pic:nvPicPr>
                        <pic:blipFill>
                          <a:blip r:embed="rId149"/>
                          <a:stretch>
                            <a:fillRect/>
                          </a:stretch>
                        </pic:blipFill>
                        <pic:spPr bwMode="auto">
                          <a:xfrm>
                            <a:off x="0" y="0"/>
                            <a:ext cx="1733550" cy="1990725"/>
                          </a:xfrm>
                          <a:prstGeom prst="rect">
                            <a:avLst/>
                          </a:prstGeom>
                        </pic:spPr>
                      </pic:pic>
                    </a:graphicData>
                  </a:graphic>
                </wp:inline>
              </w:drawing>
            </w:r>
            <w:bookmarkStart w:id="147" w:name="i-129"/>
            <w:bookmarkEnd w:id="147"/>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3" w:type="dxa"/>
            <w:gridSpan w:val="9"/>
            <w:tcBorders/>
            <w:tcMar>
              <w:top w:w="0" w:type="dxa"/>
              <w:left w:w="0" w:type="dxa"/>
              <w:bottom w:w="0" w:type="dxa"/>
              <w:right w:w="0" w:type="dxa"/>
            </w:tcMar>
            <w:vAlign w:val="center"/>
          </w:tcPr>
          <w:p>
            <w:pPr>
              <w:pStyle w:val="TableContents"/>
              <w:bidi w:val="0"/>
              <w:spacing w:lineRule="atLeast" w:line="300" w:before="0" w:after="120"/>
              <w:jc w:val="left"/>
              <w:rPr>
                <w:rFonts w:ascii="Roboto;sans-serif" w:hAnsi="Roboto;sans-serif"/>
                <w:b/>
                <w:color w:val="1946C8"/>
                <w:sz w:val="40"/>
              </w:rPr>
            </w:pPr>
            <w:r>
              <w:rPr>
                <w:rFonts w:ascii="Roboto;sans-serif" w:hAnsi="Roboto;sans-serif"/>
                <w:b/>
                <w:color w:val="1946C8"/>
                <w:sz w:val="40"/>
              </w:rPr>
              <w:t>Tom M. Nealon</w:t>
            </w:r>
          </w:p>
          <w:p>
            <w:pPr>
              <w:pStyle w:val="TableContents"/>
              <w:bidi w:val="0"/>
              <w:spacing w:lineRule="atLeast" w:line="300" w:before="0" w:after="0"/>
              <w:jc w:val="left"/>
              <w:rPr>
                <w:rFonts w:ascii="Roboto;sans-serif" w:hAnsi="Roboto;sans-serif"/>
                <w:b/>
                <w:color w:val="E81111"/>
                <w:sz w:val="24"/>
              </w:rPr>
            </w:pPr>
            <w:r>
              <w:rPr>
                <w:rFonts w:ascii="Roboto;sans-serif" w:hAnsi="Roboto;sans-serif"/>
                <w:b/>
                <w:color w:val="E81111"/>
                <w:sz w:val="24"/>
              </w:rPr>
              <w:t>Lead Independent Director (or “Lead Director”)</w:t>
            </w:r>
          </w:p>
        </w:tc>
      </w:tr>
      <w:tr>
        <w:trPr/>
        <w:tc>
          <w:tcPr>
            <w:tcW w:w="3255"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Director Since: </w:t>
            </w:r>
            <w:r>
              <w:rPr>
                <w:rFonts w:ascii="Roboto;sans-serif" w:hAnsi="Roboto;sans-serif"/>
                <w:b w:val="false"/>
                <w:color w:val="01024A"/>
                <w:sz w:val="18"/>
              </w:rPr>
              <w:t>March 2021</w:t>
            </w:r>
          </w:p>
        </w:tc>
        <w:tc>
          <w:tcPr>
            <w:tcW w:w="194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Board Class: </w:t>
            </w:r>
            <w:r>
              <w:rPr>
                <w:rFonts w:ascii="Roboto;sans-serif" w:hAnsi="Roboto;sans-serif"/>
                <w:b w:val="false"/>
                <w:color w:val="01024A"/>
                <w:sz w:val="18"/>
              </w:rPr>
              <w:t>I</w:t>
            </w:r>
          </w:p>
        </w:tc>
        <w:tc>
          <w:tcPr>
            <w:tcW w:w="2107"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Age: </w:t>
            </w:r>
            <w:r>
              <w:rPr>
                <w:rFonts w:ascii="Roboto;sans-serif" w:hAnsi="Roboto;sans-serif"/>
                <w:b w:val="false"/>
                <w:color w:val="01024A"/>
                <w:sz w:val="18"/>
              </w:rPr>
              <w:t>65</w:t>
            </w:r>
          </w:p>
        </w:tc>
      </w:tr>
      <w:tr>
        <w:trPr/>
        <w:tc>
          <w:tcPr>
            <w:tcW w:w="3255"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3" w:type="dxa"/>
            <w:gridSpan w:val="9"/>
            <w:vMerge w:val="restart"/>
            <w:tcBorders/>
            <w:tcMar>
              <w:top w:w="0" w:type="dxa"/>
              <w:left w:w="0" w:type="dxa"/>
              <w:bottom w:w="0" w:type="dxa"/>
              <w:right w:w="0" w:type="dxa"/>
            </w:tcMar>
            <w:vAlign w:val="center"/>
          </w:tcPr>
          <w:p>
            <w:pPr>
              <w:pStyle w:val="TableContents"/>
              <w:bidi w:val="0"/>
              <w:spacing w:lineRule="auto" w:line="312" w:before="0" w:after="60"/>
              <w:jc w:val="left"/>
              <w:rPr>
                <w:rFonts w:ascii="Roboto;sans-serif" w:hAnsi="Roboto;sans-serif"/>
                <w:b/>
                <w:color w:val="1946C8"/>
                <w:sz w:val="18"/>
              </w:rPr>
            </w:pPr>
            <w:r>
              <w:rPr>
                <w:rFonts w:ascii="Roboto;sans-serif" w:hAnsi="Roboto;sans-serif"/>
                <w:b/>
                <w:color w:val="1946C8"/>
                <w:sz w:val="18"/>
              </w:rPr>
              <w:t>Board Leadership; Committee Memberships</w:t>
            </w:r>
          </w:p>
          <w:p>
            <w:pPr>
              <w:pStyle w:val="TableContents"/>
              <w:bidi w:val="0"/>
              <w:spacing w:lineRule="auto" w:line="288" w:before="0" w:after="0"/>
              <w:ind w:left="0" w:right="0" w:hanging="216"/>
              <w:jc w:val="left"/>
              <w:rPr/>
            </w:pPr>
            <w:r>
              <w:rPr>
                <w:color w:val="01024A"/>
              </w:rPr>
              <w:t>•</w:t>
            </w:r>
            <w:r>
              <w:rPr>
                <w:rFonts w:ascii="Roboto;sans-serif" w:hAnsi="Roboto;sans-serif"/>
                <w:b w:val="false"/>
                <w:color w:val="01024A"/>
                <w:sz w:val="16"/>
              </w:rPr>
              <w:t>Lead Director since December 2021</w:t>
            </w:r>
          </w:p>
          <w:p>
            <w:pPr>
              <w:pStyle w:val="TableContents"/>
              <w:bidi w:val="0"/>
              <w:spacing w:lineRule="auto" w:line="288" w:before="0" w:after="0"/>
              <w:ind w:left="0" w:right="0" w:hanging="216"/>
              <w:jc w:val="left"/>
              <w:rPr/>
            </w:pPr>
            <w:r>
              <w:rPr>
                <w:color w:val="01024A"/>
              </w:rPr>
              <w:t>•</w:t>
            </w:r>
            <w:r>
              <w:rPr>
                <w:rFonts w:ascii="Roboto;sans-serif" w:hAnsi="Roboto;sans-serif"/>
                <w:b w:val="false"/>
                <w:color w:val="01024A"/>
                <w:sz w:val="16"/>
              </w:rPr>
              <w:t>Audit since May 2023</w:t>
            </w:r>
          </w:p>
          <w:p>
            <w:pPr>
              <w:pStyle w:val="TableContents"/>
              <w:bidi w:val="0"/>
              <w:spacing w:lineRule="auto" w:line="288" w:before="0" w:after="180"/>
              <w:ind w:left="0" w:right="0" w:hanging="216"/>
              <w:jc w:val="left"/>
              <w:rPr/>
            </w:pPr>
            <w:r>
              <w:rPr>
                <w:color w:val="01024A"/>
              </w:rPr>
              <w:t>•</w:t>
            </w:r>
            <w:r>
              <w:rPr>
                <w:rFonts w:ascii="Roboto;sans-serif" w:hAnsi="Roboto;sans-serif"/>
                <w:b w:val="false"/>
                <w:color w:val="01024A"/>
                <w:sz w:val="16"/>
              </w:rPr>
              <w:t>Compensation since March 2021</w:t>
            </w:r>
          </w:p>
          <w:p>
            <w:pPr>
              <w:pStyle w:val="TableContents"/>
              <w:bidi w:val="0"/>
              <w:spacing w:lineRule="auto" w:line="312" w:before="0" w:after="60"/>
              <w:jc w:val="left"/>
              <w:rPr>
                <w:rFonts w:ascii="Roboto;sans-serif" w:hAnsi="Roboto;sans-serif"/>
                <w:b/>
                <w:color w:val="1946C8"/>
                <w:sz w:val="18"/>
              </w:rPr>
            </w:pPr>
            <w:r>
              <w:rPr>
                <w:rFonts w:ascii="Roboto;sans-serif" w:hAnsi="Roboto;sans-serif"/>
                <w:b/>
                <w:color w:val="1946C8"/>
                <w:sz w:val="18"/>
              </w:rPr>
              <w:t>Other Public Company Directorships</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Southwest Airlines: </w:t>
            </w:r>
            <w:r>
              <w:rPr>
                <w:rFonts w:ascii="Roboto;sans-serif" w:hAnsi="Roboto;sans-serif"/>
                <w:b w:val="false"/>
                <w:color w:val="01024A"/>
                <w:sz w:val="16"/>
              </w:rPr>
              <w:t>December 2010 - November 2015 (Board of Directors)</w:t>
            </w:r>
          </w:p>
          <w:p>
            <w:pPr>
              <w:pStyle w:val="TableContents"/>
              <w:bidi w:val="0"/>
              <w:spacing w:lineRule="auto" w:line="288" w:before="0" w:after="180"/>
              <w:ind w:left="0" w:right="0" w:hanging="216"/>
              <w:jc w:val="left"/>
              <w:rPr/>
            </w:pPr>
            <w:r>
              <w:rPr>
                <w:color w:val="01024A"/>
              </w:rPr>
              <w:t>•</w:t>
            </w:r>
            <w:r>
              <w:rPr>
                <w:rFonts w:ascii="Roboto;sans-serif" w:hAnsi="Roboto;sans-serif"/>
                <w:b/>
                <w:color w:val="01024A"/>
                <w:sz w:val="16"/>
              </w:rPr>
              <w:t xml:space="preserve">Fossil Group: </w:t>
            </w:r>
            <w:r>
              <w:rPr>
                <w:rFonts w:ascii="Roboto;sans-serif" w:hAnsi="Roboto;sans-serif"/>
                <w:b w:val="false"/>
                <w:color w:val="01024A"/>
                <w:sz w:val="16"/>
              </w:rPr>
              <w:t>April 2012 - May 2020 (Audit Committee)</w:t>
            </w:r>
          </w:p>
          <w:p>
            <w:pPr>
              <w:pStyle w:val="TableContents"/>
              <w:bidi w:val="0"/>
              <w:spacing w:lineRule="auto" w:line="312" w:before="100" w:after="60"/>
              <w:jc w:val="left"/>
              <w:rPr>
                <w:rFonts w:ascii="Roboto;sans-serif" w:hAnsi="Roboto;sans-serif"/>
                <w:b/>
                <w:color w:val="1946C8"/>
                <w:sz w:val="18"/>
              </w:rPr>
            </w:pPr>
            <w:r>
              <w:rPr>
                <w:rFonts w:ascii="Roboto;sans-serif" w:hAnsi="Roboto;sans-serif"/>
                <w:b/>
                <w:color w:val="1946C8"/>
                <w:sz w:val="18"/>
              </w:rPr>
              <w:t>Experience and Qualifications</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SAFFIRE Renewables: </w:t>
            </w:r>
            <w:r>
              <w:rPr>
                <w:rFonts w:ascii="Roboto;sans-serif" w:hAnsi="Roboto;sans-serif"/>
                <w:b w:val="false"/>
                <w:color w:val="01024A"/>
                <w:sz w:val="16"/>
              </w:rPr>
              <w:t>Chief Executive Officer (September 2022 - August 2025)</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Southwest Airlines: </w:t>
            </w:r>
            <w:r>
              <w:rPr>
                <w:rFonts w:ascii="Roboto;sans-serif" w:hAnsi="Roboto;sans-serif"/>
                <w:b w:val="false"/>
                <w:color w:val="01024A"/>
                <w:sz w:val="16"/>
              </w:rPr>
              <w:t>Senior Advisor (September 2021 - present), President (January 2017 - September 2021); Executive Vice President Strategy &amp; Innovation (January 2016 - January 2017)</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J.C. Penney: </w:t>
            </w:r>
            <w:r>
              <w:rPr>
                <w:rFonts w:ascii="Roboto;sans-serif" w:hAnsi="Roboto;sans-serif"/>
                <w:b w:val="false"/>
                <w:color w:val="01024A"/>
                <w:sz w:val="16"/>
              </w:rPr>
              <w:t>Group Executive Vice President (August 2010 - December 2011)</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The Feld Group: </w:t>
            </w:r>
            <w:r>
              <w:rPr>
                <w:rFonts w:ascii="Roboto;sans-serif" w:hAnsi="Roboto;sans-serif"/>
                <w:b w:val="false"/>
                <w:color w:val="01024A"/>
                <w:sz w:val="16"/>
              </w:rPr>
              <w:t>Partner (6 years)</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Frito-Lay, a division of PepsiCo, Inc.: </w:t>
            </w:r>
            <w:r>
              <w:rPr>
                <w:rFonts w:ascii="Roboto;sans-serif" w:hAnsi="Roboto;sans-serif"/>
                <w:b w:val="false"/>
                <w:color w:val="01024A"/>
                <w:sz w:val="16"/>
              </w:rPr>
              <w:t>Senior positions and consulting roles (17 years)</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Bachelor of Science in Business Administration:</w:t>
            </w:r>
            <w:r>
              <w:rPr>
                <w:color w:val="01024A"/>
              </w:rPr>
              <w:t xml:space="preserve"> </w:t>
            </w:r>
            <w:r>
              <w:rPr>
                <w:rFonts w:ascii="Roboto;sans-serif" w:hAnsi="Roboto;sans-serif"/>
                <w:b w:val="false"/>
                <w:color w:val="01024A"/>
                <w:sz w:val="16"/>
              </w:rPr>
              <w:t xml:space="preserve">Villanova University </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Master of Business: </w:t>
            </w:r>
            <w:r>
              <w:rPr>
                <w:rFonts w:ascii="Roboto;sans-serif" w:hAnsi="Roboto;sans-serif"/>
                <w:b w:val="false"/>
                <w:color w:val="01024A"/>
                <w:sz w:val="16"/>
              </w:rPr>
              <w:t>University of Dallas</w:t>
            </w:r>
          </w:p>
          <w:p>
            <w:pPr>
              <w:pStyle w:val="TableContents"/>
              <w:bidi w:val="0"/>
              <w:spacing w:lineRule="auto" w:line="312" w:before="180" w:after="40"/>
              <w:jc w:val="left"/>
              <w:rPr>
                <w:rFonts w:ascii="Roboto;sans-serif" w:hAnsi="Roboto;sans-serif"/>
                <w:b/>
                <w:color w:val="1946C8"/>
                <w:sz w:val="18"/>
              </w:rPr>
            </w:pPr>
            <w:r>
              <w:rPr>
                <w:rFonts w:ascii="Roboto;sans-serif" w:hAnsi="Roboto;sans-serif"/>
                <w:b/>
                <w:color w:val="1946C8"/>
                <w:sz w:val="18"/>
              </w:rPr>
              <w:t>Contributions to the Board</w:t>
            </w:r>
          </w:p>
          <w:p>
            <w:pPr>
              <w:pStyle w:val="TableContents"/>
              <w:bidi w:val="0"/>
              <w:spacing w:lineRule="auto" w:line="288" w:before="0" w:after="0"/>
              <w:jc w:val="left"/>
              <w:rPr>
                <w:rFonts w:ascii="Roboto;sans-serif" w:hAnsi="Roboto;sans-serif"/>
                <w:b w:val="false"/>
                <w:color w:val="01024A"/>
                <w:sz w:val="16"/>
              </w:rPr>
            </w:pPr>
            <w:r>
              <w:rPr>
                <w:rFonts w:ascii="Roboto;sans-serif" w:hAnsi="Roboto;sans-serif"/>
                <w:b w:val="false"/>
                <w:color w:val="01024A"/>
                <w:sz w:val="16"/>
              </w:rPr>
              <w:t>Mr. Nealon has over 20 years of executive management experience developed in the airline, retail and consumer packaged goods industries, including a robust background in retail, technology, eCommerce, marketing and customer service, which the Board values as we execute our omnichannel strategy, enhance our technology capabilities, and expand our substantial brand loyalty nationwide.</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vMerge w:val="restart"/>
            <w:tcBorders/>
            <w:shd w:fill="E81111"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8"/>
              </w:rPr>
            </w:pPr>
            <w:r>
              <w:rPr>
                <w:rFonts w:ascii="Roboto;sans-serif" w:hAnsi="Roboto;sans-serif"/>
                <w:b/>
                <w:color w:val="FFFFFF"/>
                <w:sz w:val="18"/>
              </w:rPr>
              <w:t>Key Skills</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86" w:type="dxa"/>
            <w:gridSpan w:val="3"/>
            <w:tcBorders>
              <w:top w:val="single" w:sz="8" w:space="0" w:color="1946C8"/>
              <w:left w:val="single" w:sz="8" w:space="0" w:color="1946C8"/>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vMerge w:val="continue"/>
            <w:tcBorders/>
            <w:shd w:fill="E81111" w:val="clear"/>
            <w:tcMar>
              <w:top w:w="0" w:type="dxa"/>
              <w:left w:w="0" w:type="dxa"/>
              <w:bottom w:w="0" w:type="dxa"/>
              <w:right w:w="0" w:type="dxa"/>
            </w:tcMar>
            <w:vAlign w:val="center"/>
          </w:tcPr>
          <w:p>
            <w:pPr>
              <w:pStyle w:val="Normal"/>
              <w:bidi w:val="0"/>
              <w:jc w:val="left"/>
              <w:rPr/>
            </w:pPr>
            <w:r>
              <w:rPr/>
            </w:r>
          </w:p>
        </w:tc>
        <w:tc>
          <w:tcPr>
            <w:tcW w:w="606"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2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8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2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8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72"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30" descr=""/>
                          <pic:cNvPicPr>
                            <a:picLocks noChangeAspect="1" noChangeArrowheads="1"/>
                          </pic:cNvPicPr>
                        </pic:nvPicPr>
                        <pic:blipFill>
                          <a:blip r:embed="rId150"/>
                          <a:stretch>
                            <a:fillRect/>
                          </a:stretch>
                        </pic:blipFill>
                        <pic:spPr bwMode="auto">
                          <a:xfrm>
                            <a:off x="0" y="0"/>
                            <a:ext cx="228600" cy="228600"/>
                          </a:xfrm>
                          <a:prstGeom prst="rect">
                            <a:avLst/>
                          </a:prstGeom>
                        </pic:spPr>
                      </pic:pic>
                    </a:graphicData>
                  </a:graphic>
                </wp:inline>
              </w:drawing>
            </w:r>
            <w:bookmarkStart w:id="148" w:name="i-130"/>
            <w:bookmarkEnd w:id="148"/>
          </w:p>
        </w:tc>
        <w:tc>
          <w:tcPr>
            <w:tcW w:w="1546" w:type="dxa"/>
            <w:gridSpan w:val="6"/>
            <w:tcBorders>
              <w:bottom w:val="single" w:sz="4" w:space="0" w:color="96D0FF"/>
            </w:tcBorders>
            <w:tcMar>
              <w:top w:w="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Corporate Governance</w:t>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2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8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73"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31" descr=""/>
                          <pic:cNvPicPr>
                            <a:picLocks noChangeAspect="1" noChangeArrowheads="1"/>
                          </pic:cNvPicPr>
                        </pic:nvPicPr>
                        <pic:blipFill>
                          <a:blip r:embed="rId151"/>
                          <a:stretch>
                            <a:fillRect/>
                          </a:stretch>
                        </pic:blipFill>
                        <pic:spPr bwMode="auto">
                          <a:xfrm>
                            <a:off x="0" y="0"/>
                            <a:ext cx="228600" cy="228600"/>
                          </a:xfrm>
                          <a:prstGeom prst="rect">
                            <a:avLst/>
                          </a:prstGeom>
                        </pic:spPr>
                      </pic:pic>
                    </a:graphicData>
                  </a:graphic>
                </wp:inline>
              </w:drawing>
            </w:r>
            <w:bookmarkStart w:id="149" w:name="i-131"/>
            <w:bookmarkEnd w:id="149"/>
          </w:p>
        </w:tc>
        <w:tc>
          <w:tcPr>
            <w:tcW w:w="1546"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Cybersecurity &amp; Data Privacy</w:t>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2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8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74"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32" descr=""/>
                          <pic:cNvPicPr>
                            <a:picLocks noChangeAspect="1" noChangeArrowheads="1"/>
                          </pic:cNvPicPr>
                        </pic:nvPicPr>
                        <pic:blipFill>
                          <a:blip r:embed="rId152"/>
                          <a:stretch>
                            <a:fillRect/>
                          </a:stretch>
                        </pic:blipFill>
                        <pic:spPr bwMode="auto">
                          <a:xfrm>
                            <a:off x="0" y="0"/>
                            <a:ext cx="228600" cy="228600"/>
                          </a:xfrm>
                          <a:prstGeom prst="rect">
                            <a:avLst/>
                          </a:prstGeom>
                        </pic:spPr>
                      </pic:pic>
                    </a:graphicData>
                  </a:graphic>
                </wp:inline>
              </w:drawing>
            </w:r>
            <w:bookmarkStart w:id="150" w:name="i-132"/>
            <w:bookmarkEnd w:id="150"/>
          </w:p>
        </w:tc>
        <w:tc>
          <w:tcPr>
            <w:tcW w:w="1546"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Process Improvement</w:t>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2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8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75"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33" descr=""/>
                          <pic:cNvPicPr>
                            <a:picLocks noChangeAspect="1" noChangeArrowheads="1"/>
                          </pic:cNvPicPr>
                        </pic:nvPicPr>
                        <pic:blipFill>
                          <a:blip r:embed="rId153"/>
                          <a:stretch>
                            <a:fillRect/>
                          </a:stretch>
                        </pic:blipFill>
                        <pic:spPr bwMode="auto">
                          <a:xfrm>
                            <a:off x="0" y="0"/>
                            <a:ext cx="228600" cy="228600"/>
                          </a:xfrm>
                          <a:prstGeom prst="rect">
                            <a:avLst/>
                          </a:prstGeom>
                        </pic:spPr>
                      </pic:pic>
                    </a:graphicData>
                  </a:graphic>
                </wp:inline>
              </w:drawing>
            </w:r>
            <w:bookmarkStart w:id="151" w:name="i-133"/>
            <w:bookmarkEnd w:id="151"/>
          </w:p>
        </w:tc>
        <w:tc>
          <w:tcPr>
            <w:tcW w:w="1546"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Strategic Planning</w:t>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2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8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76"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34" descr=""/>
                          <pic:cNvPicPr>
                            <a:picLocks noChangeAspect="1" noChangeArrowheads="1"/>
                          </pic:cNvPicPr>
                        </pic:nvPicPr>
                        <pic:blipFill>
                          <a:blip r:embed="rId154"/>
                          <a:stretch>
                            <a:fillRect/>
                          </a:stretch>
                        </pic:blipFill>
                        <pic:spPr bwMode="auto">
                          <a:xfrm>
                            <a:off x="0" y="0"/>
                            <a:ext cx="228600" cy="228600"/>
                          </a:xfrm>
                          <a:prstGeom prst="rect">
                            <a:avLst/>
                          </a:prstGeom>
                        </pic:spPr>
                      </pic:pic>
                    </a:graphicData>
                  </a:graphic>
                </wp:inline>
              </w:drawing>
            </w:r>
            <w:bookmarkStart w:id="152" w:name="i-134"/>
            <w:bookmarkEnd w:id="152"/>
          </w:p>
        </w:tc>
        <w:tc>
          <w:tcPr>
            <w:tcW w:w="1546" w:type="dxa"/>
            <w:gridSpan w:val="6"/>
            <w:tcBorders>
              <w:top w:val="single" w:sz="4" w:space="0" w:color="96D0FF"/>
            </w:tcBorders>
            <w:tcMar>
              <w:top w:w="3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Technology</w:t>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2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86"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3" w:type="dxa"/>
            <w:gridSpan w:val="9"/>
            <w:tcBorders/>
            <w:shd w:fill="ECF8FE" w:val="clear"/>
            <w:tcMar>
              <w:top w:w="0" w:type="dxa"/>
              <w:left w:w="0" w:type="dxa"/>
              <w:bottom w:w="0" w:type="dxa"/>
              <w:right w:w="0" w:type="dxa"/>
            </w:tcMar>
            <w:vAlign w:val="center"/>
          </w:tcPr>
          <w:p>
            <w:pPr>
              <w:pStyle w:val="TableContents"/>
              <w:bidi w:val="0"/>
              <w:spacing w:lineRule="atLeast" w:line="200" w:before="0" w:after="0"/>
              <w:jc w:val="left"/>
              <w:rPr>
                <w:rFonts w:ascii="Roboto;sans-serif" w:hAnsi="Roboto;sans-serif"/>
                <w:b/>
                <w:color w:val="1946C8"/>
                <w:sz w:val="16"/>
              </w:rPr>
            </w:pPr>
            <w:r>
              <w:rPr>
                <w:rFonts w:ascii="Roboto;sans-serif" w:hAnsi="Roboto;sans-serif"/>
                <w:b/>
                <w:color w:val="1946C8"/>
                <w:sz w:val="16"/>
              </w:rPr>
              <w:t>The Board selected Mr. Nealon to serve as a director based on his extensive board, executive leadership, management experience related to the retail and consumer industries, including strategic planning, technology, cybersecurity &amp; data privacy, process improvement, corporate governance, digital/eCommerce, marketing, merchandising, accounting/finance, supply chain/logistics, and human resources/talent.</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263525"/>
                <wp:effectExtent l="0" t="0" r="0" b="0"/>
                <wp:wrapNone/>
                <wp:docPr id="177" name="Frame24"/>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178"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35" descr=""/>
                                          <pic:cNvPicPr>
                                            <a:picLocks noChangeAspect="1" noChangeArrowheads="1"/>
                                          </pic:cNvPicPr>
                                        </pic:nvPicPr>
                                        <pic:blipFill>
                                          <a:blip r:embed="rId155"/>
                                          <a:stretch>
                                            <a:fillRect/>
                                          </a:stretch>
                                        </pic:blipFill>
                                        <pic:spPr bwMode="auto">
                                          <a:xfrm>
                                            <a:off x="0" y="0"/>
                                            <a:ext cx="266700" cy="200025"/>
                                          </a:xfrm>
                                          <a:prstGeom prst="rect">
                                            <a:avLst/>
                                          </a:prstGeom>
                                        </pic:spPr>
                                      </pic:pic>
                                    </a:graphicData>
                                  </a:graphic>
                                </wp:inline>
                              </w:drawing>
                            </w:r>
                            <w:bookmarkStart w:id="153" w:name="i-135"/>
                            <w:bookmarkEnd w:id="153"/>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179"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35" descr=""/>
                                    <pic:cNvPicPr>
                                      <a:picLocks noChangeAspect="1" noChangeArrowheads="1"/>
                                    </pic:cNvPicPr>
                                  </pic:nvPicPr>
                                  <pic:blipFill>
                                    <a:blip r:embed="rId156"/>
                                    <a:stretch>
                                      <a:fillRect/>
                                    </a:stretch>
                                  </pic:blipFill>
                                  <pic:spPr bwMode="auto">
                                    <a:xfrm>
                                      <a:off x="0" y="0"/>
                                      <a:ext cx="266700" cy="200025"/>
                                    </a:xfrm>
                                    <a:prstGeom prst="rect">
                                      <a:avLst/>
                                    </a:prstGeom>
                                  </pic:spPr>
                                </pic:pic>
                              </a:graphicData>
                            </a:graphic>
                          </wp:inline>
                        </w:drawing>
                      </w:r>
                      <w:bookmarkStart w:id="154" w:name="i-135"/>
                      <w:bookmarkEnd w:id="154"/>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19</w:t>
            </w:r>
          </w:p>
        </w:tc>
      </w:tr>
    </w:tbl>
    <w:p>
      <w:pPr>
        <w:pStyle w:val="TextBody"/>
        <w:bidi w:val="0"/>
        <w:spacing w:lineRule="auto" w:line="312" w:before="0" w:after="120"/>
        <w:jc w:val="left"/>
        <w:rPr>
          <w:rFonts w:ascii="Roboto;sans-serif" w:hAnsi="Roboto;sans-serif"/>
          <w:b/>
          <w:color w:val="01024A"/>
          <w:sz w:val="22"/>
        </w:rPr>
      </w:pPr>
      <w:r>
        <w:rPr>
          <w:rFonts w:ascii="Roboto;sans-serif" w:hAnsi="Roboto;sans-serif"/>
          <w:b/>
          <w:color w:val="01024A"/>
          <w:sz w:val="22"/>
        </w:rPr>
        <w:t>Class II Directors</w:t>
      </w:r>
    </w:p>
    <w:tbl>
      <w:tblPr>
        <w:tblW w:w="10205" w:type="dxa"/>
        <w:jc w:val="center"/>
        <w:tblInd w:w="0" w:type="dxa"/>
        <w:tblLayout w:type="fixed"/>
        <w:tblCellMar>
          <w:top w:w="28" w:type="dxa"/>
          <w:left w:w="28" w:type="dxa"/>
          <w:bottom w:w="28" w:type="dxa"/>
          <w:right w:w="28" w:type="dxa"/>
        </w:tblCellMar>
      </w:tblPr>
      <w:tblGrid>
        <w:gridCol w:w="209"/>
        <w:gridCol w:w="184"/>
        <w:gridCol w:w="184"/>
        <w:gridCol w:w="184"/>
        <w:gridCol w:w="184"/>
        <w:gridCol w:w="184"/>
        <w:gridCol w:w="325"/>
        <w:gridCol w:w="240"/>
        <w:gridCol w:w="242"/>
        <w:gridCol w:w="190"/>
        <w:gridCol w:w="190"/>
        <w:gridCol w:w="190"/>
        <w:gridCol w:w="184"/>
        <w:gridCol w:w="184"/>
        <w:gridCol w:w="185"/>
        <w:gridCol w:w="109"/>
        <w:gridCol w:w="109"/>
        <w:gridCol w:w="109"/>
        <w:gridCol w:w="1153"/>
        <w:gridCol w:w="1153"/>
        <w:gridCol w:w="1072"/>
        <w:gridCol w:w="683"/>
        <w:gridCol w:w="576"/>
        <w:gridCol w:w="576"/>
        <w:gridCol w:w="468"/>
        <w:gridCol w:w="468"/>
        <w:gridCol w:w="670"/>
      </w:tblGrid>
      <w:tr>
        <w:trPr/>
        <w:tc>
          <w:tcPr>
            <w:tcW w:w="2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57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15"/>
            <w:vMerge w:val="restart"/>
            <w:tcBorders/>
            <w:shd w:fill="ECF8F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04975" cy="1952625"/>
                  <wp:effectExtent l="0" t="0" r="0" b="0"/>
                  <wp:docPr id="180"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36" descr=""/>
                          <pic:cNvPicPr>
                            <a:picLocks noChangeAspect="1" noChangeArrowheads="1"/>
                          </pic:cNvPicPr>
                        </pic:nvPicPr>
                        <pic:blipFill>
                          <a:blip r:embed="rId157"/>
                          <a:stretch>
                            <a:fillRect/>
                          </a:stretch>
                        </pic:blipFill>
                        <pic:spPr bwMode="auto">
                          <a:xfrm>
                            <a:off x="0" y="0"/>
                            <a:ext cx="1704975" cy="1952625"/>
                          </a:xfrm>
                          <a:prstGeom prst="rect">
                            <a:avLst/>
                          </a:prstGeom>
                        </pic:spPr>
                      </pic:pic>
                    </a:graphicData>
                  </a:graphic>
                </wp:inline>
              </w:drawing>
            </w:r>
            <w:bookmarkStart w:id="155" w:name="i-136"/>
            <w:bookmarkEnd w:id="155"/>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9" w:type="dxa"/>
            <w:gridSpan w:val="9"/>
            <w:tcBorders/>
            <w:tcMar>
              <w:top w:w="0" w:type="dxa"/>
              <w:left w:w="0" w:type="dxa"/>
              <w:bottom w:w="0" w:type="dxa"/>
              <w:right w:w="0" w:type="dxa"/>
            </w:tcMar>
            <w:vAlign w:val="center"/>
          </w:tcPr>
          <w:p>
            <w:pPr>
              <w:pStyle w:val="TableContents"/>
              <w:bidi w:val="0"/>
              <w:spacing w:lineRule="atLeast" w:line="300" w:before="0" w:after="120"/>
              <w:jc w:val="left"/>
              <w:rPr>
                <w:rFonts w:ascii="Roboto;sans-serif" w:hAnsi="Roboto;sans-serif"/>
                <w:b/>
                <w:color w:val="1946C8"/>
                <w:sz w:val="40"/>
              </w:rPr>
            </w:pPr>
            <w:r>
              <w:rPr>
                <w:rFonts w:ascii="Roboto;sans-serif" w:hAnsi="Roboto;sans-serif"/>
                <w:b/>
                <w:color w:val="1946C8"/>
                <w:sz w:val="40"/>
              </w:rPr>
              <w:t>Wendy A. Beck</w:t>
            </w:r>
          </w:p>
          <w:p>
            <w:pPr>
              <w:pStyle w:val="TableContents"/>
              <w:bidi w:val="0"/>
              <w:spacing w:lineRule="atLeast" w:line="300" w:before="0" w:after="0"/>
              <w:jc w:val="left"/>
              <w:rPr>
                <w:rFonts w:ascii="Roboto;sans-serif" w:hAnsi="Roboto;sans-serif"/>
                <w:b/>
                <w:color w:val="E81111"/>
                <w:sz w:val="24"/>
              </w:rPr>
            </w:pPr>
            <w:r>
              <w:rPr>
                <w:rFonts w:ascii="Roboto;sans-serif" w:hAnsi="Roboto;sans-serif"/>
                <w:b/>
                <w:color w:val="E81111"/>
                <w:sz w:val="24"/>
              </w:rPr>
              <w:t>Independent Director</w:t>
            </w:r>
          </w:p>
        </w:tc>
      </w:tr>
      <w:tr>
        <w:trPr/>
        <w:tc>
          <w:tcPr>
            <w:tcW w:w="3059"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Director Since: </w:t>
            </w:r>
            <w:r>
              <w:rPr>
                <w:rFonts w:ascii="Roboto;sans-serif" w:hAnsi="Roboto;sans-serif"/>
                <w:b w:val="false"/>
                <w:color w:val="01024A"/>
                <w:sz w:val="18"/>
              </w:rPr>
              <w:t>December 2020</w:t>
            </w:r>
          </w:p>
        </w:tc>
        <w:tc>
          <w:tcPr>
            <w:tcW w:w="1835"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Board Class: </w:t>
            </w:r>
            <w:r>
              <w:rPr>
                <w:rFonts w:ascii="Roboto;sans-serif" w:hAnsi="Roboto;sans-serif"/>
                <w:b w:val="false"/>
                <w:color w:val="01024A"/>
                <w:sz w:val="18"/>
              </w:rPr>
              <w:t>II</w:t>
            </w:r>
          </w:p>
        </w:tc>
        <w:tc>
          <w:tcPr>
            <w:tcW w:w="160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Age: </w:t>
            </w:r>
            <w:r>
              <w:rPr>
                <w:rFonts w:ascii="Roboto;sans-serif" w:hAnsi="Roboto;sans-serif"/>
                <w:b w:val="false"/>
                <w:color w:val="01024A"/>
                <w:sz w:val="18"/>
              </w:rPr>
              <w:t>61</w:t>
            </w:r>
          </w:p>
        </w:tc>
      </w:tr>
      <w:tr>
        <w:trPr/>
        <w:tc>
          <w:tcPr>
            <w:tcW w:w="3059"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9" w:type="dxa"/>
            <w:gridSpan w:val="9"/>
            <w:vMerge w:val="restart"/>
            <w:tcBorders/>
            <w:tcMar>
              <w:top w:w="0" w:type="dxa"/>
              <w:left w:w="0" w:type="dxa"/>
              <w:bottom w:w="0" w:type="dxa"/>
              <w:right w:w="0" w:type="dxa"/>
            </w:tcMar>
            <w:vAlign w:val="center"/>
          </w:tcPr>
          <w:p>
            <w:pPr>
              <w:pStyle w:val="TableContents"/>
              <w:bidi w:val="0"/>
              <w:spacing w:lineRule="auto" w:line="312" w:before="0" w:after="60"/>
              <w:jc w:val="left"/>
              <w:rPr>
                <w:rFonts w:ascii="Roboto;sans-serif" w:hAnsi="Roboto;sans-serif"/>
                <w:b/>
                <w:color w:val="1946C8"/>
                <w:sz w:val="18"/>
              </w:rPr>
            </w:pPr>
            <w:r>
              <w:rPr>
                <w:rFonts w:ascii="Roboto;sans-serif" w:hAnsi="Roboto;sans-serif"/>
                <w:b/>
                <w:color w:val="1946C8"/>
                <w:sz w:val="18"/>
              </w:rPr>
              <w:t>Committee Memberships</w:t>
            </w:r>
          </w:p>
          <w:p>
            <w:pPr>
              <w:pStyle w:val="TableContents"/>
              <w:bidi w:val="0"/>
              <w:spacing w:lineRule="auto" w:line="288" w:before="0" w:after="0"/>
              <w:ind w:left="0" w:right="0" w:hanging="216"/>
              <w:jc w:val="left"/>
              <w:rPr/>
            </w:pPr>
            <w:r>
              <w:rPr>
                <w:color w:val="01024A"/>
              </w:rPr>
              <w:t>•</w:t>
            </w:r>
            <w:r>
              <w:rPr>
                <w:rFonts w:ascii="Roboto;sans-serif" w:hAnsi="Roboto;sans-serif"/>
                <w:b w:val="false"/>
                <w:color w:val="01024A"/>
                <w:sz w:val="16"/>
              </w:rPr>
              <w:t>Nominating &amp; Governance (Chair) since May 2021</w:t>
            </w:r>
          </w:p>
          <w:p>
            <w:pPr>
              <w:pStyle w:val="TableContents"/>
              <w:bidi w:val="0"/>
              <w:spacing w:lineRule="auto" w:line="288" w:before="0" w:after="180"/>
              <w:ind w:left="0" w:right="0" w:hanging="216"/>
              <w:jc w:val="left"/>
              <w:rPr/>
            </w:pPr>
            <w:r>
              <w:rPr>
                <w:color w:val="01024A"/>
              </w:rPr>
              <w:t>•</w:t>
            </w:r>
            <w:r>
              <w:rPr>
                <w:rFonts w:ascii="Roboto;sans-serif" w:hAnsi="Roboto;sans-serif"/>
                <w:b w:val="false"/>
                <w:color w:val="01024A"/>
                <w:sz w:val="16"/>
              </w:rPr>
              <w:t xml:space="preserve">Audit since December 2020 </w:t>
            </w:r>
          </w:p>
          <w:p>
            <w:pPr>
              <w:pStyle w:val="TableContents"/>
              <w:bidi w:val="0"/>
              <w:spacing w:lineRule="auto" w:line="312" w:before="100" w:after="60"/>
              <w:jc w:val="left"/>
              <w:rPr>
                <w:rFonts w:ascii="Roboto;sans-serif" w:hAnsi="Roboto;sans-serif"/>
                <w:b/>
                <w:color w:val="1946C8"/>
                <w:sz w:val="18"/>
              </w:rPr>
            </w:pPr>
            <w:r>
              <w:rPr>
                <w:rFonts w:ascii="Roboto;sans-serif" w:hAnsi="Roboto;sans-serif"/>
                <w:b/>
                <w:color w:val="1946C8"/>
                <w:sz w:val="18"/>
              </w:rPr>
              <w:t>Other Public Company Directorships</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Traeger:</w:t>
            </w:r>
            <w:r>
              <w:rPr>
                <w:color w:val="01024A"/>
              </w:rPr>
              <w:t xml:space="preserve"> </w:t>
            </w:r>
            <w:r>
              <w:rPr>
                <w:rFonts w:ascii="Roboto;sans-serif" w:hAnsi="Roboto;sans-serif"/>
                <w:b w:val="false"/>
                <w:color w:val="01024A"/>
                <w:sz w:val="16"/>
              </w:rPr>
              <w:t>July 2021 - present (Audit Committee Chair and Nominating &amp; Governance Committee)</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Hawaiian Holdings:</w:t>
            </w:r>
            <w:r>
              <w:rPr>
                <w:color w:val="01024A"/>
              </w:rPr>
              <w:t xml:space="preserve"> </w:t>
            </w:r>
            <w:r>
              <w:rPr>
                <w:rFonts w:ascii="Roboto;sans-serif" w:hAnsi="Roboto;sans-serif"/>
                <w:b w:val="false"/>
                <w:color w:val="01024A"/>
                <w:sz w:val="16"/>
              </w:rPr>
              <w:t>July 2022 - September 2024 (Audit Committee)</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At Home:</w:t>
            </w:r>
            <w:r>
              <w:rPr>
                <w:color w:val="01024A"/>
              </w:rPr>
              <w:t xml:space="preserve"> </w:t>
            </w:r>
            <w:r>
              <w:rPr>
                <w:rFonts w:ascii="Roboto;sans-serif" w:hAnsi="Roboto;sans-serif"/>
                <w:b w:val="false"/>
                <w:color w:val="01024A"/>
                <w:sz w:val="16"/>
              </w:rPr>
              <w:t>September 2014 - July 2021 (Audit Committee Chair)</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Bloomin’ Brands:</w:t>
            </w:r>
            <w:r>
              <w:rPr>
                <w:color w:val="01024A"/>
              </w:rPr>
              <w:t xml:space="preserve"> </w:t>
            </w:r>
            <w:r>
              <w:rPr>
                <w:rFonts w:ascii="Roboto;sans-serif" w:hAnsi="Roboto;sans-serif"/>
                <w:b w:val="false"/>
                <w:color w:val="01024A"/>
                <w:sz w:val="16"/>
              </w:rPr>
              <w:t>February 2018 - April 2022 (Compensation Committee)</w:t>
            </w:r>
          </w:p>
          <w:p>
            <w:pPr>
              <w:pStyle w:val="TableContents"/>
              <w:bidi w:val="0"/>
              <w:spacing w:lineRule="auto" w:line="288" w:before="0" w:after="180"/>
              <w:ind w:left="0" w:right="0" w:hanging="216"/>
              <w:jc w:val="left"/>
              <w:rPr/>
            </w:pPr>
            <w:r>
              <w:rPr>
                <w:color w:val="01024A"/>
              </w:rPr>
              <w:t>•</w:t>
            </w:r>
            <w:r>
              <w:rPr>
                <w:rFonts w:ascii="Roboto;sans-serif" w:hAnsi="Roboto;sans-serif"/>
                <w:b/>
                <w:color w:val="01024A"/>
                <w:sz w:val="16"/>
              </w:rPr>
              <w:t>SpartanNash:</w:t>
            </w:r>
            <w:r>
              <w:rPr>
                <w:color w:val="01024A"/>
              </w:rPr>
              <w:t xml:space="preserve"> </w:t>
            </w:r>
            <w:r>
              <w:rPr>
                <w:rFonts w:ascii="Roboto;sans-serif" w:hAnsi="Roboto;sans-serif"/>
                <w:b w:val="false"/>
                <w:color w:val="01024A"/>
                <w:sz w:val="16"/>
              </w:rPr>
              <w:t>September 2010 - December 2013 (Audit Committee)</w:t>
            </w:r>
          </w:p>
          <w:p>
            <w:pPr>
              <w:pStyle w:val="TableContents"/>
              <w:bidi w:val="0"/>
              <w:spacing w:lineRule="auto" w:line="312" w:before="100" w:after="60"/>
              <w:jc w:val="left"/>
              <w:rPr>
                <w:rFonts w:ascii="Roboto;sans-serif" w:hAnsi="Roboto;sans-serif"/>
                <w:b/>
                <w:color w:val="1946C8"/>
                <w:sz w:val="18"/>
              </w:rPr>
            </w:pPr>
            <w:r>
              <w:rPr>
                <w:rFonts w:ascii="Roboto;sans-serif" w:hAnsi="Roboto;sans-serif"/>
                <w:b/>
                <w:color w:val="1946C8"/>
                <w:sz w:val="18"/>
              </w:rPr>
              <w:t>Experience and Qualifications</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Norwegian Cruise Line:</w:t>
            </w:r>
            <w:r>
              <w:rPr>
                <w:color w:val="01024A"/>
              </w:rPr>
              <w:t xml:space="preserve"> </w:t>
            </w:r>
            <w:r>
              <w:rPr>
                <w:rFonts w:ascii="Roboto;sans-serif" w:hAnsi="Roboto;sans-serif"/>
                <w:b w:val="false"/>
                <w:color w:val="01024A"/>
                <w:sz w:val="16"/>
              </w:rPr>
              <w:t>Executive Vice President and Chief Financial Officer (2010 - 2018)</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Domino’s Pizza:</w:t>
            </w:r>
            <w:r>
              <w:rPr>
                <w:color w:val="01024A"/>
              </w:rPr>
              <w:t xml:space="preserve"> </w:t>
            </w:r>
            <w:r>
              <w:rPr>
                <w:rFonts w:ascii="Roboto;sans-serif" w:hAnsi="Roboto;sans-serif"/>
                <w:b w:val="false"/>
                <w:color w:val="01024A"/>
                <w:sz w:val="16"/>
              </w:rPr>
              <w:t>Executive Vice President and Chief Financial Officer (2008 - 2010)</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Whataburger Restaurants:</w:t>
            </w:r>
            <w:r>
              <w:rPr>
                <w:color w:val="01024A"/>
              </w:rPr>
              <w:t xml:space="preserve"> </w:t>
            </w:r>
            <w:r>
              <w:rPr>
                <w:rFonts w:ascii="Roboto;sans-serif" w:hAnsi="Roboto;sans-serif"/>
                <w:b w:val="false"/>
                <w:color w:val="01024A"/>
                <w:sz w:val="16"/>
              </w:rPr>
              <w:t>Senior Vice President, Chief Financial Officer and Treasurer (2004 - 2008); Vice President and Chief Accounting Officer (2001 - 2004)</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Checkers Drive-In Restaurants:</w:t>
            </w:r>
            <w:r>
              <w:rPr>
                <w:color w:val="01024A"/>
              </w:rPr>
              <w:t xml:space="preserve"> </w:t>
            </w:r>
            <w:r>
              <w:rPr>
                <w:rFonts w:ascii="Roboto;sans-serif" w:hAnsi="Roboto;sans-serif"/>
                <w:b w:val="false"/>
                <w:color w:val="01024A"/>
                <w:sz w:val="16"/>
              </w:rPr>
              <w:t>Vice President, Chief Financial Officer, and Treasurer (2000 - 2001); various other roles (1993 - 2000)</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Bachelor of Science in Accounting:</w:t>
            </w:r>
            <w:r>
              <w:rPr>
                <w:color w:val="01024A"/>
              </w:rPr>
              <w:t xml:space="preserve"> </w:t>
            </w:r>
            <w:r>
              <w:rPr>
                <w:rFonts w:ascii="Roboto;sans-serif" w:hAnsi="Roboto;sans-serif"/>
                <w:b w:val="false"/>
                <w:color w:val="01024A"/>
                <w:sz w:val="16"/>
              </w:rPr>
              <w:t>University of South Florida</w:t>
            </w:r>
          </w:p>
          <w:p>
            <w:pPr>
              <w:pStyle w:val="TableContents"/>
              <w:bidi w:val="0"/>
              <w:spacing w:lineRule="auto" w:line="288" w:before="0" w:after="0"/>
              <w:ind w:left="0" w:right="0" w:hanging="288"/>
              <w:jc w:val="left"/>
              <w:rPr/>
            </w:pPr>
            <w:r>
              <w:rPr>
                <w:color w:val="01024A"/>
              </w:rPr>
              <w:t>•</w:t>
            </w:r>
            <w:r>
              <w:rPr>
                <w:rFonts w:ascii="Roboto;sans-serif" w:hAnsi="Roboto;sans-serif"/>
                <w:b/>
                <w:color w:val="01024A"/>
                <w:sz w:val="16"/>
              </w:rPr>
              <w:t>Certified Public Accountant</w:t>
            </w:r>
          </w:p>
          <w:p>
            <w:pPr>
              <w:pStyle w:val="TableContents"/>
              <w:bidi w:val="0"/>
              <w:spacing w:lineRule="auto" w:line="312" w:before="180" w:after="40"/>
              <w:jc w:val="left"/>
              <w:rPr>
                <w:rFonts w:ascii="Roboto;sans-serif" w:hAnsi="Roboto;sans-serif"/>
                <w:b/>
                <w:color w:val="1946C8"/>
                <w:sz w:val="18"/>
              </w:rPr>
            </w:pPr>
            <w:r>
              <w:rPr>
                <w:rFonts w:ascii="Roboto;sans-serif" w:hAnsi="Roboto;sans-serif"/>
                <w:b/>
                <w:color w:val="1946C8"/>
                <w:sz w:val="18"/>
              </w:rPr>
              <w:t>Contributions to the Board</w:t>
            </w:r>
          </w:p>
          <w:p>
            <w:pPr>
              <w:pStyle w:val="TableContents"/>
              <w:bidi w:val="0"/>
              <w:spacing w:lineRule="auto" w:line="288" w:before="0" w:after="0"/>
              <w:jc w:val="left"/>
              <w:rPr>
                <w:rFonts w:ascii="Roboto;sans-serif" w:hAnsi="Roboto;sans-serif"/>
                <w:b w:val="false"/>
                <w:color w:val="01024A"/>
                <w:sz w:val="16"/>
              </w:rPr>
            </w:pPr>
            <w:r>
              <w:rPr>
                <w:rFonts w:ascii="Roboto;sans-serif" w:hAnsi="Roboto;sans-serif"/>
                <w:b w:val="false"/>
                <w:color w:val="01024A"/>
                <w:sz w:val="16"/>
              </w:rPr>
              <w:t>Ms. Beck has over 25 years of leadership experience in both public and privately held companies in the hospitality, travel and leisure industries, including extensive executive leadership, management and financial experience, which the Board values as we drive growth through new store openings, omnichannel expansion, increasing the productivity of existing stores and distribution centers, optimizing our corporate governance, and managing our capital allocation. Ms. Beck serves as Chair of the Board’s Nominating &amp; Governance Committee and as a member of the Board’s Audit Committee.</w:t>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9"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vMerge w:val="restart"/>
            <w:tcBorders/>
            <w:shd w:fill="E81111" w:val="clear"/>
            <w:tcMar>
              <w:top w:w="0" w:type="dxa"/>
              <w:left w:w="0" w:type="dxa"/>
              <w:bottom w:w="0" w:type="dxa"/>
              <w:right w:w="0" w:type="dxa"/>
            </w:tcMar>
            <w:vAlign w:val="center"/>
          </w:tcPr>
          <w:p>
            <w:pPr>
              <w:pStyle w:val="TableContents"/>
              <w:bidi w:val="0"/>
              <w:spacing w:lineRule="auto" w:line="288" w:before="60" w:after="60"/>
              <w:jc w:val="center"/>
              <w:rPr>
                <w:rFonts w:ascii="Roboto;sans-serif" w:hAnsi="Roboto;sans-serif"/>
                <w:b/>
                <w:color w:val="FFFFFF"/>
                <w:sz w:val="18"/>
              </w:rPr>
            </w:pPr>
            <w:r>
              <w:rPr>
                <w:rFonts w:ascii="Roboto;sans-serif" w:hAnsi="Roboto;sans-serif"/>
                <w:b/>
                <w:color w:val="FFFFFF"/>
                <w:sz w:val="18"/>
              </w:rPr>
              <w:t>Key Skills</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9"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77" w:type="dxa"/>
            <w:gridSpan w:val="3"/>
            <w:tcBorders>
              <w:top w:val="single" w:sz="8" w:space="0" w:color="1946C8"/>
              <w:left w:val="single" w:sz="8" w:space="0" w:color="1946C8"/>
            </w:tcBorders>
            <w:tcMar>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vMerge w:val="continue"/>
            <w:tcBorders/>
            <w:shd w:fill="E81111" w:val="clear"/>
            <w:tcMar>
              <w:top w:w="0" w:type="dxa"/>
              <w:left w:w="0" w:type="dxa"/>
              <w:bottom w:w="0" w:type="dxa"/>
              <w:right w:w="0" w:type="dxa"/>
            </w:tcMar>
            <w:vAlign w:val="center"/>
          </w:tcPr>
          <w:p>
            <w:pPr>
              <w:pStyle w:val="Normal"/>
              <w:bidi w:val="0"/>
              <w:jc w:val="left"/>
              <w:rPr/>
            </w:pPr>
            <w:r>
              <w:rPr/>
            </w:r>
          </w:p>
        </w:tc>
        <w:tc>
          <w:tcPr>
            <w:tcW w:w="570"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9"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7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9"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7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81"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37" descr=""/>
                          <pic:cNvPicPr>
                            <a:picLocks noChangeAspect="1" noChangeArrowheads="1"/>
                          </pic:cNvPicPr>
                        </pic:nvPicPr>
                        <pic:blipFill>
                          <a:blip r:embed="rId158"/>
                          <a:stretch>
                            <a:fillRect/>
                          </a:stretch>
                        </pic:blipFill>
                        <pic:spPr bwMode="auto">
                          <a:xfrm>
                            <a:off x="0" y="0"/>
                            <a:ext cx="228600" cy="228600"/>
                          </a:xfrm>
                          <a:prstGeom prst="rect">
                            <a:avLst/>
                          </a:prstGeom>
                        </pic:spPr>
                      </pic:pic>
                    </a:graphicData>
                  </a:graphic>
                </wp:inline>
              </w:drawing>
            </w:r>
            <w:bookmarkStart w:id="156" w:name="i-137"/>
            <w:bookmarkEnd w:id="156"/>
          </w:p>
        </w:tc>
        <w:tc>
          <w:tcPr>
            <w:tcW w:w="1377" w:type="dxa"/>
            <w:gridSpan w:val="6"/>
            <w:tcBorders>
              <w:bottom w:val="single" w:sz="4" w:space="0" w:color="96D0FF"/>
            </w:tcBorders>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1946C8"/>
                <w:sz w:val="16"/>
              </w:rPr>
            </w:pPr>
            <w:r>
              <w:rPr>
                <w:rFonts w:ascii="Roboto;sans-serif" w:hAnsi="Roboto;sans-serif"/>
                <w:b/>
                <w:color w:val="1946C8"/>
                <w:sz w:val="16"/>
              </w:rPr>
              <w:t>Accounting/Finance</w:t>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9"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7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82"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38" descr=""/>
                          <pic:cNvPicPr>
                            <a:picLocks noChangeAspect="1" noChangeArrowheads="1"/>
                          </pic:cNvPicPr>
                        </pic:nvPicPr>
                        <pic:blipFill>
                          <a:blip r:embed="rId159"/>
                          <a:stretch>
                            <a:fillRect/>
                          </a:stretch>
                        </pic:blipFill>
                        <pic:spPr bwMode="auto">
                          <a:xfrm>
                            <a:off x="0" y="0"/>
                            <a:ext cx="228600" cy="228600"/>
                          </a:xfrm>
                          <a:prstGeom prst="rect">
                            <a:avLst/>
                          </a:prstGeom>
                        </pic:spPr>
                      </pic:pic>
                    </a:graphicData>
                  </a:graphic>
                </wp:inline>
              </w:drawing>
            </w:r>
            <w:bookmarkStart w:id="157" w:name="i-138"/>
            <w:bookmarkEnd w:id="157"/>
          </w:p>
        </w:tc>
        <w:tc>
          <w:tcPr>
            <w:tcW w:w="1377"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1946C8"/>
                <w:sz w:val="16"/>
              </w:rPr>
            </w:pPr>
            <w:r>
              <w:rPr>
                <w:rFonts w:ascii="Roboto;sans-serif" w:hAnsi="Roboto;sans-serif"/>
                <w:b/>
                <w:color w:val="1946C8"/>
                <w:sz w:val="16"/>
              </w:rPr>
              <w:t>Corporate Governance</w:t>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9"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7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83"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39" descr=""/>
                          <pic:cNvPicPr>
                            <a:picLocks noChangeAspect="1" noChangeArrowheads="1"/>
                          </pic:cNvPicPr>
                        </pic:nvPicPr>
                        <pic:blipFill>
                          <a:blip r:embed="rId160"/>
                          <a:stretch>
                            <a:fillRect/>
                          </a:stretch>
                        </pic:blipFill>
                        <pic:spPr bwMode="auto">
                          <a:xfrm>
                            <a:off x="0" y="0"/>
                            <a:ext cx="228600" cy="228600"/>
                          </a:xfrm>
                          <a:prstGeom prst="rect">
                            <a:avLst/>
                          </a:prstGeom>
                        </pic:spPr>
                      </pic:pic>
                    </a:graphicData>
                  </a:graphic>
                </wp:inline>
              </w:drawing>
            </w:r>
            <w:bookmarkStart w:id="158" w:name="i-139"/>
            <w:bookmarkEnd w:id="158"/>
          </w:p>
        </w:tc>
        <w:tc>
          <w:tcPr>
            <w:tcW w:w="1377"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1946C8"/>
                <w:sz w:val="16"/>
              </w:rPr>
            </w:pPr>
            <w:r>
              <w:rPr>
                <w:rFonts w:ascii="Roboto;sans-serif" w:hAnsi="Roboto;sans-serif"/>
                <w:b/>
                <w:color w:val="1946C8"/>
                <w:sz w:val="16"/>
              </w:rPr>
              <w:t>Risk Management</w:t>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9"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7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84"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40" descr=""/>
                          <pic:cNvPicPr>
                            <a:picLocks noChangeAspect="1" noChangeArrowheads="1"/>
                          </pic:cNvPicPr>
                        </pic:nvPicPr>
                        <pic:blipFill>
                          <a:blip r:embed="rId161"/>
                          <a:stretch>
                            <a:fillRect/>
                          </a:stretch>
                        </pic:blipFill>
                        <pic:spPr bwMode="auto">
                          <a:xfrm>
                            <a:off x="0" y="0"/>
                            <a:ext cx="228600" cy="228600"/>
                          </a:xfrm>
                          <a:prstGeom prst="rect">
                            <a:avLst/>
                          </a:prstGeom>
                        </pic:spPr>
                      </pic:pic>
                    </a:graphicData>
                  </a:graphic>
                </wp:inline>
              </w:drawing>
            </w:r>
            <w:bookmarkStart w:id="159" w:name="i-140"/>
            <w:bookmarkEnd w:id="159"/>
          </w:p>
        </w:tc>
        <w:tc>
          <w:tcPr>
            <w:tcW w:w="1377"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1946C8"/>
                <w:sz w:val="16"/>
              </w:rPr>
            </w:pPr>
            <w:r>
              <w:rPr>
                <w:rFonts w:ascii="Roboto;sans-serif" w:hAnsi="Roboto;sans-serif"/>
                <w:b/>
                <w:color w:val="1946C8"/>
                <w:sz w:val="16"/>
              </w:rPr>
              <w:t>Strategic Planning</w:t>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9"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7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85"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41" descr=""/>
                          <pic:cNvPicPr>
                            <a:picLocks noChangeAspect="1" noChangeArrowheads="1"/>
                          </pic:cNvPicPr>
                        </pic:nvPicPr>
                        <pic:blipFill>
                          <a:blip r:embed="rId162"/>
                          <a:stretch>
                            <a:fillRect/>
                          </a:stretch>
                        </pic:blipFill>
                        <pic:spPr bwMode="auto">
                          <a:xfrm>
                            <a:off x="0" y="0"/>
                            <a:ext cx="228600" cy="228600"/>
                          </a:xfrm>
                          <a:prstGeom prst="rect">
                            <a:avLst/>
                          </a:prstGeom>
                        </pic:spPr>
                      </pic:pic>
                    </a:graphicData>
                  </a:graphic>
                </wp:inline>
              </w:drawing>
            </w:r>
            <w:bookmarkStart w:id="160" w:name="i-141"/>
            <w:bookmarkEnd w:id="160"/>
          </w:p>
        </w:tc>
        <w:tc>
          <w:tcPr>
            <w:tcW w:w="1377" w:type="dxa"/>
            <w:gridSpan w:val="6"/>
            <w:tcBorders>
              <w:top w:val="single" w:sz="4" w:space="0" w:color="96D0FF"/>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1946C8"/>
                <w:sz w:val="16"/>
              </w:rPr>
            </w:pPr>
            <w:r>
              <w:rPr>
                <w:rFonts w:ascii="Roboto;sans-serif" w:hAnsi="Roboto;sans-serif"/>
                <w:b/>
                <w:color w:val="1946C8"/>
                <w:sz w:val="16"/>
              </w:rPr>
              <w:t>Supply Chain/Logistics</w:t>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9"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7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9"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9" w:type="dxa"/>
            <w:gridSpan w:val="9"/>
            <w:tcBorders/>
            <w:shd w:fill="ECF8FE" w:val="clear"/>
            <w:tcMar>
              <w:top w:w="0" w:type="dxa"/>
              <w:left w:w="0" w:type="dxa"/>
              <w:bottom w:w="0" w:type="dxa"/>
              <w:right w:w="0" w:type="dxa"/>
            </w:tcMar>
            <w:vAlign w:val="center"/>
          </w:tcPr>
          <w:p>
            <w:pPr>
              <w:pStyle w:val="TableContents"/>
              <w:bidi w:val="0"/>
              <w:spacing w:lineRule="atLeast" w:line="200" w:before="0" w:after="0"/>
              <w:jc w:val="left"/>
              <w:rPr>
                <w:rFonts w:ascii="Roboto;sans-serif" w:hAnsi="Roboto;sans-serif"/>
                <w:b/>
                <w:color w:val="1946C8"/>
                <w:sz w:val="16"/>
              </w:rPr>
            </w:pPr>
            <w:r>
              <w:rPr>
                <w:rFonts w:ascii="Roboto;sans-serif" w:hAnsi="Roboto;sans-serif"/>
                <w:b/>
                <w:color w:val="1946C8"/>
                <w:sz w:val="16"/>
              </w:rPr>
              <w:t>The Board selected Ms. Beck to serve as a director based on her board, executive leadership and management experience related to the retail industry, which includes extensive accounting and financial skills, corporate governance, risk management, strategic planning, supply chain/logistics, talent management, and technology skills.</w:t>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63525"/>
                <wp:effectExtent l="0" t="0" r="0" b="0"/>
                <wp:wrapNone/>
                <wp:docPr id="186" name="Frame25"/>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187"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42" descr=""/>
                                          <pic:cNvPicPr>
                                            <a:picLocks noChangeAspect="1" noChangeArrowheads="1"/>
                                          </pic:cNvPicPr>
                                        </pic:nvPicPr>
                                        <pic:blipFill>
                                          <a:blip r:embed="rId163"/>
                                          <a:stretch>
                                            <a:fillRect/>
                                          </a:stretch>
                                        </pic:blipFill>
                                        <pic:spPr bwMode="auto">
                                          <a:xfrm>
                                            <a:off x="0" y="0"/>
                                            <a:ext cx="266700" cy="200025"/>
                                          </a:xfrm>
                                          <a:prstGeom prst="rect">
                                            <a:avLst/>
                                          </a:prstGeom>
                                        </pic:spPr>
                                      </pic:pic>
                                    </a:graphicData>
                                  </a:graphic>
                                </wp:inline>
                              </w:drawing>
                            </w:r>
                            <w:bookmarkStart w:id="161" w:name="i-142"/>
                            <w:bookmarkEnd w:id="161"/>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188"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42" descr=""/>
                                    <pic:cNvPicPr>
                                      <a:picLocks noChangeAspect="1" noChangeArrowheads="1"/>
                                    </pic:cNvPicPr>
                                  </pic:nvPicPr>
                                  <pic:blipFill>
                                    <a:blip r:embed="rId164"/>
                                    <a:stretch>
                                      <a:fillRect/>
                                    </a:stretch>
                                  </pic:blipFill>
                                  <pic:spPr bwMode="auto">
                                    <a:xfrm>
                                      <a:off x="0" y="0"/>
                                      <a:ext cx="266700" cy="200025"/>
                                    </a:xfrm>
                                    <a:prstGeom prst="rect">
                                      <a:avLst/>
                                    </a:prstGeom>
                                  </pic:spPr>
                                </pic:pic>
                              </a:graphicData>
                            </a:graphic>
                          </wp:inline>
                        </w:drawing>
                      </w:r>
                      <w:bookmarkStart w:id="162" w:name="i-142"/>
                      <w:bookmarkEnd w:id="162"/>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tbl>
      <w:tblPr>
        <w:tblW w:w="10205" w:type="dxa"/>
        <w:jc w:val="center"/>
        <w:tblInd w:w="0" w:type="dxa"/>
        <w:tblLayout w:type="fixed"/>
        <w:tblCellMar>
          <w:top w:w="28" w:type="dxa"/>
          <w:left w:w="28" w:type="dxa"/>
          <w:bottom w:w="28" w:type="dxa"/>
          <w:right w:w="28" w:type="dxa"/>
        </w:tblCellMar>
      </w:tblPr>
      <w:tblGrid>
        <w:gridCol w:w="224"/>
        <w:gridCol w:w="196"/>
        <w:gridCol w:w="196"/>
        <w:gridCol w:w="196"/>
        <w:gridCol w:w="196"/>
        <w:gridCol w:w="196"/>
        <w:gridCol w:w="438"/>
        <w:gridCol w:w="325"/>
        <w:gridCol w:w="248"/>
        <w:gridCol w:w="206"/>
        <w:gridCol w:w="206"/>
        <w:gridCol w:w="206"/>
        <w:gridCol w:w="196"/>
        <w:gridCol w:w="196"/>
        <w:gridCol w:w="209"/>
        <w:gridCol w:w="109"/>
        <w:gridCol w:w="109"/>
        <w:gridCol w:w="109"/>
        <w:gridCol w:w="1089"/>
        <w:gridCol w:w="1003"/>
        <w:gridCol w:w="909"/>
        <w:gridCol w:w="559"/>
        <w:gridCol w:w="559"/>
        <w:gridCol w:w="559"/>
        <w:gridCol w:w="512"/>
        <w:gridCol w:w="512"/>
        <w:gridCol w:w="742"/>
      </w:tblGrid>
      <w:tr>
        <w:trPr/>
        <w:tc>
          <w:tcPr>
            <w:tcW w:w="2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15"/>
            <w:vMerge w:val="restart"/>
            <w:tcBorders/>
            <w:shd w:fill="ECF8F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28800" cy="1857375"/>
                  <wp:effectExtent l="0" t="0" r="0" b="0"/>
                  <wp:docPr id="189"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43" descr=""/>
                          <pic:cNvPicPr>
                            <a:picLocks noChangeAspect="1" noChangeArrowheads="1"/>
                          </pic:cNvPicPr>
                        </pic:nvPicPr>
                        <pic:blipFill>
                          <a:blip r:embed="rId165"/>
                          <a:stretch>
                            <a:fillRect/>
                          </a:stretch>
                        </pic:blipFill>
                        <pic:spPr bwMode="auto">
                          <a:xfrm>
                            <a:off x="0" y="0"/>
                            <a:ext cx="1828800" cy="1857375"/>
                          </a:xfrm>
                          <a:prstGeom prst="rect">
                            <a:avLst/>
                          </a:prstGeom>
                        </pic:spPr>
                      </pic:pic>
                    </a:graphicData>
                  </a:graphic>
                </wp:inline>
              </w:drawing>
            </w:r>
            <w:bookmarkStart w:id="163" w:name="i-143"/>
            <w:bookmarkEnd w:id="16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9"/>
            <w:tcBorders/>
            <w:tcMar>
              <w:top w:w="0" w:type="dxa"/>
              <w:left w:w="0" w:type="dxa"/>
              <w:bottom w:w="0" w:type="dxa"/>
              <w:right w:w="0" w:type="dxa"/>
            </w:tcMar>
            <w:vAlign w:val="center"/>
          </w:tcPr>
          <w:p>
            <w:pPr>
              <w:pStyle w:val="TableContents"/>
              <w:bidi w:val="0"/>
              <w:spacing w:lineRule="atLeast" w:line="300" w:before="0" w:after="120"/>
              <w:jc w:val="left"/>
              <w:rPr>
                <w:rFonts w:ascii="Roboto;sans-serif" w:hAnsi="Roboto;sans-serif"/>
                <w:b/>
                <w:color w:val="1946C8"/>
                <w:sz w:val="40"/>
              </w:rPr>
            </w:pPr>
            <w:r>
              <w:rPr>
                <w:rFonts w:ascii="Roboto;sans-serif" w:hAnsi="Roboto;sans-serif"/>
                <w:b/>
                <w:color w:val="1946C8"/>
                <w:sz w:val="40"/>
              </w:rPr>
              <w:t>Michael Dastugue</w:t>
            </w:r>
          </w:p>
          <w:p>
            <w:pPr>
              <w:pStyle w:val="TableContents"/>
              <w:bidi w:val="0"/>
              <w:spacing w:lineRule="atLeast" w:line="300" w:before="0" w:after="0"/>
              <w:jc w:val="left"/>
              <w:rPr>
                <w:rFonts w:ascii="Roboto;sans-serif" w:hAnsi="Roboto;sans-serif"/>
                <w:b/>
                <w:color w:val="E81111"/>
                <w:sz w:val="24"/>
              </w:rPr>
            </w:pPr>
            <w:r>
              <w:rPr>
                <w:rFonts w:ascii="Roboto;sans-serif" w:hAnsi="Roboto;sans-serif"/>
                <w:b/>
                <w:color w:val="E81111"/>
                <w:sz w:val="24"/>
              </w:rPr>
              <w:t>Independent Director</w:t>
            </w:r>
          </w:p>
        </w:tc>
      </w:tr>
      <w:tr>
        <w:trPr/>
        <w:tc>
          <w:tcPr>
            <w:tcW w:w="3434"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Director Since: </w:t>
            </w:r>
            <w:r>
              <w:rPr>
                <w:rFonts w:ascii="Roboto;sans-serif" w:hAnsi="Roboto;sans-serif"/>
                <w:b w:val="false"/>
                <w:color w:val="01024A"/>
                <w:sz w:val="18"/>
              </w:rPr>
              <w:t>December 2025</w:t>
            </w:r>
          </w:p>
        </w:tc>
        <w:tc>
          <w:tcPr>
            <w:tcW w:w="1677"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Board Class: </w:t>
            </w:r>
            <w:r>
              <w:rPr>
                <w:rFonts w:ascii="Roboto;sans-serif" w:hAnsi="Roboto;sans-serif"/>
                <w:b w:val="false"/>
                <w:color w:val="01024A"/>
                <w:sz w:val="18"/>
              </w:rPr>
              <w:t>II</w:t>
            </w:r>
          </w:p>
        </w:tc>
        <w:tc>
          <w:tcPr>
            <w:tcW w:w="176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0"/>
              <w:jc w:val="center"/>
              <w:rPr>
                <w:rFonts w:ascii="Roboto;sans-serif" w:hAnsi="Roboto;sans-serif"/>
                <w:b/>
                <w:color w:val="01024A"/>
                <w:sz w:val="18"/>
              </w:rPr>
            </w:pPr>
            <w:r>
              <w:rPr>
                <w:rFonts w:ascii="Roboto;sans-serif" w:hAnsi="Roboto;sans-serif"/>
                <w:b/>
                <w:color w:val="01024A"/>
                <w:sz w:val="18"/>
              </w:rPr>
              <w:t>Age: 61</w:t>
            </w:r>
          </w:p>
        </w:tc>
      </w:tr>
      <w:tr>
        <w:trPr/>
        <w:tc>
          <w:tcPr>
            <w:tcW w:w="3434"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9"/>
            <w:vMerge w:val="restart"/>
            <w:tcBorders/>
            <w:tcMar>
              <w:top w:w="0" w:type="dxa"/>
              <w:left w:w="0" w:type="dxa"/>
              <w:bottom w:w="0" w:type="dxa"/>
              <w:right w:w="0" w:type="dxa"/>
            </w:tcMar>
            <w:vAlign w:val="center"/>
          </w:tcPr>
          <w:p>
            <w:pPr>
              <w:pStyle w:val="TableContents"/>
              <w:bidi w:val="0"/>
              <w:spacing w:lineRule="auto" w:line="312" w:before="0" w:after="60"/>
              <w:jc w:val="left"/>
              <w:rPr>
                <w:rFonts w:ascii="Roboto;sans-serif" w:hAnsi="Roboto;sans-serif"/>
                <w:b/>
                <w:color w:val="1946C8"/>
                <w:sz w:val="18"/>
              </w:rPr>
            </w:pPr>
            <w:r>
              <w:rPr>
                <w:rFonts w:ascii="Roboto;sans-serif" w:hAnsi="Roboto;sans-serif"/>
                <w:b/>
                <w:color w:val="1946C8"/>
                <w:sz w:val="18"/>
              </w:rPr>
              <w:t>Committee Memberships</w:t>
            </w:r>
          </w:p>
          <w:p>
            <w:pPr>
              <w:pStyle w:val="TableContents"/>
              <w:bidi w:val="0"/>
              <w:spacing w:lineRule="auto" w:line="288" w:before="0" w:after="180"/>
              <w:ind w:left="0" w:right="0" w:hanging="216"/>
              <w:jc w:val="left"/>
              <w:rPr/>
            </w:pPr>
            <w:r>
              <w:rPr>
                <w:color w:val="01024A"/>
              </w:rPr>
              <w:t>•</w:t>
            </w:r>
            <w:r>
              <w:rPr>
                <w:rFonts w:ascii="Roboto;sans-serif" w:hAnsi="Roboto;sans-serif"/>
                <w:b w:val="false"/>
                <w:color w:val="01024A"/>
                <w:sz w:val="16"/>
              </w:rPr>
              <w:t>Audit since December 2025</w:t>
            </w:r>
          </w:p>
          <w:p>
            <w:pPr>
              <w:pStyle w:val="TableContents"/>
              <w:bidi w:val="0"/>
              <w:spacing w:lineRule="auto" w:line="312" w:before="100" w:after="60"/>
              <w:jc w:val="left"/>
              <w:rPr>
                <w:rFonts w:ascii="Roboto;sans-serif" w:hAnsi="Roboto;sans-serif"/>
                <w:b/>
                <w:color w:val="1946C8"/>
                <w:sz w:val="18"/>
              </w:rPr>
            </w:pPr>
            <w:r>
              <w:rPr>
                <w:rFonts w:ascii="Roboto;sans-serif" w:hAnsi="Roboto;sans-serif"/>
                <w:b/>
                <w:color w:val="1946C8"/>
                <w:sz w:val="18"/>
              </w:rPr>
              <w:t>Experience and Qualifications</w:t>
            </w:r>
          </w:p>
          <w:p>
            <w:pPr>
              <w:pStyle w:val="TableContents"/>
              <w:bidi w:val="0"/>
              <w:spacing w:lineRule="auto" w:line="288" w:before="0" w:after="0"/>
              <w:ind w:left="0" w:right="0" w:hanging="216"/>
              <w:jc w:val="left"/>
              <w:rPr/>
            </w:pPr>
            <w:r>
              <w:rPr>
                <w:color w:val="000000"/>
              </w:rPr>
              <w:t>•</w:t>
            </w:r>
            <w:r>
              <w:rPr>
                <w:rFonts w:ascii="Roboto;sans-serif" w:hAnsi="Roboto;sans-serif"/>
                <w:b/>
                <w:color w:val="000000"/>
                <w:sz w:val="16"/>
              </w:rPr>
              <w:t>Hanesbrands:</w:t>
            </w:r>
            <w:r>
              <w:rPr>
                <w:color w:val="000000"/>
              </w:rPr>
              <w:t xml:space="preserve"> </w:t>
            </w:r>
            <w:r>
              <w:rPr>
                <w:rFonts w:ascii="Roboto;sans-serif" w:hAnsi="Roboto;sans-serif"/>
                <w:b w:val="false"/>
                <w:color w:val="000000"/>
                <w:sz w:val="16"/>
              </w:rPr>
              <w:t>Chief Financial Officer (May 2021 - February 2023)</w:t>
            </w:r>
          </w:p>
          <w:p>
            <w:pPr>
              <w:pStyle w:val="TableContents"/>
              <w:bidi w:val="0"/>
              <w:spacing w:lineRule="auto" w:line="288" w:before="0" w:after="0"/>
              <w:ind w:left="0" w:right="0" w:hanging="216"/>
              <w:jc w:val="left"/>
              <w:rPr/>
            </w:pPr>
            <w:r>
              <w:rPr>
                <w:color w:val="000000"/>
              </w:rPr>
              <w:t>•</w:t>
            </w:r>
            <w:r>
              <w:rPr>
                <w:rFonts w:ascii="Roboto;sans-serif" w:hAnsi="Roboto;sans-serif"/>
                <w:b/>
                <w:color w:val="000000"/>
                <w:sz w:val="16"/>
              </w:rPr>
              <w:t>Walmart US:</w:t>
            </w:r>
            <w:r>
              <w:rPr>
                <w:color w:val="000000"/>
              </w:rPr>
              <w:t xml:space="preserve"> </w:t>
            </w:r>
            <w:r>
              <w:rPr>
                <w:rFonts w:ascii="Roboto;sans-serif" w:hAnsi="Roboto;sans-serif"/>
                <w:b w:val="false"/>
                <w:color w:val="000000"/>
                <w:sz w:val="16"/>
              </w:rPr>
              <w:t>Executive Vice President and Chief Financial Officer (June 2015 - March 2021)</w:t>
            </w:r>
          </w:p>
          <w:p>
            <w:pPr>
              <w:pStyle w:val="TableContents"/>
              <w:bidi w:val="0"/>
              <w:spacing w:lineRule="auto" w:line="288" w:before="0" w:after="0"/>
              <w:ind w:left="0" w:right="0" w:hanging="216"/>
              <w:jc w:val="left"/>
              <w:rPr/>
            </w:pPr>
            <w:r>
              <w:rPr>
                <w:color w:val="000000"/>
              </w:rPr>
              <w:t>•</w:t>
            </w:r>
            <w:r>
              <w:rPr>
                <w:rFonts w:ascii="Roboto;sans-serif" w:hAnsi="Roboto;sans-serif"/>
                <w:b/>
                <w:color w:val="000000"/>
                <w:sz w:val="16"/>
              </w:rPr>
              <w:t>Sam’s Club:</w:t>
            </w:r>
            <w:r>
              <w:rPr>
                <w:color w:val="000000"/>
              </w:rPr>
              <w:t xml:space="preserve"> </w:t>
            </w:r>
            <w:r>
              <w:rPr>
                <w:rFonts w:ascii="Roboto;sans-serif" w:hAnsi="Roboto;sans-serif"/>
                <w:b w:val="false"/>
                <w:color w:val="000000"/>
                <w:sz w:val="16"/>
              </w:rPr>
              <w:t>Executive Vice President and Chief Financial Officer (January 2013 - May 2015)</w:t>
            </w:r>
          </w:p>
          <w:p>
            <w:pPr>
              <w:pStyle w:val="TableContents"/>
              <w:bidi w:val="0"/>
              <w:spacing w:lineRule="auto" w:line="288" w:before="0" w:after="0"/>
              <w:ind w:left="0" w:right="0" w:hanging="216"/>
              <w:jc w:val="left"/>
              <w:rPr/>
            </w:pPr>
            <w:r>
              <w:rPr>
                <w:color w:val="000000"/>
              </w:rPr>
              <w:t>•</w:t>
            </w:r>
            <w:r>
              <w:rPr>
                <w:rFonts w:ascii="Roboto;sans-serif" w:hAnsi="Roboto;sans-serif"/>
                <w:b/>
                <w:color w:val="000000"/>
                <w:sz w:val="16"/>
              </w:rPr>
              <w:t>J.C. Penney:</w:t>
            </w:r>
            <w:r>
              <w:rPr>
                <w:color w:val="000000"/>
              </w:rPr>
              <w:t xml:space="preserve"> </w:t>
            </w:r>
            <w:r>
              <w:rPr>
                <w:rFonts w:ascii="Roboto;sans-serif" w:hAnsi="Roboto;sans-serif"/>
                <w:b w:val="false"/>
                <w:color w:val="000000"/>
                <w:sz w:val="16"/>
              </w:rPr>
              <w:t>Various leadership positions, including Executive Vice President and Chief Financial Officer (1991 - 2012)</w:t>
            </w:r>
          </w:p>
          <w:p>
            <w:pPr>
              <w:pStyle w:val="TableContents"/>
              <w:bidi w:val="0"/>
              <w:spacing w:lineRule="auto" w:line="288" w:before="0" w:after="0"/>
              <w:ind w:left="0" w:right="0" w:hanging="216"/>
              <w:jc w:val="left"/>
              <w:rPr/>
            </w:pPr>
            <w:r>
              <w:rPr>
                <w:color w:val="000000"/>
              </w:rPr>
              <w:t>•</w:t>
            </w:r>
            <w:r>
              <w:rPr>
                <w:rFonts w:ascii="Roboto;sans-serif" w:hAnsi="Roboto;sans-serif"/>
                <w:b/>
                <w:color w:val="000000"/>
                <w:sz w:val="16"/>
              </w:rPr>
              <w:t>Arthur Andersen &amp; Co:</w:t>
            </w:r>
            <w:r>
              <w:rPr>
                <w:color w:val="000000"/>
              </w:rPr>
              <w:t xml:space="preserve"> </w:t>
            </w:r>
            <w:r>
              <w:rPr>
                <w:rFonts w:ascii="Roboto;sans-serif" w:hAnsi="Roboto;sans-serif"/>
                <w:b w:val="false"/>
                <w:color w:val="000000"/>
                <w:sz w:val="16"/>
              </w:rPr>
              <w:t>Public accountant (3 years)</w:t>
            </w:r>
          </w:p>
          <w:p>
            <w:pPr>
              <w:pStyle w:val="TableContents"/>
              <w:bidi w:val="0"/>
              <w:spacing w:lineRule="auto" w:line="288" w:before="0" w:after="0"/>
              <w:ind w:left="0" w:right="0" w:hanging="216"/>
              <w:jc w:val="left"/>
              <w:rPr/>
            </w:pPr>
            <w:r>
              <w:rPr>
                <w:color w:val="000000"/>
              </w:rPr>
              <w:t>•</w:t>
            </w:r>
            <w:r>
              <w:rPr>
                <w:rFonts w:ascii="Roboto;sans-serif" w:hAnsi="Roboto;sans-serif"/>
                <w:b/>
                <w:color w:val="000000"/>
                <w:sz w:val="16"/>
              </w:rPr>
              <w:t>Bachelor of Business Administration with concentration in Accounting and Finance:</w:t>
            </w:r>
            <w:r>
              <w:rPr>
                <w:color w:val="000000"/>
              </w:rPr>
              <w:t xml:space="preserve"> </w:t>
            </w:r>
            <w:r>
              <w:rPr>
                <w:rFonts w:ascii="Roboto;sans-serif" w:hAnsi="Roboto;sans-serif"/>
                <w:b w:val="false"/>
                <w:color w:val="000000"/>
                <w:sz w:val="16"/>
              </w:rPr>
              <w:t>Texas A&amp;M University</w:t>
            </w:r>
          </w:p>
          <w:p>
            <w:pPr>
              <w:pStyle w:val="TableContents"/>
              <w:bidi w:val="0"/>
              <w:spacing w:lineRule="auto" w:line="288" w:before="0" w:after="0"/>
              <w:ind w:left="0" w:right="0" w:hanging="216"/>
              <w:jc w:val="left"/>
              <w:rPr/>
            </w:pPr>
            <w:r>
              <w:rPr>
                <w:color w:val="000000"/>
              </w:rPr>
              <w:t>•</w:t>
            </w:r>
            <w:r>
              <w:rPr>
                <w:rFonts w:ascii="Roboto;sans-serif" w:hAnsi="Roboto;sans-serif"/>
                <w:b/>
                <w:color w:val="000000"/>
                <w:sz w:val="16"/>
              </w:rPr>
              <w:t>Master of Business Administration with a concentration in Finance:</w:t>
            </w:r>
            <w:r>
              <w:rPr>
                <w:color w:val="000000"/>
              </w:rPr>
              <w:t xml:space="preserve"> </w:t>
            </w:r>
            <w:r>
              <w:rPr>
                <w:rFonts w:ascii="Roboto;sans-serif" w:hAnsi="Roboto;sans-serif"/>
                <w:b w:val="false"/>
                <w:color w:val="000000"/>
                <w:sz w:val="16"/>
              </w:rPr>
              <w:t>University of Texas</w:t>
            </w:r>
          </w:p>
          <w:p>
            <w:pPr>
              <w:pStyle w:val="TableContents"/>
              <w:bidi w:val="0"/>
              <w:spacing w:lineRule="auto" w:line="312" w:before="180" w:after="40"/>
              <w:jc w:val="left"/>
              <w:rPr>
                <w:rFonts w:ascii="Roboto;sans-serif" w:hAnsi="Roboto;sans-serif"/>
                <w:b/>
                <w:color w:val="1946C8"/>
                <w:sz w:val="18"/>
              </w:rPr>
            </w:pPr>
            <w:r>
              <w:rPr>
                <w:rFonts w:ascii="Roboto;sans-serif" w:hAnsi="Roboto;sans-serif"/>
                <w:b/>
                <w:color w:val="1946C8"/>
                <w:sz w:val="18"/>
              </w:rPr>
              <w:t>Contributions to the Board</w:t>
            </w:r>
          </w:p>
          <w:p>
            <w:pPr>
              <w:pStyle w:val="TableContents"/>
              <w:bidi w:val="0"/>
              <w:spacing w:lineRule="auto" w:line="288" w:before="0" w:after="0"/>
              <w:jc w:val="left"/>
              <w:rPr>
                <w:rFonts w:ascii="Roboto;sans-serif" w:hAnsi="Roboto;sans-serif"/>
                <w:b w:val="false"/>
                <w:color w:val="01024A"/>
                <w:sz w:val="16"/>
              </w:rPr>
            </w:pPr>
            <w:r>
              <w:rPr>
                <w:rFonts w:ascii="Roboto;sans-serif" w:hAnsi="Roboto;sans-serif"/>
                <w:b w:val="false"/>
                <w:color w:val="01024A"/>
                <w:sz w:val="16"/>
              </w:rPr>
              <w:t>Mr. Dastugue brings over 30 years of extensive public company financial leadership and audit</w:t>
              <w:noBreakHyphen/>
              <w:t>relevant experience to the Board, contributing deep expertise in financial reporting, accounting oversight, capital allocation, enterprise risk management, and real estate, which the Board values as we execute our growth strategies through new store expansion. His background in senior executive roles at large consumer</w:t>
              <w:noBreakHyphen/>
              <w:t xml:space="preserve">facing companies enhances the Board’s ability to oversee complex financial, operational, and regulatory matters. </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shd w:fill="E81111"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8"/>
              </w:rPr>
            </w:pPr>
            <w:r>
              <w:rPr>
                <w:rFonts w:ascii="Roboto;sans-serif" w:hAnsi="Roboto;sans-serif"/>
                <w:b/>
                <w:color w:val="FFFFFF"/>
                <w:sz w:val="18"/>
              </w:rPr>
              <w:t>Key Skills</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top w:val="single" w:sz="8" w:space="0" w:color="1946C8"/>
              <w:left w:val="single" w:sz="8" w:space="0" w:color="1946C8"/>
            </w:tcBorders>
            <w:tcMar>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shd w:fill="E81111" w:val="clear"/>
            <w:tcMar>
              <w:top w:w="0" w:type="dxa"/>
              <w:left w:w="0" w:type="dxa"/>
              <w:bottom w:w="0" w:type="dxa"/>
              <w:right w:w="0" w:type="dxa"/>
            </w:tcMar>
            <w:vAlign w:val="center"/>
          </w:tcPr>
          <w:p>
            <w:pPr>
              <w:pStyle w:val="Normal"/>
              <w:bidi w:val="0"/>
              <w:jc w:val="left"/>
              <w:rPr/>
            </w:pPr>
            <w:r>
              <w:rPr/>
            </w:r>
          </w:p>
        </w:tc>
        <w:tc>
          <w:tcPr>
            <w:tcW w:w="618"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90"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44" descr=""/>
                          <pic:cNvPicPr>
                            <a:picLocks noChangeAspect="1" noChangeArrowheads="1"/>
                          </pic:cNvPicPr>
                        </pic:nvPicPr>
                        <pic:blipFill>
                          <a:blip r:embed="rId166"/>
                          <a:stretch>
                            <a:fillRect/>
                          </a:stretch>
                        </pic:blipFill>
                        <pic:spPr bwMode="auto">
                          <a:xfrm>
                            <a:off x="0" y="0"/>
                            <a:ext cx="228600" cy="228600"/>
                          </a:xfrm>
                          <a:prstGeom prst="rect">
                            <a:avLst/>
                          </a:prstGeom>
                        </pic:spPr>
                      </pic:pic>
                    </a:graphicData>
                  </a:graphic>
                </wp:inline>
              </w:drawing>
            </w:r>
            <w:bookmarkStart w:id="164" w:name="i-144"/>
            <w:bookmarkEnd w:id="164"/>
          </w:p>
        </w:tc>
        <w:tc>
          <w:tcPr>
            <w:tcW w:w="1629" w:type="dxa"/>
            <w:gridSpan w:val="6"/>
            <w:tcBorders>
              <w:bottom w:val="single" w:sz="4" w:space="0" w:color="96D0FF"/>
            </w:tcBorders>
            <w:tcMar>
              <w:top w:w="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Accounting/Finance</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91"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45" descr=""/>
                          <pic:cNvPicPr>
                            <a:picLocks noChangeAspect="1" noChangeArrowheads="1"/>
                          </pic:cNvPicPr>
                        </pic:nvPicPr>
                        <pic:blipFill>
                          <a:blip r:embed="rId167"/>
                          <a:stretch>
                            <a:fillRect/>
                          </a:stretch>
                        </pic:blipFill>
                        <pic:spPr bwMode="auto">
                          <a:xfrm>
                            <a:off x="0" y="0"/>
                            <a:ext cx="228600" cy="228600"/>
                          </a:xfrm>
                          <a:prstGeom prst="rect">
                            <a:avLst/>
                          </a:prstGeom>
                        </pic:spPr>
                      </pic:pic>
                    </a:graphicData>
                  </a:graphic>
                </wp:inline>
              </w:drawing>
            </w:r>
            <w:bookmarkStart w:id="165" w:name="i-145"/>
            <w:bookmarkEnd w:id="165"/>
          </w:p>
        </w:tc>
        <w:tc>
          <w:tcPr>
            <w:tcW w:w="1629"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Digital/eCommerce</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92"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46" descr=""/>
                          <pic:cNvPicPr>
                            <a:picLocks noChangeAspect="1" noChangeArrowheads="1"/>
                          </pic:cNvPicPr>
                        </pic:nvPicPr>
                        <pic:blipFill>
                          <a:blip r:embed="rId168"/>
                          <a:stretch>
                            <a:fillRect/>
                          </a:stretch>
                        </pic:blipFill>
                        <pic:spPr bwMode="auto">
                          <a:xfrm>
                            <a:off x="0" y="0"/>
                            <a:ext cx="228600" cy="228600"/>
                          </a:xfrm>
                          <a:prstGeom prst="rect">
                            <a:avLst/>
                          </a:prstGeom>
                        </pic:spPr>
                      </pic:pic>
                    </a:graphicData>
                  </a:graphic>
                </wp:inline>
              </w:drawing>
            </w:r>
            <w:bookmarkStart w:id="166" w:name="i-146"/>
            <w:bookmarkEnd w:id="166"/>
          </w:p>
        </w:tc>
        <w:tc>
          <w:tcPr>
            <w:tcW w:w="1629"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Real Estate &amp; Construction</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93"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47" descr=""/>
                          <pic:cNvPicPr>
                            <a:picLocks noChangeAspect="1" noChangeArrowheads="1"/>
                          </pic:cNvPicPr>
                        </pic:nvPicPr>
                        <pic:blipFill>
                          <a:blip r:embed="rId169"/>
                          <a:stretch>
                            <a:fillRect/>
                          </a:stretch>
                        </pic:blipFill>
                        <pic:spPr bwMode="auto">
                          <a:xfrm>
                            <a:off x="0" y="0"/>
                            <a:ext cx="228600" cy="228600"/>
                          </a:xfrm>
                          <a:prstGeom prst="rect">
                            <a:avLst/>
                          </a:prstGeom>
                        </pic:spPr>
                      </pic:pic>
                    </a:graphicData>
                  </a:graphic>
                </wp:inline>
              </w:drawing>
            </w:r>
            <w:bookmarkStart w:id="167" w:name="i-147"/>
            <w:bookmarkEnd w:id="167"/>
          </w:p>
        </w:tc>
        <w:tc>
          <w:tcPr>
            <w:tcW w:w="1629"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Risk Management</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94"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48" descr=""/>
                          <pic:cNvPicPr>
                            <a:picLocks noChangeAspect="1" noChangeArrowheads="1"/>
                          </pic:cNvPicPr>
                        </pic:nvPicPr>
                        <pic:blipFill>
                          <a:blip r:embed="rId170"/>
                          <a:stretch>
                            <a:fillRect/>
                          </a:stretch>
                        </pic:blipFill>
                        <pic:spPr bwMode="auto">
                          <a:xfrm>
                            <a:off x="0" y="0"/>
                            <a:ext cx="228600" cy="228600"/>
                          </a:xfrm>
                          <a:prstGeom prst="rect">
                            <a:avLst/>
                          </a:prstGeom>
                        </pic:spPr>
                      </pic:pic>
                    </a:graphicData>
                  </a:graphic>
                </wp:inline>
              </w:drawing>
            </w:r>
            <w:bookmarkStart w:id="168" w:name="i-148"/>
            <w:bookmarkEnd w:id="168"/>
          </w:p>
        </w:tc>
        <w:tc>
          <w:tcPr>
            <w:tcW w:w="1629" w:type="dxa"/>
            <w:gridSpan w:val="6"/>
            <w:tcBorders>
              <w:top w:val="single" w:sz="4" w:space="0" w:color="96D0FF"/>
            </w:tcBorders>
            <w:tcMar>
              <w:top w:w="3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Strategic Planning</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9"/>
            <w:tcBorders/>
            <w:shd w:fill="ECF8FE" w:val="clear"/>
            <w:tcMar>
              <w:top w:w="0" w:type="dxa"/>
              <w:left w:w="0" w:type="dxa"/>
              <w:bottom w:w="0" w:type="dxa"/>
              <w:right w:w="0" w:type="dxa"/>
            </w:tcMar>
            <w:vAlign w:val="center"/>
          </w:tcPr>
          <w:p>
            <w:pPr>
              <w:pStyle w:val="TableContents"/>
              <w:bidi w:val="0"/>
              <w:spacing w:lineRule="atLeast" w:line="200" w:before="0" w:after="0"/>
              <w:jc w:val="left"/>
              <w:rPr>
                <w:rFonts w:ascii="Roboto;sans-serif" w:hAnsi="Roboto;sans-serif"/>
                <w:b/>
                <w:color w:val="1946C8"/>
                <w:sz w:val="16"/>
              </w:rPr>
            </w:pPr>
            <w:r>
              <w:rPr>
                <w:rFonts w:ascii="Roboto;sans-serif" w:hAnsi="Roboto;sans-serif"/>
                <w:b/>
                <w:color w:val="1946C8"/>
                <w:sz w:val="16"/>
              </w:rPr>
              <w:t xml:space="preserve">The Board selected Mr. Dastugue to serve as a director based on his extensive accounting/financial, real estate &amp; construction, digital/eCommerce, risk management, and strategic planning experience, including his service in senior executive roles at large, complex publicly traded companies. </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63525"/>
                <wp:effectExtent l="0" t="0" r="0" b="0"/>
                <wp:wrapNone/>
                <wp:docPr id="195" name="Frame26"/>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196"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49" descr=""/>
                                          <pic:cNvPicPr>
                                            <a:picLocks noChangeAspect="1" noChangeArrowheads="1"/>
                                          </pic:cNvPicPr>
                                        </pic:nvPicPr>
                                        <pic:blipFill>
                                          <a:blip r:embed="rId171"/>
                                          <a:stretch>
                                            <a:fillRect/>
                                          </a:stretch>
                                        </pic:blipFill>
                                        <pic:spPr bwMode="auto">
                                          <a:xfrm>
                                            <a:off x="0" y="0"/>
                                            <a:ext cx="266700" cy="200025"/>
                                          </a:xfrm>
                                          <a:prstGeom prst="rect">
                                            <a:avLst/>
                                          </a:prstGeom>
                                        </pic:spPr>
                                      </pic:pic>
                                    </a:graphicData>
                                  </a:graphic>
                                </wp:inline>
                              </w:drawing>
                            </w:r>
                            <w:bookmarkStart w:id="169" w:name="i-149"/>
                            <w:bookmarkEnd w:id="169"/>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197"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49" descr=""/>
                                    <pic:cNvPicPr>
                                      <a:picLocks noChangeAspect="1" noChangeArrowheads="1"/>
                                    </pic:cNvPicPr>
                                  </pic:nvPicPr>
                                  <pic:blipFill>
                                    <a:blip r:embed="rId172"/>
                                    <a:stretch>
                                      <a:fillRect/>
                                    </a:stretch>
                                  </pic:blipFill>
                                  <pic:spPr bwMode="auto">
                                    <a:xfrm>
                                      <a:off x="0" y="0"/>
                                      <a:ext cx="266700" cy="200025"/>
                                    </a:xfrm>
                                    <a:prstGeom prst="rect">
                                      <a:avLst/>
                                    </a:prstGeom>
                                  </pic:spPr>
                                </pic:pic>
                              </a:graphicData>
                            </a:graphic>
                          </wp:inline>
                        </w:drawing>
                      </w:r>
                      <w:bookmarkStart w:id="170" w:name="i-149"/>
                      <w:bookmarkEnd w:id="170"/>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21</w:t>
            </w:r>
          </w:p>
        </w:tc>
      </w:tr>
    </w:tbl>
    <w:tbl>
      <w:tblPr>
        <w:tblW w:w="10205" w:type="dxa"/>
        <w:jc w:val="center"/>
        <w:tblInd w:w="0" w:type="dxa"/>
        <w:tblLayout w:type="fixed"/>
        <w:tblCellMar>
          <w:top w:w="28" w:type="dxa"/>
          <w:left w:w="28" w:type="dxa"/>
          <w:bottom w:w="28" w:type="dxa"/>
          <w:right w:w="28" w:type="dxa"/>
        </w:tblCellMar>
      </w:tblPr>
      <w:tblGrid>
        <w:gridCol w:w="224"/>
        <w:gridCol w:w="196"/>
        <w:gridCol w:w="196"/>
        <w:gridCol w:w="196"/>
        <w:gridCol w:w="196"/>
        <w:gridCol w:w="196"/>
        <w:gridCol w:w="439"/>
        <w:gridCol w:w="327"/>
        <w:gridCol w:w="250"/>
        <w:gridCol w:w="207"/>
        <w:gridCol w:w="207"/>
        <w:gridCol w:w="207"/>
        <w:gridCol w:w="196"/>
        <w:gridCol w:w="196"/>
        <w:gridCol w:w="209"/>
        <w:gridCol w:w="109"/>
        <w:gridCol w:w="109"/>
        <w:gridCol w:w="109"/>
        <w:gridCol w:w="1100"/>
        <w:gridCol w:w="954"/>
        <w:gridCol w:w="898"/>
        <w:gridCol w:w="555"/>
        <w:gridCol w:w="555"/>
        <w:gridCol w:w="555"/>
        <w:gridCol w:w="529"/>
        <w:gridCol w:w="529"/>
        <w:gridCol w:w="761"/>
      </w:tblGrid>
      <w:tr>
        <w:trPr/>
        <w:tc>
          <w:tcPr>
            <w:tcW w:w="2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2" w:type="dxa"/>
            <w:gridSpan w:val="15"/>
            <w:vMerge w:val="restart"/>
            <w:tcBorders/>
            <w:shd w:fill="ECF8F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28800" cy="1857375"/>
                  <wp:effectExtent l="0" t="0" r="0" b="0"/>
                  <wp:docPr id="198"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50" descr=""/>
                          <pic:cNvPicPr>
                            <a:picLocks noChangeAspect="1" noChangeArrowheads="1"/>
                          </pic:cNvPicPr>
                        </pic:nvPicPr>
                        <pic:blipFill>
                          <a:blip r:embed="rId173"/>
                          <a:stretch>
                            <a:fillRect/>
                          </a:stretch>
                        </pic:blipFill>
                        <pic:spPr bwMode="auto">
                          <a:xfrm>
                            <a:off x="0" y="0"/>
                            <a:ext cx="1828800" cy="1857375"/>
                          </a:xfrm>
                          <a:prstGeom prst="rect">
                            <a:avLst/>
                          </a:prstGeom>
                        </pic:spPr>
                      </pic:pic>
                    </a:graphicData>
                  </a:graphic>
                </wp:inline>
              </w:drawing>
            </w:r>
            <w:bookmarkStart w:id="171" w:name="i-150"/>
            <w:bookmarkEnd w:id="171"/>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2"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6" w:type="dxa"/>
            <w:gridSpan w:val="9"/>
            <w:tcBorders/>
            <w:tcMar>
              <w:top w:w="0" w:type="dxa"/>
              <w:left w:w="0" w:type="dxa"/>
              <w:bottom w:w="0" w:type="dxa"/>
              <w:right w:w="0" w:type="dxa"/>
            </w:tcMar>
            <w:vAlign w:val="center"/>
          </w:tcPr>
          <w:p>
            <w:pPr>
              <w:pStyle w:val="TableContents"/>
              <w:bidi w:val="0"/>
              <w:spacing w:lineRule="atLeast" w:line="300" w:before="0" w:after="120"/>
              <w:jc w:val="left"/>
              <w:rPr>
                <w:rFonts w:ascii="Roboto;sans-serif" w:hAnsi="Roboto;sans-serif"/>
                <w:b/>
                <w:color w:val="1946C8"/>
                <w:sz w:val="40"/>
              </w:rPr>
            </w:pPr>
            <w:r>
              <w:rPr>
                <w:rFonts w:ascii="Roboto;sans-serif" w:hAnsi="Roboto;sans-serif"/>
                <w:b/>
                <w:color w:val="1946C8"/>
                <w:sz w:val="40"/>
              </w:rPr>
              <w:t>Shannon Hennessy</w:t>
            </w:r>
          </w:p>
          <w:p>
            <w:pPr>
              <w:pStyle w:val="TableContents"/>
              <w:bidi w:val="0"/>
              <w:spacing w:lineRule="atLeast" w:line="300" w:before="0" w:after="0"/>
              <w:jc w:val="left"/>
              <w:rPr>
                <w:rFonts w:ascii="Roboto;sans-serif" w:hAnsi="Roboto;sans-serif"/>
                <w:b/>
                <w:color w:val="E81111"/>
                <w:sz w:val="24"/>
              </w:rPr>
            </w:pPr>
            <w:r>
              <w:rPr>
                <w:rFonts w:ascii="Roboto;sans-serif" w:hAnsi="Roboto;sans-serif"/>
                <w:b/>
                <w:color w:val="E81111"/>
                <w:sz w:val="24"/>
              </w:rPr>
              <w:t>Independent Director</w:t>
            </w:r>
          </w:p>
        </w:tc>
      </w:tr>
      <w:tr>
        <w:trPr/>
        <w:tc>
          <w:tcPr>
            <w:tcW w:w="3442"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2"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2"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Director Since: </w:t>
            </w:r>
            <w:r>
              <w:rPr>
                <w:rFonts w:ascii="Roboto;sans-serif" w:hAnsi="Roboto;sans-serif"/>
                <w:b w:val="false"/>
                <w:color w:val="01024A"/>
                <w:sz w:val="18"/>
              </w:rPr>
              <w:t>December 2025</w:t>
            </w:r>
          </w:p>
        </w:tc>
        <w:tc>
          <w:tcPr>
            <w:tcW w:w="1665"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Board Class: </w:t>
            </w:r>
            <w:r>
              <w:rPr>
                <w:rFonts w:ascii="Roboto;sans-serif" w:hAnsi="Roboto;sans-serif"/>
                <w:b w:val="false"/>
                <w:color w:val="01024A"/>
                <w:sz w:val="18"/>
              </w:rPr>
              <w:t>II</w:t>
            </w:r>
          </w:p>
        </w:tc>
        <w:tc>
          <w:tcPr>
            <w:tcW w:w="1819"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Age: </w:t>
            </w:r>
            <w:r>
              <w:rPr>
                <w:rFonts w:ascii="Roboto;sans-serif" w:hAnsi="Roboto;sans-serif"/>
                <w:b w:val="false"/>
                <w:color w:val="01024A"/>
                <w:sz w:val="18"/>
              </w:rPr>
              <w:t>47</w:t>
            </w:r>
          </w:p>
        </w:tc>
      </w:tr>
      <w:tr>
        <w:trPr/>
        <w:tc>
          <w:tcPr>
            <w:tcW w:w="3442"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2"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2"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6" w:type="dxa"/>
            <w:gridSpan w:val="9"/>
            <w:vMerge w:val="restart"/>
            <w:tcBorders/>
            <w:tcMar>
              <w:top w:w="0" w:type="dxa"/>
              <w:left w:w="0" w:type="dxa"/>
              <w:bottom w:w="0" w:type="dxa"/>
              <w:right w:w="0" w:type="dxa"/>
            </w:tcMar>
            <w:vAlign w:val="center"/>
          </w:tcPr>
          <w:p>
            <w:pPr>
              <w:pStyle w:val="TableContents"/>
              <w:bidi w:val="0"/>
              <w:spacing w:lineRule="auto" w:line="312" w:before="0" w:after="60"/>
              <w:jc w:val="left"/>
              <w:rPr>
                <w:rFonts w:ascii="Roboto;sans-serif" w:hAnsi="Roboto;sans-serif"/>
                <w:b/>
                <w:color w:val="1946C8"/>
                <w:sz w:val="18"/>
              </w:rPr>
            </w:pPr>
            <w:r>
              <w:rPr>
                <w:rFonts w:ascii="Roboto;sans-serif" w:hAnsi="Roboto;sans-serif"/>
                <w:b/>
                <w:color w:val="1946C8"/>
                <w:sz w:val="18"/>
              </w:rPr>
              <w:t>Experience and Qualifications</w:t>
            </w:r>
          </w:p>
          <w:p>
            <w:pPr>
              <w:pStyle w:val="TableContents"/>
              <w:bidi w:val="0"/>
              <w:spacing w:lineRule="auto" w:line="288" w:before="0" w:after="0"/>
              <w:ind w:left="0" w:right="0" w:hanging="216"/>
              <w:jc w:val="left"/>
              <w:rPr/>
            </w:pPr>
            <w:r>
              <w:rPr>
                <w:color w:val="000000"/>
              </w:rPr>
              <w:t>•</w:t>
            </w:r>
            <w:r>
              <w:rPr>
                <w:rFonts w:ascii="Roboto;sans-serif" w:hAnsi="Roboto;sans-serif"/>
                <w:b/>
                <w:color w:val="000000"/>
                <w:sz w:val="16"/>
              </w:rPr>
              <w:t xml:space="preserve">Habit Burger &amp; Grill: </w:t>
            </w:r>
            <w:r>
              <w:rPr>
                <w:rFonts w:ascii="Roboto;sans-serif" w:hAnsi="Roboto;sans-serif"/>
                <w:b w:val="false"/>
                <w:color w:val="000000"/>
                <w:sz w:val="16"/>
              </w:rPr>
              <w:t>Chief Executive Officer (June 2023 - present); President (July 2022 - June 2023)</w:t>
            </w:r>
          </w:p>
          <w:p>
            <w:pPr>
              <w:pStyle w:val="TableContents"/>
              <w:bidi w:val="0"/>
              <w:spacing w:lineRule="auto" w:line="288" w:before="0" w:after="0"/>
              <w:ind w:left="0" w:right="0" w:hanging="216"/>
              <w:jc w:val="left"/>
              <w:rPr/>
            </w:pPr>
            <w:r>
              <w:rPr>
                <w:color w:val="000000"/>
              </w:rPr>
              <w:t>•</w:t>
            </w:r>
            <w:r>
              <w:rPr>
                <w:rFonts w:ascii="Roboto;sans-serif" w:hAnsi="Roboto;sans-serif"/>
                <w:b/>
                <w:color w:val="000000"/>
                <w:sz w:val="16"/>
              </w:rPr>
              <w:t>KFC Global:</w:t>
            </w:r>
            <w:r>
              <w:rPr>
                <w:color w:val="000000"/>
              </w:rPr>
              <w:t xml:space="preserve"> </w:t>
            </w:r>
            <w:r>
              <w:rPr>
                <w:rFonts w:ascii="Roboto;sans-serif" w:hAnsi="Roboto;sans-serif"/>
                <w:b w:val="false"/>
                <w:color w:val="000000"/>
                <w:sz w:val="16"/>
              </w:rPr>
              <w:t>Chief Financial Officer (February 2020 - August 2022)</w:t>
            </w:r>
          </w:p>
          <w:p>
            <w:pPr>
              <w:pStyle w:val="TableContents"/>
              <w:bidi w:val="0"/>
              <w:spacing w:lineRule="auto" w:line="288" w:before="0" w:after="0"/>
              <w:ind w:left="0" w:right="0" w:hanging="216"/>
              <w:jc w:val="left"/>
              <w:rPr/>
            </w:pPr>
            <w:r>
              <w:rPr>
                <w:color w:val="000000"/>
              </w:rPr>
              <w:t>•</w:t>
            </w:r>
            <w:r>
              <w:rPr>
                <w:rFonts w:ascii="Roboto;sans-serif" w:hAnsi="Roboto;sans-serif"/>
                <w:b/>
                <w:color w:val="000000"/>
                <w:sz w:val="16"/>
              </w:rPr>
              <w:t xml:space="preserve">McKinsey &amp; Company: </w:t>
            </w:r>
            <w:r>
              <w:rPr>
                <w:rFonts w:ascii="Roboto;sans-serif" w:hAnsi="Roboto;sans-serif"/>
                <w:b w:val="false"/>
                <w:color w:val="000000"/>
                <w:sz w:val="16"/>
              </w:rPr>
              <w:t>Consultant with clients in consumer-facing industries, including retail, consumer goods, hospitality, and logistics (nearly 20 years)</w:t>
            </w:r>
          </w:p>
          <w:p>
            <w:pPr>
              <w:pStyle w:val="TableContents"/>
              <w:bidi w:val="0"/>
              <w:spacing w:lineRule="auto" w:line="288" w:before="0" w:after="0"/>
              <w:ind w:left="0" w:right="0" w:hanging="216"/>
              <w:jc w:val="left"/>
              <w:rPr/>
            </w:pPr>
            <w:r>
              <w:rPr>
                <w:color w:val="000000"/>
              </w:rPr>
              <w:t>•</w:t>
            </w:r>
            <w:r>
              <w:rPr>
                <w:rFonts w:ascii="Roboto;sans-serif" w:hAnsi="Roboto;sans-serif"/>
                <w:b/>
                <w:color w:val="000000"/>
                <w:sz w:val="16"/>
              </w:rPr>
              <w:t>Bachelor of Science in Economics:</w:t>
            </w:r>
            <w:r>
              <w:rPr>
                <w:color w:val="000000"/>
              </w:rPr>
              <w:t xml:space="preserve"> </w:t>
            </w:r>
            <w:r>
              <w:rPr>
                <w:rFonts w:ascii="Roboto;sans-serif" w:hAnsi="Roboto;sans-serif"/>
                <w:b w:val="false"/>
                <w:color w:val="000000"/>
                <w:sz w:val="16"/>
              </w:rPr>
              <w:t>The Wharton School</w:t>
            </w:r>
          </w:p>
          <w:p>
            <w:pPr>
              <w:pStyle w:val="TableContents"/>
              <w:bidi w:val="0"/>
              <w:spacing w:lineRule="auto" w:line="288" w:before="0" w:after="0"/>
              <w:ind w:left="0" w:right="0" w:hanging="216"/>
              <w:jc w:val="left"/>
              <w:rPr/>
            </w:pPr>
            <w:r>
              <w:rPr>
                <w:color w:val="000000"/>
              </w:rPr>
              <w:t>•</w:t>
            </w:r>
            <w:r>
              <w:rPr>
                <w:rFonts w:ascii="Roboto;sans-serif" w:hAnsi="Roboto;sans-serif"/>
                <w:b/>
                <w:color w:val="000000"/>
                <w:sz w:val="16"/>
              </w:rPr>
              <w:t>Master of Business Administration:</w:t>
            </w:r>
            <w:r>
              <w:rPr>
                <w:color w:val="000000"/>
              </w:rPr>
              <w:t xml:space="preserve"> </w:t>
            </w:r>
            <w:r>
              <w:rPr>
                <w:rFonts w:ascii="Roboto;sans-serif" w:hAnsi="Roboto;sans-serif"/>
                <w:b w:val="false"/>
                <w:color w:val="000000"/>
                <w:sz w:val="16"/>
              </w:rPr>
              <w:t>Northwestern University - Kellogg School of Management</w:t>
            </w:r>
          </w:p>
          <w:p>
            <w:pPr>
              <w:pStyle w:val="TableContents"/>
              <w:bidi w:val="0"/>
              <w:spacing w:lineRule="auto" w:line="312" w:before="180" w:after="40"/>
              <w:jc w:val="left"/>
              <w:rPr>
                <w:rFonts w:ascii="Roboto;sans-serif" w:hAnsi="Roboto;sans-serif"/>
                <w:b/>
                <w:color w:val="1946C8"/>
                <w:sz w:val="18"/>
              </w:rPr>
            </w:pPr>
            <w:r>
              <w:rPr>
                <w:rFonts w:ascii="Roboto;sans-serif" w:hAnsi="Roboto;sans-serif"/>
                <w:b/>
                <w:color w:val="1946C8"/>
                <w:sz w:val="18"/>
              </w:rPr>
              <w:t>Contributions to the Board</w:t>
            </w:r>
          </w:p>
          <w:p>
            <w:pPr>
              <w:pStyle w:val="TableContents"/>
              <w:bidi w:val="0"/>
              <w:spacing w:lineRule="auto" w:line="288" w:before="0" w:after="0"/>
              <w:jc w:val="left"/>
              <w:rPr>
                <w:rFonts w:ascii="Roboto;sans-serif" w:hAnsi="Roboto;sans-serif"/>
                <w:b w:val="false"/>
                <w:color w:val="01024A"/>
                <w:sz w:val="16"/>
              </w:rPr>
            </w:pPr>
            <w:r>
              <w:rPr>
                <w:rFonts w:ascii="Roboto;sans-serif" w:hAnsi="Roboto;sans-serif"/>
                <w:b w:val="false"/>
                <w:color w:val="01024A"/>
                <w:sz w:val="16"/>
              </w:rPr>
              <w:t>Ms. Hennessy has 25 years of experience across restaurant leadership and consulting, including retail operations, digital growth, financial planning, reporting, supply chain, logistics, talent, and strategic planning, and has led major digital transformations, supply chain modernization, global financial planning, and data</w:t>
              <w:noBreakHyphen/>
              <w:t>and</w:t>
              <w:noBreakHyphen/>
              <w:t>analytics initiatives, which the Board values as we drive growth through new store openings, omnichannel expansion, and increasing the productivity of existing stores.</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vMerge w:val="restart"/>
            <w:tcBorders/>
            <w:shd w:fill="E81111" w:val="clear"/>
            <w:tcMar>
              <w:top w:w="0" w:type="dxa"/>
              <w:left w:w="0" w:type="dxa"/>
              <w:bottom w:w="0" w:type="dxa"/>
              <w:right w:w="0" w:type="dxa"/>
            </w:tcMar>
            <w:vAlign w:val="center"/>
          </w:tcPr>
          <w:p>
            <w:pPr>
              <w:pStyle w:val="TableContents"/>
              <w:bidi w:val="0"/>
              <w:spacing w:lineRule="auto" w:line="288" w:before="60" w:after="60"/>
              <w:jc w:val="center"/>
              <w:rPr>
                <w:rFonts w:ascii="Roboto;sans-serif" w:hAnsi="Roboto;sans-serif"/>
                <w:b/>
                <w:color w:val="FFFFFF"/>
                <w:sz w:val="18"/>
              </w:rPr>
            </w:pPr>
            <w:r>
              <w:rPr>
                <w:rFonts w:ascii="Roboto;sans-serif" w:hAnsi="Roboto;sans-serif"/>
                <w:b/>
                <w:color w:val="FFFFFF"/>
                <w:sz w:val="18"/>
              </w:rPr>
              <w:t>Key Skills</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top w:val="single" w:sz="8" w:space="0" w:color="1946C8"/>
              <w:left w:val="single" w:sz="8" w:space="0" w:color="1946C8"/>
            </w:tcBorders>
            <w:tcMar>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vMerge w:val="continue"/>
            <w:tcBorders/>
            <w:shd w:fill="E81111" w:val="clear"/>
            <w:tcMar>
              <w:top w:w="0" w:type="dxa"/>
              <w:left w:w="0" w:type="dxa"/>
              <w:bottom w:w="0" w:type="dxa"/>
              <w:right w:w="0" w:type="dxa"/>
            </w:tcMar>
            <w:vAlign w:val="center"/>
          </w:tcPr>
          <w:p>
            <w:pPr>
              <w:pStyle w:val="Normal"/>
              <w:bidi w:val="0"/>
              <w:jc w:val="left"/>
              <w:rPr/>
            </w:pPr>
            <w:r>
              <w:rPr/>
            </w:r>
          </w:p>
        </w:tc>
        <w:tc>
          <w:tcPr>
            <w:tcW w:w="621"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199"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51" descr=""/>
                          <pic:cNvPicPr>
                            <a:picLocks noChangeAspect="1" noChangeArrowheads="1"/>
                          </pic:cNvPicPr>
                        </pic:nvPicPr>
                        <pic:blipFill>
                          <a:blip r:embed="rId174"/>
                          <a:stretch>
                            <a:fillRect/>
                          </a:stretch>
                        </pic:blipFill>
                        <pic:spPr bwMode="auto">
                          <a:xfrm>
                            <a:off x="0" y="0"/>
                            <a:ext cx="228600" cy="228600"/>
                          </a:xfrm>
                          <a:prstGeom prst="rect">
                            <a:avLst/>
                          </a:prstGeom>
                        </pic:spPr>
                      </pic:pic>
                    </a:graphicData>
                  </a:graphic>
                </wp:inline>
              </w:drawing>
            </w:r>
            <w:bookmarkStart w:id="172" w:name="i-151"/>
            <w:bookmarkEnd w:id="172"/>
          </w:p>
        </w:tc>
        <w:tc>
          <w:tcPr>
            <w:tcW w:w="1637" w:type="dxa"/>
            <w:gridSpan w:val="6"/>
            <w:tcBorders>
              <w:bottom w:val="single" w:sz="4" w:space="0" w:color="96D0FF"/>
            </w:tcBorders>
            <w:tcMar>
              <w:top w:w="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Accounting/Finance</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200"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52" descr=""/>
                          <pic:cNvPicPr>
                            <a:picLocks noChangeAspect="1" noChangeArrowheads="1"/>
                          </pic:cNvPicPr>
                        </pic:nvPicPr>
                        <pic:blipFill>
                          <a:blip r:embed="rId175"/>
                          <a:stretch>
                            <a:fillRect/>
                          </a:stretch>
                        </pic:blipFill>
                        <pic:spPr bwMode="auto">
                          <a:xfrm>
                            <a:off x="0" y="0"/>
                            <a:ext cx="228600" cy="228600"/>
                          </a:xfrm>
                          <a:prstGeom prst="rect">
                            <a:avLst/>
                          </a:prstGeom>
                        </pic:spPr>
                      </pic:pic>
                    </a:graphicData>
                  </a:graphic>
                </wp:inline>
              </w:drawing>
            </w:r>
            <w:bookmarkStart w:id="173" w:name="i-152"/>
            <w:bookmarkEnd w:id="173"/>
          </w:p>
        </w:tc>
        <w:tc>
          <w:tcPr>
            <w:tcW w:w="1637"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Digital/eCommerce</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201"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53" descr=""/>
                          <pic:cNvPicPr>
                            <a:picLocks noChangeAspect="1" noChangeArrowheads="1"/>
                          </pic:cNvPicPr>
                        </pic:nvPicPr>
                        <pic:blipFill>
                          <a:blip r:embed="rId176"/>
                          <a:stretch>
                            <a:fillRect/>
                          </a:stretch>
                        </pic:blipFill>
                        <pic:spPr bwMode="auto">
                          <a:xfrm>
                            <a:off x="0" y="0"/>
                            <a:ext cx="228600" cy="228600"/>
                          </a:xfrm>
                          <a:prstGeom prst="rect">
                            <a:avLst/>
                          </a:prstGeom>
                        </pic:spPr>
                      </pic:pic>
                    </a:graphicData>
                  </a:graphic>
                </wp:inline>
              </w:drawing>
            </w:r>
            <w:bookmarkStart w:id="174" w:name="i-153"/>
            <w:bookmarkEnd w:id="174"/>
          </w:p>
        </w:tc>
        <w:tc>
          <w:tcPr>
            <w:tcW w:w="1637"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1946C8"/>
                <w:sz w:val="16"/>
              </w:rPr>
            </w:pPr>
            <w:r>
              <w:rPr>
                <w:rFonts w:ascii="Roboto;sans-serif" w:hAnsi="Roboto;sans-serif"/>
                <w:b/>
                <w:color w:val="1946C8"/>
                <w:sz w:val="16"/>
              </w:rPr>
              <w:t>Real Estate &amp; Construction</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202"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54" descr=""/>
                          <pic:cNvPicPr>
                            <a:picLocks noChangeAspect="1" noChangeArrowheads="1"/>
                          </pic:cNvPicPr>
                        </pic:nvPicPr>
                        <pic:blipFill>
                          <a:blip r:embed="rId177"/>
                          <a:stretch>
                            <a:fillRect/>
                          </a:stretch>
                        </pic:blipFill>
                        <pic:spPr bwMode="auto">
                          <a:xfrm>
                            <a:off x="0" y="0"/>
                            <a:ext cx="228600" cy="228600"/>
                          </a:xfrm>
                          <a:prstGeom prst="rect">
                            <a:avLst/>
                          </a:prstGeom>
                        </pic:spPr>
                      </pic:pic>
                    </a:graphicData>
                  </a:graphic>
                </wp:inline>
              </w:drawing>
            </w:r>
            <w:bookmarkStart w:id="175" w:name="i-154"/>
            <w:bookmarkEnd w:id="175"/>
          </w:p>
        </w:tc>
        <w:tc>
          <w:tcPr>
            <w:tcW w:w="1637"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Store Operations</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36"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203"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55" descr=""/>
                          <pic:cNvPicPr>
                            <a:picLocks noChangeAspect="1" noChangeArrowheads="1"/>
                          </pic:cNvPicPr>
                        </pic:nvPicPr>
                        <pic:blipFill>
                          <a:blip r:embed="rId178"/>
                          <a:stretch>
                            <a:fillRect/>
                          </a:stretch>
                        </pic:blipFill>
                        <pic:spPr bwMode="auto">
                          <a:xfrm>
                            <a:off x="0" y="0"/>
                            <a:ext cx="228600" cy="228600"/>
                          </a:xfrm>
                          <a:prstGeom prst="rect">
                            <a:avLst/>
                          </a:prstGeom>
                        </pic:spPr>
                      </pic:pic>
                    </a:graphicData>
                  </a:graphic>
                </wp:inline>
              </w:drawing>
            </w:r>
            <w:bookmarkStart w:id="176" w:name="i-155"/>
            <w:bookmarkEnd w:id="176"/>
          </w:p>
        </w:tc>
        <w:tc>
          <w:tcPr>
            <w:tcW w:w="1637" w:type="dxa"/>
            <w:gridSpan w:val="6"/>
            <w:tcBorders>
              <w:top w:val="single" w:sz="4" w:space="0" w:color="96D0FF"/>
            </w:tcBorders>
            <w:tcMar>
              <w:top w:w="3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Strategic Planning</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36" w:type="dxa"/>
            <w:gridSpan w:val="9"/>
            <w:vMerge w:val="restart"/>
            <w:tcBorders/>
            <w:shd w:fill="ECF8FE" w:val="clear"/>
            <w:tcMar>
              <w:top w:w="0" w:type="dxa"/>
              <w:left w:w="0" w:type="dxa"/>
              <w:bottom w:w="0" w:type="dxa"/>
              <w:right w:w="0" w:type="dxa"/>
            </w:tcMar>
            <w:vAlign w:val="center"/>
          </w:tcPr>
          <w:p>
            <w:pPr>
              <w:pStyle w:val="TableContents"/>
              <w:bidi w:val="0"/>
              <w:spacing w:lineRule="atLeast" w:line="200" w:before="0" w:after="0"/>
              <w:jc w:val="left"/>
              <w:rPr>
                <w:rFonts w:ascii="Roboto;sans-serif" w:hAnsi="Roboto;sans-serif"/>
                <w:b/>
                <w:color w:val="1946C8"/>
                <w:sz w:val="16"/>
              </w:rPr>
            </w:pPr>
            <w:r>
              <w:rPr>
                <w:rFonts w:ascii="Roboto;sans-serif" w:hAnsi="Roboto;sans-serif"/>
                <w:b/>
                <w:color w:val="1946C8"/>
                <w:sz w:val="16"/>
              </w:rPr>
              <w:t>The Board selected Ms. Hennessy to serve as a director based on her extensive leadership experience across the restaurant, retail, consumer goods, hospitality, and logistics sectors, as well as her demonstrated expertise in accounting/finance, store operations, digital/eCommerce, real estate &amp; construction, strategic planning, and large</w:t>
              <w:noBreakHyphen/>
              <w:t>scale organizational leadership.</w:t>
            </w:r>
          </w:p>
        </w:tc>
      </w:tr>
      <w:tr>
        <w:trPr/>
        <w:tc>
          <w:tcPr>
            <w:tcW w:w="616"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6" w:type="dxa"/>
            <w:gridSpan w:val="9"/>
            <w:vMerge w:val="continue"/>
            <w:tcBorders/>
            <w:shd w:fill="ECF8FE" w:val="clear"/>
            <w:tcMar>
              <w:top w:w="0" w:type="dxa"/>
              <w:left w:w="0" w:type="dxa"/>
              <w:bottom w:w="0" w:type="dxa"/>
              <w:right w:w="0" w:type="dxa"/>
            </w:tcMar>
            <w:vAlign w:val="center"/>
          </w:tcPr>
          <w:p>
            <w:pPr>
              <w:pStyle w:val="Normal"/>
              <w:bidi w:val="0"/>
              <w:jc w:val="left"/>
              <w:rPr/>
            </w:pPr>
            <w:r>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6" w:type="dxa"/>
            <w:gridSpan w:val="9"/>
            <w:vMerge w:val="continue"/>
            <w:tcBorders/>
            <w:shd w:fill="ECF8FE" w:val="clear"/>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63525"/>
                <wp:effectExtent l="0" t="0" r="0" b="0"/>
                <wp:wrapNone/>
                <wp:docPr id="204" name="Frame27"/>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205"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56" descr=""/>
                                          <pic:cNvPicPr>
                                            <a:picLocks noChangeAspect="1" noChangeArrowheads="1"/>
                                          </pic:cNvPicPr>
                                        </pic:nvPicPr>
                                        <pic:blipFill>
                                          <a:blip r:embed="rId179"/>
                                          <a:stretch>
                                            <a:fillRect/>
                                          </a:stretch>
                                        </pic:blipFill>
                                        <pic:spPr bwMode="auto">
                                          <a:xfrm>
                                            <a:off x="0" y="0"/>
                                            <a:ext cx="266700" cy="200025"/>
                                          </a:xfrm>
                                          <a:prstGeom prst="rect">
                                            <a:avLst/>
                                          </a:prstGeom>
                                        </pic:spPr>
                                      </pic:pic>
                                    </a:graphicData>
                                  </a:graphic>
                                </wp:inline>
                              </w:drawing>
                            </w:r>
                            <w:bookmarkStart w:id="177" w:name="i-156"/>
                            <w:bookmarkEnd w:id="177"/>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206"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56" descr=""/>
                                    <pic:cNvPicPr>
                                      <a:picLocks noChangeAspect="1" noChangeArrowheads="1"/>
                                    </pic:cNvPicPr>
                                  </pic:nvPicPr>
                                  <pic:blipFill>
                                    <a:blip r:embed="rId180"/>
                                    <a:stretch>
                                      <a:fillRect/>
                                    </a:stretch>
                                  </pic:blipFill>
                                  <pic:spPr bwMode="auto">
                                    <a:xfrm>
                                      <a:off x="0" y="0"/>
                                      <a:ext cx="266700" cy="200025"/>
                                    </a:xfrm>
                                    <a:prstGeom prst="rect">
                                      <a:avLst/>
                                    </a:prstGeom>
                                  </pic:spPr>
                                </pic:pic>
                              </a:graphicData>
                            </a:graphic>
                          </wp:inline>
                        </w:drawing>
                      </w:r>
                      <w:bookmarkStart w:id="178" w:name="i-156"/>
                      <w:bookmarkEnd w:id="178"/>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tbl>
      <w:tblPr>
        <w:tblW w:w="10205" w:type="dxa"/>
        <w:jc w:val="center"/>
        <w:tblInd w:w="0" w:type="dxa"/>
        <w:tblLayout w:type="fixed"/>
        <w:tblCellMar>
          <w:top w:w="28" w:type="dxa"/>
          <w:left w:w="28" w:type="dxa"/>
          <w:bottom w:w="28" w:type="dxa"/>
          <w:right w:w="28" w:type="dxa"/>
        </w:tblCellMar>
      </w:tblPr>
      <w:tblGrid>
        <w:gridCol w:w="224"/>
        <w:gridCol w:w="196"/>
        <w:gridCol w:w="196"/>
        <w:gridCol w:w="196"/>
        <w:gridCol w:w="196"/>
        <w:gridCol w:w="196"/>
        <w:gridCol w:w="387"/>
        <w:gridCol w:w="255"/>
        <w:gridCol w:w="256"/>
        <w:gridCol w:w="209"/>
        <w:gridCol w:w="209"/>
        <w:gridCol w:w="209"/>
        <w:gridCol w:w="196"/>
        <w:gridCol w:w="196"/>
        <w:gridCol w:w="209"/>
        <w:gridCol w:w="109"/>
        <w:gridCol w:w="109"/>
        <w:gridCol w:w="109"/>
        <w:gridCol w:w="1107"/>
        <w:gridCol w:w="1107"/>
        <w:gridCol w:w="965"/>
        <w:gridCol w:w="628"/>
        <w:gridCol w:w="554"/>
        <w:gridCol w:w="554"/>
        <w:gridCol w:w="470"/>
        <w:gridCol w:w="470"/>
        <w:gridCol w:w="693"/>
      </w:tblGrid>
      <w:tr>
        <w:trPr/>
        <w:tc>
          <w:tcPr>
            <w:tcW w:w="2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15"/>
            <w:vMerge w:val="restart"/>
            <w:tcBorders/>
            <w:shd w:fill="ECF8F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28800" cy="1857375"/>
                  <wp:effectExtent l="0" t="0" r="0" b="0"/>
                  <wp:docPr id="207"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57" descr=""/>
                          <pic:cNvPicPr>
                            <a:picLocks noChangeAspect="1" noChangeArrowheads="1"/>
                          </pic:cNvPicPr>
                        </pic:nvPicPr>
                        <pic:blipFill>
                          <a:blip r:embed="rId181"/>
                          <a:stretch>
                            <a:fillRect/>
                          </a:stretch>
                        </pic:blipFill>
                        <pic:spPr bwMode="auto">
                          <a:xfrm>
                            <a:off x="0" y="0"/>
                            <a:ext cx="1828800" cy="1857375"/>
                          </a:xfrm>
                          <a:prstGeom prst="rect">
                            <a:avLst/>
                          </a:prstGeom>
                        </pic:spPr>
                      </pic:pic>
                    </a:graphicData>
                  </a:graphic>
                </wp:inline>
              </w:drawing>
            </w:r>
            <w:bookmarkStart w:id="179" w:name="i-157"/>
            <w:bookmarkEnd w:id="179"/>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8" w:type="dxa"/>
            <w:gridSpan w:val="9"/>
            <w:tcBorders/>
            <w:tcMar>
              <w:top w:w="0" w:type="dxa"/>
              <w:left w:w="0" w:type="dxa"/>
              <w:bottom w:w="0" w:type="dxa"/>
              <w:right w:w="0" w:type="dxa"/>
            </w:tcMar>
            <w:vAlign w:val="center"/>
          </w:tcPr>
          <w:p>
            <w:pPr>
              <w:pStyle w:val="TableContents"/>
              <w:bidi w:val="0"/>
              <w:spacing w:lineRule="atLeast" w:line="300" w:before="0" w:after="120"/>
              <w:jc w:val="left"/>
              <w:rPr>
                <w:rFonts w:ascii="Roboto;sans-serif" w:hAnsi="Roboto;sans-serif"/>
                <w:b/>
                <w:color w:val="1946C8"/>
                <w:sz w:val="40"/>
              </w:rPr>
            </w:pPr>
            <w:r>
              <w:rPr>
                <w:rFonts w:ascii="Roboto;sans-serif" w:hAnsi="Roboto;sans-serif"/>
                <w:b/>
                <w:color w:val="1946C8"/>
                <w:sz w:val="40"/>
              </w:rPr>
              <w:t>Clay M. Johnson</w:t>
            </w:r>
          </w:p>
          <w:p>
            <w:pPr>
              <w:pStyle w:val="TableContents"/>
              <w:bidi w:val="0"/>
              <w:spacing w:lineRule="atLeast" w:line="300" w:before="0" w:after="0"/>
              <w:jc w:val="left"/>
              <w:rPr>
                <w:rFonts w:ascii="Roboto;sans-serif" w:hAnsi="Roboto;sans-serif"/>
                <w:b/>
                <w:color w:val="E81111"/>
                <w:sz w:val="24"/>
              </w:rPr>
            </w:pPr>
            <w:r>
              <w:rPr>
                <w:rFonts w:ascii="Roboto;sans-serif" w:hAnsi="Roboto;sans-serif"/>
                <w:b/>
                <w:color w:val="E81111"/>
                <w:sz w:val="24"/>
              </w:rPr>
              <w:t>Independent Director</w:t>
            </w:r>
          </w:p>
        </w:tc>
      </w:tr>
      <w:tr>
        <w:trPr/>
        <w:tc>
          <w:tcPr>
            <w:tcW w:w="3330"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Director Since: </w:t>
            </w:r>
            <w:r>
              <w:rPr>
                <w:rFonts w:ascii="Roboto;sans-serif" w:hAnsi="Roboto;sans-serif"/>
                <w:b w:val="false"/>
                <w:color w:val="01024A"/>
                <w:sz w:val="18"/>
              </w:rPr>
              <w:t>December 2025</w:t>
            </w:r>
          </w:p>
        </w:tc>
        <w:tc>
          <w:tcPr>
            <w:tcW w:w="173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Board Class: </w:t>
            </w:r>
            <w:r>
              <w:rPr>
                <w:rFonts w:ascii="Roboto;sans-serif" w:hAnsi="Roboto;sans-serif"/>
                <w:b w:val="false"/>
                <w:color w:val="01024A"/>
                <w:sz w:val="18"/>
              </w:rPr>
              <w:t>II</w:t>
            </w:r>
          </w:p>
        </w:tc>
        <w:tc>
          <w:tcPr>
            <w:tcW w:w="1633"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Age: </w:t>
            </w:r>
            <w:r>
              <w:rPr>
                <w:rFonts w:ascii="Roboto;sans-serif" w:hAnsi="Roboto;sans-serif"/>
                <w:b w:val="false"/>
                <w:color w:val="01024A"/>
                <w:sz w:val="18"/>
              </w:rPr>
              <w:t>55</w:t>
            </w:r>
          </w:p>
        </w:tc>
      </w:tr>
      <w:tr>
        <w:trPr/>
        <w:tc>
          <w:tcPr>
            <w:tcW w:w="3330"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8" w:type="dxa"/>
            <w:gridSpan w:val="9"/>
            <w:vMerge w:val="restart"/>
            <w:tcBorders/>
            <w:tcMar>
              <w:top w:w="0" w:type="dxa"/>
              <w:left w:w="0" w:type="dxa"/>
              <w:bottom w:w="0" w:type="dxa"/>
              <w:right w:w="0" w:type="dxa"/>
            </w:tcMar>
            <w:vAlign w:val="center"/>
          </w:tcPr>
          <w:p>
            <w:pPr>
              <w:pStyle w:val="TableContents"/>
              <w:bidi w:val="0"/>
              <w:spacing w:lineRule="auto" w:line="312" w:before="0" w:after="60"/>
              <w:jc w:val="left"/>
              <w:rPr>
                <w:rFonts w:ascii="Roboto;sans-serif" w:hAnsi="Roboto;sans-serif"/>
                <w:b/>
                <w:color w:val="1946C8"/>
                <w:sz w:val="18"/>
              </w:rPr>
            </w:pPr>
            <w:r>
              <w:rPr>
                <w:rFonts w:ascii="Roboto;sans-serif" w:hAnsi="Roboto;sans-serif"/>
                <w:b/>
                <w:color w:val="1946C8"/>
                <w:sz w:val="18"/>
              </w:rPr>
              <w:t>Other Public Company Directorships</w:t>
            </w:r>
          </w:p>
          <w:p>
            <w:pPr>
              <w:pStyle w:val="TableContents"/>
              <w:bidi w:val="0"/>
              <w:spacing w:lineRule="auto" w:line="288" w:before="0" w:after="180"/>
              <w:ind w:left="0" w:right="0" w:hanging="216"/>
              <w:jc w:val="left"/>
              <w:rPr/>
            </w:pPr>
            <w:r>
              <w:rPr>
                <w:color w:val="01024A"/>
              </w:rPr>
              <w:t>•</w:t>
            </w:r>
            <w:r>
              <w:rPr>
                <w:rFonts w:ascii="Roboto;sans-serif" w:hAnsi="Roboto;sans-serif"/>
                <w:b/>
                <w:color w:val="01024A"/>
                <w:sz w:val="16"/>
              </w:rPr>
              <w:t>Sealed Air Corporation:</w:t>
            </w:r>
            <w:r>
              <w:rPr>
                <w:color w:val="01024A"/>
              </w:rPr>
              <w:t xml:space="preserve"> </w:t>
            </w:r>
            <w:r>
              <w:rPr>
                <w:rFonts w:ascii="Roboto;sans-serif" w:hAnsi="Roboto;sans-serif"/>
                <w:b w:val="false"/>
                <w:color w:val="01024A"/>
                <w:sz w:val="16"/>
              </w:rPr>
              <w:t>May 2023 - May 2025 (Audit Committee)</w:t>
            </w:r>
          </w:p>
          <w:p>
            <w:pPr>
              <w:pStyle w:val="TableContents"/>
              <w:bidi w:val="0"/>
              <w:spacing w:lineRule="auto" w:line="312" w:before="100" w:after="60"/>
              <w:ind w:left="0" w:right="0" w:hanging="180"/>
              <w:jc w:val="left"/>
              <w:rPr>
                <w:rFonts w:ascii="Roboto;sans-serif" w:hAnsi="Roboto;sans-serif"/>
                <w:b/>
                <w:color w:val="1946C8"/>
                <w:sz w:val="18"/>
              </w:rPr>
            </w:pPr>
            <w:r>
              <w:rPr>
                <w:rFonts w:ascii="Roboto;sans-serif" w:hAnsi="Roboto;sans-serif"/>
                <w:b/>
                <w:color w:val="1946C8"/>
                <w:sz w:val="18"/>
              </w:rPr>
              <w:t>Experience and Qualifications</w:t>
            </w:r>
          </w:p>
          <w:p>
            <w:pPr>
              <w:pStyle w:val="TableContents"/>
              <w:bidi w:val="0"/>
              <w:spacing w:lineRule="auto" w:line="288" w:before="0" w:after="0"/>
              <w:ind w:left="0" w:right="0" w:hanging="216"/>
              <w:jc w:val="left"/>
              <w:rPr/>
            </w:pPr>
            <w:r>
              <w:rPr>
                <w:color w:val="000000"/>
              </w:rPr>
              <w:t>•</w:t>
            </w:r>
            <w:r>
              <w:rPr>
                <w:rFonts w:ascii="Roboto;sans-serif" w:hAnsi="Roboto;sans-serif"/>
                <w:b/>
                <w:color w:val="000000"/>
                <w:sz w:val="16"/>
              </w:rPr>
              <w:t>Yum! Brands:</w:t>
            </w:r>
            <w:r>
              <w:rPr>
                <w:color w:val="000000"/>
              </w:rPr>
              <w:t xml:space="preserve"> </w:t>
            </w:r>
            <w:r>
              <w:rPr>
                <w:rFonts w:ascii="Roboto;sans-serif" w:hAnsi="Roboto;sans-serif"/>
                <w:b w:val="false"/>
                <w:color w:val="000000"/>
                <w:sz w:val="16"/>
              </w:rPr>
              <w:t>Chief Digital and Technology Officer (October 2019 - April 2024); Senior Advisor (April 2024 - April 2025)</w:t>
            </w:r>
          </w:p>
          <w:p>
            <w:pPr>
              <w:pStyle w:val="TableContents"/>
              <w:bidi w:val="0"/>
              <w:spacing w:lineRule="auto" w:line="288" w:before="0" w:after="0"/>
              <w:ind w:left="0" w:right="0" w:hanging="216"/>
              <w:jc w:val="left"/>
              <w:rPr/>
            </w:pPr>
            <w:r>
              <w:rPr>
                <w:color w:val="000000"/>
              </w:rPr>
              <w:t>•</w:t>
            </w:r>
            <w:r>
              <w:rPr>
                <w:rFonts w:ascii="Roboto;sans-serif" w:hAnsi="Roboto;sans-serif"/>
                <w:b/>
                <w:color w:val="000000"/>
                <w:sz w:val="16"/>
              </w:rPr>
              <w:t>Walmart:</w:t>
            </w:r>
            <w:r>
              <w:rPr>
                <w:color w:val="000000"/>
              </w:rPr>
              <w:t xml:space="preserve"> </w:t>
            </w:r>
            <w:r>
              <w:rPr>
                <w:rFonts w:ascii="Roboto;sans-serif" w:hAnsi="Roboto;sans-serif"/>
                <w:b w:val="false"/>
                <w:color w:val="000000"/>
                <w:sz w:val="16"/>
              </w:rPr>
              <w:t>Chief Information Officer and Executive Vice President, Global Business Services (January 2017 - October 2019)</w:t>
            </w:r>
          </w:p>
          <w:p>
            <w:pPr>
              <w:pStyle w:val="TableContents"/>
              <w:bidi w:val="0"/>
              <w:spacing w:lineRule="auto" w:line="288" w:before="0" w:after="0"/>
              <w:ind w:left="0" w:right="0" w:hanging="216"/>
              <w:jc w:val="left"/>
              <w:rPr/>
            </w:pPr>
            <w:r>
              <w:rPr>
                <w:color w:val="000000"/>
              </w:rPr>
              <w:t>•</w:t>
            </w:r>
            <w:r>
              <w:rPr>
                <w:rFonts w:ascii="Roboto;sans-serif" w:hAnsi="Roboto;sans-serif"/>
                <w:b/>
                <w:color w:val="000000"/>
                <w:sz w:val="16"/>
              </w:rPr>
              <w:t>General Electric Power and General Electric Digital:</w:t>
            </w:r>
            <w:r>
              <w:rPr>
                <w:color w:val="000000"/>
              </w:rPr>
              <w:t xml:space="preserve"> </w:t>
            </w:r>
            <w:r>
              <w:rPr>
                <w:rFonts w:ascii="Roboto;sans-serif" w:hAnsi="Roboto;sans-serif"/>
                <w:b w:val="false"/>
                <w:color w:val="000000"/>
                <w:sz w:val="16"/>
              </w:rPr>
              <w:t>Chief Information Officer, Senior Vice President and Corporate Officer (July 2014 - January 2017)</w:t>
            </w:r>
          </w:p>
          <w:p>
            <w:pPr>
              <w:pStyle w:val="TableContents"/>
              <w:bidi w:val="0"/>
              <w:spacing w:lineRule="auto" w:line="288" w:before="0" w:after="0"/>
              <w:ind w:left="0" w:right="0" w:hanging="216"/>
              <w:jc w:val="left"/>
              <w:rPr/>
            </w:pPr>
            <w:r>
              <w:rPr>
                <w:color w:val="000000"/>
              </w:rPr>
              <w:t>•</w:t>
            </w:r>
            <w:r>
              <w:rPr>
                <w:rFonts w:ascii="Roboto;sans-serif" w:hAnsi="Roboto;sans-serif"/>
                <w:b/>
                <w:color w:val="000000"/>
                <w:sz w:val="16"/>
              </w:rPr>
              <w:t>Boeing</w:t>
            </w:r>
            <w:r>
              <w:rPr>
                <w:rFonts w:ascii="Roboto;sans-serif" w:hAnsi="Roboto;sans-serif"/>
                <w:b w:val="false"/>
                <w:color w:val="000000"/>
                <w:sz w:val="16"/>
              </w:rPr>
              <w:t xml:space="preserve">, </w:t>
            </w:r>
            <w:r>
              <w:rPr>
                <w:rFonts w:ascii="Roboto;sans-serif" w:hAnsi="Roboto;sans-serif"/>
                <w:b/>
                <w:color w:val="000000"/>
                <w:sz w:val="16"/>
              </w:rPr>
              <w:t>Dell</w:t>
            </w:r>
            <w:r>
              <w:rPr>
                <w:rFonts w:ascii="Roboto;sans-serif" w:hAnsi="Roboto;sans-serif"/>
                <w:b w:val="false"/>
                <w:color w:val="000000"/>
                <w:sz w:val="16"/>
              </w:rPr>
              <w:t xml:space="preserve">, </w:t>
            </w:r>
            <w:r>
              <w:rPr>
                <w:rFonts w:ascii="Roboto;sans-serif" w:hAnsi="Roboto;sans-serif"/>
                <w:b/>
                <w:color w:val="000000"/>
                <w:sz w:val="16"/>
              </w:rPr>
              <w:t>Nortel Networks</w:t>
            </w:r>
            <w:r>
              <w:rPr>
                <w:rFonts w:ascii="Roboto;sans-serif" w:hAnsi="Roboto;sans-serif"/>
                <w:b w:val="false"/>
                <w:color w:val="000000"/>
                <w:sz w:val="16"/>
              </w:rPr>
              <w:t xml:space="preserve">, </w:t>
            </w:r>
            <w:r>
              <w:rPr>
                <w:rFonts w:ascii="Roboto;sans-serif" w:hAnsi="Roboto;sans-serif"/>
                <w:b/>
                <w:color w:val="000000"/>
                <w:sz w:val="16"/>
              </w:rPr>
              <w:t>Fed Ex</w:t>
            </w:r>
            <w:r>
              <w:rPr>
                <w:rFonts w:ascii="Roboto;sans-serif" w:hAnsi="Roboto;sans-serif"/>
                <w:b w:val="false"/>
                <w:color w:val="000000"/>
                <w:sz w:val="16"/>
              </w:rPr>
              <w:t xml:space="preserve">, and the </w:t>
            </w:r>
            <w:r>
              <w:rPr>
                <w:rFonts w:ascii="Roboto;sans-serif" w:hAnsi="Roboto;sans-serif"/>
                <w:b/>
                <w:color w:val="000000"/>
                <w:sz w:val="16"/>
              </w:rPr>
              <w:t>U.S. Coast Guard:</w:t>
            </w:r>
            <w:r>
              <w:rPr>
                <w:color w:val="000000"/>
              </w:rPr>
              <w:t xml:space="preserve"> </w:t>
            </w:r>
            <w:r>
              <w:rPr>
                <w:rFonts w:ascii="Roboto;sans-serif" w:hAnsi="Roboto;sans-serif"/>
                <w:b w:val="false"/>
                <w:color w:val="000000"/>
                <w:sz w:val="16"/>
              </w:rPr>
              <w:t>Various senior leadership positions</w:t>
            </w:r>
          </w:p>
          <w:p>
            <w:pPr>
              <w:pStyle w:val="TableContents"/>
              <w:bidi w:val="0"/>
              <w:spacing w:lineRule="auto" w:line="288" w:before="0" w:after="0"/>
              <w:ind w:left="0" w:right="0" w:hanging="216"/>
              <w:jc w:val="left"/>
              <w:rPr/>
            </w:pPr>
            <w:r>
              <w:rPr>
                <w:color w:val="000000"/>
              </w:rPr>
              <w:t>•</w:t>
            </w:r>
            <w:r>
              <w:rPr>
                <w:rFonts w:ascii="Roboto;sans-serif" w:hAnsi="Roboto;sans-serif"/>
                <w:b/>
                <w:color w:val="000000"/>
                <w:sz w:val="16"/>
              </w:rPr>
              <w:t>Bachelor of Science in Computer Science and Engineering:</w:t>
            </w:r>
            <w:r>
              <w:rPr>
                <w:color w:val="000000"/>
              </w:rPr>
              <w:t xml:space="preserve"> </w:t>
            </w:r>
            <w:r>
              <w:rPr>
                <w:rFonts w:ascii="Roboto;sans-serif" w:hAnsi="Roboto;sans-serif"/>
                <w:b w:val="false"/>
                <w:color w:val="000000"/>
                <w:sz w:val="16"/>
              </w:rPr>
              <w:t>University of Texas</w:t>
            </w:r>
          </w:p>
          <w:p>
            <w:pPr>
              <w:pStyle w:val="TableContents"/>
              <w:bidi w:val="0"/>
              <w:spacing w:lineRule="auto" w:line="288" w:before="0" w:after="0"/>
              <w:ind w:left="0" w:right="0" w:hanging="216"/>
              <w:jc w:val="left"/>
              <w:rPr/>
            </w:pPr>
            <w:r>
              <w:rPr>
                <w:color w:val="000000"/>
              </w:rPr>
              <w:t>•</w:t>
            </w:r>
            <w:r>
              <w:rPr>
                <w:rFonts w:ascii="Roboto;sans-serif" w:hAnsi="Roboto;sans-serif"/>
                <w:b/>
                <w:color w:val="000000"/>
                <w:sz w:val="16"/>
              </w:rPr>
              <w:t>Master of Business Administration:</w:t>
            </w:r>
            <w:r>
              <w:rPr>
                <w:color w:val="000000"/>
              </w:rPr>
              <w:t xml:space="preserve"> </w:t>
            </w:r>
            <w:r>
              <w:rPr>
                <w:rFonts w:ascii="Roboto;sans-serif" w:hAnsi="Roboto;sans-serif"/>
                <w:b w:val="false"/>
                <w:color w:val="000000"/>
                <w:sz w:val="16"/>
              </w:rPr>
              <w:t>University of Texas, Dallas</w:t>
            </w:r>
          </w:p>
          <w:p>
            <w:pPr>
              <w:pStyle w:val="TableContents"/>
              <w:bidi w:val="0"/>
              <w:spacing w:lineRule="auto" w:line="312" w:before="180" w:after="40"/>
              <w:jc w:val="left"/>
              <w:rPr>
                <w:rFonts w:ascii="Roboto;sans-serif" w:hAnsi="Roboto;sans-serif"/>
                <w:b/>
                <w:color w:val="1946C8"/>
                <w:sz w:val="18"/>
              </w:rPr>
            </w:pPr>
            <w:r>
              <w:rPr>
                <w:rFonts w:ascii="Roboto;sans-serif" w:hAnsi="Roboto;sans-serif"/>
                <w:b/>
                <w:color w:val="1946C8"/>
                <w:sz w:val="18"/>
              </w:rPr>
              <w:t>Contributions to the Board</w:t>
            </w:r>
          </w:p>
          <w:p>
            <w:pPr>
              <w:pStyle w:val="TableContents"/>
              <w:bidi w:val="0"/>
              <w:spacing w:lineRule="auto" w:line="288" w:before="0" w:after="0"/>
              <w:jc w:val="left"/>
              <w:rPr>
                <w:rFonts w:ascii="Roboto;sans-serif" w:hAnsi="Roboto;sans-serif"/>
                <w:b w:val="false"/>
                <w:color w:val="01024A"/>
                <w:sz w:val="16"/>
              </w:rPr>
            </w:pPr>
            <w:r>
              <w:rPr>
                <w:rFonts w:ascii="Roboto;sans-serif" w:hAnsi="Roboto;sans-serif"/>
                <w:b w:val="false"/>
                <w:color w:val="01024A"/>
                <w:sz w:val="16"/>
              </w:rPr>
              <w:t>Mr. Johnson brings over 25 years of experience in digital transformation, cybersecurity, strategic planning, and global operations, contributing significant expertise in technology, artificial intelligence, digital innovation, and process</w:t>
              <w:noBreakHyphen/>
              <w:t>improvement disciplines—strengthened by leadership roles at major global retailers and technology</w:t>
              <w:noBreakHyphen/>
              <w:t>driven organizations, which the Board values as we execute our omnichannel strategy, enhance our technology capabilities, and increase productivity from our assets.</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restart"/>
            <w:tcBorders/>
            <w:shd w:fill="E81111" w:val="clear"/>
            <w:tcMar>
              <w:top w:w="0" w:type="dxa"/>
              <w:left w:w="0" w:type="dxa"/>
              <w:bottom w:w="0" w:type="dxa"/>
              <w:right w:w="0" w:type="dxa"/>
            </w:tcMar>
            <w:vAlign w:val="center"/>
          </w:tcPr>
          <w:p>
            <w:pPr>
              <w:pStyle w:val="TableContents"/>
              <w:bidi w:val="0"/>
              <w:spacing w:lineRule="auto" w:line="288" w:before="60" w:after="60"/>
              <w:jc w:val="center"/>
              <w:rPr>
                <w:rFonts w:ascii="Roboto;sans-serif" w:hAnsi="Roboto;sans-serif"/>
                <w:b/>
                <w:color w:val="FFFFFF"/>
                <w:sz w:val="18"/>
              </w:rPr>
            </w:pPr>
            <w:r>
              <w:rPr>
                <w:rFonts w:ascii="Roboto;sans-serif" w:hAnsi="Roboto;sans-serif"/>
                <w:b/>
                <w:color w:val="FFFFFF"/>
                <w:sz w:val="18"/>
              </w:rPr>
              <w:t>Key Skills</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top w:val="single" w:sz="8" w:space="0" w:color="1946C8"/>
              <w:left w:val="single" w:sz="8" w:space="0" w:color="1946C8"/>
            </w:tcBorders>
            <w:tcMar>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continue"/>
            <w:tcBorders/>
            <w:shd w:fill="E81111" w:val="clear"/>
            <w:tcMar>
              <w:top w:w="0" w:type="dxa"/>
              <w:left w:w="0" w:type="dxa"/>
              <w:bottom w:w="0" w:type="dxa"/>
              <w:right w:w="0" w:type="dxa"/>
            </w:tcMar>
            <w:vAlign w:val="center"/>
          </w:tcPr>
          <w:p>
            <w:pPr>
              <w:pStyle w:val="Normal"/>
              <w:bidi w:val="0"/>
              <w:jc w:val="left"/>
              <w:rPr/>
            </w:pPr>
            <w:r>
              <w:rPr/>
            </w:r>
          </w:p>
        </w:tc>
        <w:tc>
          <w:tcPr>
            <w:tcW w:w="62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4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4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208"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58" descr=""/>
                          <pic:cNvPicPr>
                            <a:picLocks noChangeAspect="1" noChangeArrowheads="1"/>
                          </pic:cNvPicPr>
                        </pic:nvPicPr>
                        <pic:blipFill>
                          <a:blip r:embed="rId182"/>
                          <a:stretch>
                            <a:fillRect/>
                          </a:stretch>
                        </pic:blipFill>
                        <pic:spPr bwMode="auto">
                          <a:xfrm>
                            <a:off x="0" y="0"/>
                            <a:ext cx="228600" cy="228600"/>
                          </a:xfrm>
                          <a:prstGeom prst="rect">
                            <a:avLst/>
                          </a:prstGeom>
                        </pic:spPr>
                      </pic:pic>
                    </a:graphicData>
                  </a:graphic>
                </wp:inline>
              </w:drawing>
            </w:r>
            <w:bookmarkStart w:id="180" w:name="i-158"/>
            <w:bookmarkEnd w:id="180"/>
          </w:p>
        </w:tc>
        <w:tc>
          <w:tcPr>
            <w:tcW w:w="1525" w:type="dxa"/>
            <w:gridSpan w:val="6"/>
            <w:tcBorders>
              <w:bottom w:val="single" w:sz="4" w:space="0" w:color="96D0FF"/>
            </w:tcBorders>
            <w:tcMar>
              <w:top w:w="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Artificial Intelligence</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4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209"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59" descr=""/>
                          <pic:cNvPicPr>
                            <a:picLocks noChangeAspect="1" noChangeArrowheads="1"/>
                          </pic:cNvPicPr>
                        </pic:nvPicPr>
                        <pic:blipFill>
                          <a:blip r:embed="rId183"/>
                          <a:stretch>
                            <a:fillRect/>
                          </a:stretch>
                        </pic:blipFill>
                        <pic:spPr bwMode="auto">
                          <a:xfrm>
                            <a:off x="0" y="0"/>
                            <a:ext cx="228600" cy="228600"/>
                          </a:xfrm>
                          <a:prstGeom prst="rect">
                            <a:avLst/>
                          </a:prstGeom>
                        </pic:spPr>
                      </pic:pic>
                    </a:graphicData>
                  </a:graphic>
                </wp:inline>
              </w:drawing>
            </w:r>
            <w:bookmarkStart w:id="181" w:name="i-159"/>
            <w:bookmarkEnd w:id="181"/>
          </w:p>
        </w:tc>
        <w:tc>
          <w:tcPr>
            <w:tcW w:w="1525"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1946C8"/>
                <w:sz w:val="16"/>
              </w:rPr>
            </w:pPr>
            <w:r>
              <w:rPr>
                <w:rFonts w:ascii="Roboto;sans-serif" w:hAnsi="Roboto;sans-serif"/>
                <w:b/>
                <w:color w:val="1946C8"/>
                <w:sz w:val="16"/>
              </w:rPr>
              <w:t>Cybersecurity &amp; Data Privacy</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4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210"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60" descr=""/>
                          <pic:cNvPicPr>
                            <a:picLocks noChangeAspect="1" noChangeArrowheads="1"/>
                          </pic:cNvPicPr>
                        </pic:nvPicPr>
                        <pic:blipFill>
                          <a:blip r:embed="rId184"/>
                          <a:stretch>
                            <a:fillRect/>
                          </a:stretch>
                        </pic:blipFill>
                        <pic:spPr bwMode="auto">
                          <a:xfrm>
                            <a:off x="0" y="0"/>
                            <a:ext cx="228600" cy="228600"/>
                          </a:xfrm>
                          <a:prstGeom prst="rect">
                            <a:avLst/>
                          </a:prstGeom>
                        </pic:spPr>
                      </pic:pic>
                    </a:graphicData>
                  </a:graphic>
                </wp:inline>
              </w:drawing>
            </w:r>
            <w:bookmarkStart w:id="182" w:name="i-160"/>
            <w:bookmarkEnd w:id="182"/>
          </w:p>
        </w:tc>
        <w:tc>
          <w:tcPr>
            <w:tcW w:w="1525"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Digital/eCommerce</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4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211"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61" descr=""/>
                          <pic:cNvPicPr>
                            <a:picLocks noChangeAspect="1" noChangeArrowheads="1"/>
                          </pic:cNvPicPr>
                        </pic:nvPicPr>
                        <pic:blipFill>
                          <a:blip r:embed="rId185"/>
                          <a:stretch>
                            <a:fillRect/>
                          </a:stretch>
                        </pic:blipFill>
                        <pic:spPr bwMode="auto">
                          <a:xfrm>
                            <a:off x="0" y="0"/>
                            <a:ext cx="228600" cy="228600"/>
                          </a:xfrm>
                          <a:prstGeom prst="rect">
                            <a:avLst/>
                          </a:prstGeom>
                        </pic:spPr>
                      </pic:pic>
                    </a:graphicData>
                  </a:graphic>
                </wp:inline>
              </w:drawing>
            </w:r>
            <w:bookmarkStart w:id="183" w:name="i-161"/>
            <w:bookmarkEnd w:id="183"/>
          </w:p>
        </w:tc>
        <w:tc>
          <w:tcPr>
            <w:tcW w:w="1525"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Process Improvement</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4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212"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62" descr=""/>
                          <pic:cNvPicPr>
                            <a:picLocks noChangeAspect="1" noChangeArrowheads="1"/>
                          </pic:cNvPicPr>
                        </pic:nvPicPr>
                        <pic:blipFill>
                          <a:blip r:embed="rId186"/>
                          <a:stretch>
                            <a:fillRect/>
                          </a:stretch>
                        </pic:blipFill>
                        <pic:spPr bwMode="auto">
                          <a:xfrm>
                            <a:off x="0" y="0"/>
                            <a:ext cx="228600" cy="228600"/>
                          </a:xfrm>
                          <a:prstGeom prst="rect">
                            <a:avLst/>
                          </a:prstGeom>
                        </pic:spPr>
                      </pic:pic>
                    </a:graphicData>
                  </a:graphic>
                </wp:inline>
              </w:drawing>
            </w:r>
            <w:bookmarkStart w:id="184" w:name="i-162"/>
            <w:bookmarkEnd w:id="184"/>
          </w:p>
        </w:tc>
        <w:tc>
          <w:tcPr>
            <w:tcW w:w="1525" w:type="dxa"/>
            <w:gridSpan w:val="6"/>
            <w:tcBorders>
              <w:top w:val="single" w:sz="4" w:space="0" w:color="96D0FF"/>
            </w:tcBorders>
            <w:tcMar>
              <w:top w:w="3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1946C8"/>
                <w:sz w:val="16"/>
              </w:rPr>
            </w:pPr>
            <w:r>
              <w:rPr>
                <w:rFonts w:ascii="Roboto;sans-serif" w:hAnsi="Roboto;sans-serif"/>
                <w:b/>
                <w:color w:val="1946C8"/>
                <w:sz w:val="16"/>
              </w:rPr>
              <w:t>Technology</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54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8" w:type="dxa"/>
            <w:gridSpan w:val="9"/>
            <w:tcBorders/>
            <w:shd w:fill="ECF8FE" w:val="clear"/>
            <w:tcMar>
              <w:top w:w="0" w:type="dxa"/>
              <w:left w:w="0" w:type="dxa"/>
              <w:bottom w:w="0" w:type="dxa"/>
              <w:right w:w="0" w:type="dxa"/>
            </w:tcMar>
            <w:vAlign w:val="center"/>
          </w:tcPr>
          <w:p>
            <w:pPr>
              <w:pStyle w:val="TableContents"/>
              <w:bidi w:val="0"/>
              <w:spacing w:lineRule="atLeast" w:line="200" w:before="0" w:after="0"/>
              <w:jc w:val="left"/>
              <w:rPr>
                <w:rFonts w:ascii="Roboto;sans-serif" w:hAnsi="Roboto;sans-serif"/>
                <w:b/>
                <w:color w:val="1946C8"/>
                <w:sz w:val="16"/>
              </w:rPr>
            </w:pPr>
            <w:r>
              <w:rPr>
                <w:rFonts w:ascii="Roboto;sans-serif" w:hAnsi="Roboto;sans-serif"/>
                <w:b/>
                <w:color w:val="1946C8"/>
                <w:sz w:val="16"/>
              </w:rPr>
              <w:t>The Board selected Mr. Johnson to serve as a director based on his extensive executive leadership experience and his deep expertise across technology</w:t>
              <w:noBreakHyphen/>
              <w:t>driven disciplines, including artificial intelligence, cybersecurity &amp; data privacy, digital/eCommerce, process</w:t>
              <w:noBreakHyphen/>
              <w:t>improvement, and technology, as well as his significant experience within the retail industry.</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63525"/>
                <wp:effectExtent l="0" t="0" r="0" b="0"/>
                <wp:wrapNone/>
                <wp:docPr id="213" name="Frame28"/>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214"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63" descr=""/>
                                          <pic:cNvPicPr>
                                            <a:picLocks noChangeAspect="1" noChangeArrowheads="1"/>
                                          </pic:cNvPicPr>
                                        </pic:nvPicPr>
                                        <pic:blipFill>
                                          <a:blip r:embed="rId187"/>
                                          <a:stretch>
                                            <a:fillRect/>
                                          </a:stretch>
                                        </pic:blipFill>
                                        <pic:spPr bwMode="auto">
                                          <a:xfrm>
                                            <a:off x="0" y="0"/>
                                            <a:ext cx="266700" cy="200025"/>
                                          </a:xfrm>
                                          <a:prstGeom prst="rect">
                                            <a:avLst/>
                                          </a:prstGeom>
                                        </pic:spPr>
                                      </pic:pic>
                                    </a:graphicData>
                                  </a:graphic>
                                </wp:inline>
                              </w:drawing>
                            </w:r>
                            <w:bookmarkStart w:id="185" w:name="i-163"/>
                            <w:bookmarkEnd w:id="185"/>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215"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63" descr=""/>
                                    <pic:cNvPicPr>
                                      <a:picLocks noChangeAspect="1" noChangeArrowheads="1"/>
                                    </pic:cNvPicPr>
                                  </pic:nvPicPr>
                                  <pic:blipFill>
                                    <a:blip r:embed="rId188"/>
                                    <a:stretch>
                                      <a:fillRect/>
                                    </a:stretch>
                                  </pic:blipFill>
                                  <pic:spPr bwMode="auto">
                                    <a:xfrm>
                                      <a:off x="0" y="0"/>
                                      <a:ext cx="266700" cy="200025"/>
                                    </a:xfrm>
                                    <a:prstGeom prst="rect">
                                      <a:avLst/>
                                    </a:prstGeom>
                                  </pic:spPr>
                                </pic:pic>
                              </a:graphicData>
                            </a:graphic>
                          </wp:inline>
                        </w:drawing>
                      </w:r>
                      <w:bookmarkStart w:id="186" w:name="i-163"/>
                      <w:bookmarkEnd w:id="186"/>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23</w:t>
            </w:r>
          </w:p>
        </w:tc>
      </w:tr>
    </w:tbl>
    <w:tbl>
      <w:tblPr>
        <w:tblW w:w="10205" w:type="dxa"/>
        <w:jc w:val="center"/>
        <w:tblInd w:w="0" w:type="dxa"/>
        <w:tblLayout w:type="fixed"/>
        <w:tblCellMar>
          <w:top w:w="28" w:type="dxa"/>
          <w:left w:w="28" w:type="dxa"/>
          <w:bottom w:w="28" w:type="dxa"/>
          <w:right w:w="28" w:type="dxa"/>
        </w:tblCellMar>
      </w:tblPr>
      <w:tblGrid>
        <w:gridCol w:w="224"/>
        <w:gridCol w:w="196"/>
        <w:gridCol w:w="196"/>
        <w:gridCol w:w="196"/>
        <w:gridCol w:w="196"/>
        <w:gridCol w:w="196"/>
        <w:gridCol w:w="238"/>
        <w:gridCol w:w="238"/>
        <w:gridCol w:w="240"/>
        <w:gridCol w:w="198"/>
        <w:gridCol w:w="198"/>
        <w:gridCol w:w="198"/>
        <w:gridCol w:w="196"/>
        <w:gridCol w:w="196"/>
        <w:gridCol w:w="209"/>
        <w:gridCol w:w="109"/>
        <w:gridCol w:w="109"/>
        <w:gridCol w:w="109"/>
        <w:gridCol w:w="1086"/>
        <w:gridCol w:w="978"/>
        <w:gridCol w:w="908"/>
        <w:gridCol w:w="677"/>
        <w:gridCol w:w="624"/>
        <w:gridCol w:w="624"/>
        <w:gridCol w:w="543"/>
        <w:gridCol w:w="543"/>
        <w:gridCol w:w="780"/>
      </w:tblGrid>
      <w:tr>
        <w:trPr/>
        <w:tc>
          <w:tcPr>
            <w:tcW w:w="2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15"/>
            <w:vMerge w:val="restart"/>
            <w:tcBorders/>
            <w:shd w:fill="ECF8F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28800" cy="1857375"/>
                  <wp:effectExtent l="0" t="0" r="0" b="0"/>
                  <wp:docPr id="216"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64" descr=""/>
                          <pic:cNvPicPr>
                            <a:picLocks noChangeAspect="1" noChangeArrowheads="1"/>
                          </pic:cNvPicPr>
                        </pic:nvPicPr>
                        <pic:blipFill>
                          <a:blip r:embed="rId189"/>
                          <a:stretch>
                            <a:fillRect/>
                          </a:stretch>
                        </pic:blipFill>
                        <pic:spPr bwMode="auto">
                          <a:xfrm>
                            <a:off x="0" y="0"/>
                            <a:ext cx="1828800" cy="1857375"/>
                          </a:xfrm>
                          <a:prstGeom prst="rect">
                            <a:avLst/>
                          </a:prstGeom>
                        </pic:spPr>
                      </pic:pic>
                    </a:graphicData>
                  </a:graphic>
                </wp:inline>
              </w:drawing>
            </w:r>
            <w:bookmarkStart w:id="187" w:name="i-164"/>
            <w:bookmarkEnd w:id="187"/>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3" w:type="dxa"/>
            <w:gridSpan w:val="9"/>
            <w:tcBorders/>
            <w:tcMar>
              <w:top w:w="0" w:type="dxa"/>
              <w:left w:w="0" w:type="dxa"/>
              <w:bottom w:w="0" w:type="dxa"/>
              <w:right w:w="0" w:type="dxa"/>
            </w:tcMar>
            <w:vAlign w:val="center"/>
          </w:tcPr>
          <w:p>
            <w:pPr>
              <w:pStyle w:val="TableContents"/>
              <w:bidi w:val="0"/>
              <w:spacing w:lineRule="atLeast" w:line="300" w:before="0" w:after="120"/>
              <w:jc w:val="left"/>
              <w:rPr>
                <w:rFonts w:ascii="Roboto;sans-serif" w:hAnsi="Roboto;sans-serif"/>
                <w:b/>
                <w:color w:val="1946C8"/>
                <w:sz w:val="40"/>
              </w:rPr>
            </w:pPr>
            <w:r>
              <w:rPr>
                <w:rFonts w:ascii="Roboto;sans-serif" w:hAnsi="Roboto;sans-serif"/>
                <w:b/>
                <w:color w:val="1946C8"/>
                <w:sz w:val="40"/>
              </w:rPr>
              <w:t>Theresa Palermo</w:t>
            </w:r>
          </w:p>
          <w:p>
            <w:pPr>
              <w:pStyle w:val="TableContents"/>
              <w:bidi w:val="0"/>
              <w:spacing w:lineRule="atLeast" w:line="300" w:before="0" w:after="0"/>
              <w:jc w:val="left"/>
              <w:rPr>
                <w:rFonts w:ascii="Roboto;sans-serif" w:hAnsi="Roboto;sans-serif"/>
                <w:b/>
                <w:color w:val="E81111"/>
                <w:sz w:val="24"/>
              </w:rPr>
            </w:pPr>
            <w:r>
              <w:rPr>
                <w:rFonts w:ascii="Roboto;sans-serif" w:hAnsi="Roboto;sans-serif"/>
                <w:b/>
                <w:color w:val="E81111"/>
                <w:sz w:val="24"/>
              </w:rPr>
              <w:t>Independent Director</w:t>
            </w:r>
          </w:p>
        </w:tc>
      </w:tr>
      <w:tr>
        <w:trPr/>
        <w:tc>
          <w:tcPr>
            <w:tcW w:w="3115"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Director Since: </w:t>
            </w:r>
            <w:r>
              <w:rPr>
                <w:rFonts w:ascii="Roboto;sans-serif" w:hAnsi="Roboto;sans-serif"/>
                <w:b w:val="false"/>
                <w:color w:val="01024A"/>
                <w:sz w:val="18"/>
              </w:rPr>
              <w:t>July 2022</w:t>
            </w:r>
          </w:p>
        </w:tc>
        <w:tc>
          <w:tcPr>
            <w:tcW w:w="1925"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Board Class: </w:t>
            </w:r>
            <w:r>
              <w:rPr>
                <w:rFonts w:ascii="Roboto;sans-serif" w:hAnsi="Roboto;sans-serif"/>
                <w:b w:val="false"/>
                <w:color w:val="01024A"/>
                <w:sz w:val="18"/>
              </w:rPr>
              <w:t>II</w:t>
            </w:r>
          </w:p>
        </w:tc>
        <w:tc>
          <w:tcPr>
            <w:tcW w:w="1866"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Age: </w:t>
            </w:r>
            <w:r>
              <w:rPr>
                <w:rFonts w:ascii="Roboto;sans-serif" w:hAnsi="Roboto;sans-serif"/>
                <w:b w:val="false"/>
                <w:color w:val="01024A"/>
                <w:sz w:val="18"/>
              </w:rPr>
              <w:t>50</w:t>
            </w:r>
          </w:p>
        </w:tc>
      </w:tr>
      <w:tr>
        <w:trPr/>
        <w:tc>
          <w:tcPr>
            <w:tcW w:w="3115"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3" w:type="dxa"/>
            <w:gridSpan w:val="9"/>
            <w:vMerge w:val="restart"/>
            <w:tcBorders/>
            <w:tcMar>
              <w:top w:w="0" w:type="dxa"/>
              <w:left w:w="0" w:type="dxa"/>
              <w:bottom w:w="0" w:type="dxa"/>
              <w:right w:w="0" w:type="dxa"/>
            </w:tcMar>
            <w:vAlign w:val="center"/>
          </w:tcPr>
          <w:p>
            <w:pPr>
              <w:pStyle w:val="TableContents"/>
              <w:bidi w:val="0"/>
              <w:spacing w:lineRule="auto" w:line="312" w:before="0" w:after="60"/>
              <w:jc w:val="left"/>
              <w:rPr>
                <w:rFonts w:ascii="Roboto;sans-serif" w:hAnsi="Roboto;sans-serif"/>
                <w:b/>
                <w:color w:val="1946C8"/>
                <w:sz w:val="18"/>
              </w:rPr>
            </w:pPr>
            <w:r>
              <w:rPr>
                <w:rFonts w:ascii="Roboto;sans-serif" w:hAnsi="Roboto;sans-serif"/>
                <w:b/>
                <w:color w:val="1946C8"/>
                <w:sz w:val="18"/>
              </w:rPr>
              <w:t>Committee Memberships</w:t>
            </w:r>
          </w:p>
          <w:p>
            <w:pPr>
              <w:pStyle w:val="TableContents"/>
              <w:bidi w:val="0"/>
              <w:spacing w:lineRule="auto" w:line="288" w:before="0" w:after="180"/>
              <w:ind w:left="0" w:right="0" w:hanging="216"/>
              <w:jc w:val="left"/>
              <w:rPr/>
            </w:pPr>
            <w:r>
              <w:rPr>
                <w:color w:val="01024A"/>
              </w:rPr>
              <w:t>•</w:t>
            </w:r>
            <w:r>
              <w:rPr>
                <w:rFonts w:ascii="Roboto;sans-serif" w:hAnsi="Roboto;sans-serif"/>
                <w:b w:val="false"/>
                <w:color w:val="01024A"/>
                <w:sz w:val="16"/>
              </w:rPr>
              <w:t>Nominating &amp; Governance since July 2022</w:t>
            </w:r>
          </w:p>
          <w:p>
            <w:pPr>
              <w:pStyle w:val="TableContents"/>
              <w:bidi w:val="0"/>
              <w:spacing w:lineRule="auto" w:line="312" w:before="100" w:after="60"/>
              <w:jc w:val="left"/>
              <w:rPr>
                <w:rFonts w:ascii="Roboto;sans-serif" w:hAnsi="Roboto;sans-serif"/>
                <w:b/>
                <w:color w:val="1946C8"/>
                <w:sz w:val="18"/>
              </w:rPr>
            </w:pPr>
            <w:r>
              <w:rPr>
                <w:rFonts w:ascii="Roboto;sans-serif" w:hAnsi="Roboto;sans-serif"/>
                <w:b/>
                <w:color w:val="1946C8"/>
                <w:sz w:val="18"/>
              </w:rPr>
              <w:t>Experience and Qualifications</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Magnolia: </w:t>
            </w:r>
            <w:r>
              <w:rPr>
                <w:rFonts w:ascii="Roboto;sans-serif" w:hAnsi="Roboto;sans-serif"/>
                <w:b w:val="false"/>
                <w:color w:val="01024A"/>
                <w:sz w:val="16"/>
              </w:rPr>
              <w:t>Chief Marketing Officer (July 2024 - present); Chief Growth Officer (February 2026 - present)</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Signet Jewelers: </w:t>
            </w:r>
            <w:r>
              <w:rPr>
                <w:rFonts w:ascii="Roboto;sans-serif" w:hAnsi="Roboto;sans-serif"/>
                <w:b w:val="false"/>
                <w:color w:val="01024A"/>
                <w:sz w:val="16"/>
              </w:rPr>
              <w:t>Senior Vice President, Connected Commerce and Marketing (October 2019 - July 2024)</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Neiman Marcus: </w:t>
            </w:r>
            <w:r>
              <w:rPr>
                <w:rFonts w:ascii="Roboto;sans-serif" w:hAnsi="Roboto;sans-serif"/>
                <w:b w:val="false"/>
                <w:color w:val="01024A"/>
                <w:sz w:val="16"/>
              </w:rPr>
              <w:t>Senior Vice President, Marketing (September 2017 - October 2019)</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Vera Bradley: </w:t>
            </w:r>
            <w:r>
              <w:rPr>
                <w:rFonts w:ascii="Roboto;sans-serif" w:hAnsi="Roboto;sans-serif"/>
                <w:b w:val="false"/>
                <w:color w:val="01024A"/>
                <w:sz w:val="16"/>
              </w:rPr>
              <w:t>Executive Vice President and Chief Marketing Officer (June 2015 - August 2017)</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Fossil Group, Collective Brands, The Timberland Company, Polaroid, and United Communications Group:</w:t>
            </w:r>
            <w:r>
              <w:rPr>
                <w:color w:val="01024A"/>
              </w:rPr>
              <w:t xml:space="preserve"> </w:t>
            </w:r>
            <w:r>
              <w:rPr>
                <w:rFonts w:ascii="Roboto;sans-serif" w:hAnsi="Roboto;sans-serif"/>
                <w:b w:val="false"/>
                <w:color w:val="01024A"/>
                <w:sz w:val="16"/>
              </w:rPr>
              <w:t>Senior positions and roles (January 1997 - June 2015, collectively)</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Bachelor of Science in Marketing: </w:t>
            </w:r>
            <w:r>
              <w:rPr>
                <w:rFonts w:ascii="Roboto;sans-serif" w:hAnsi="Roboto;sans-serif"/>
                <w:b w:val="false"/>
                <w:color w:val="01024A"/>
                <w:sz w:val="16"/>
              </w:rPr>
              <w:t xml:space="preserve">Auburn University </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Master of Business Administration:</w:t>
            </w:r>
            <w:r>
              <w:rPr>
                <w:color w:val="01024A"/>
              </w:rPr>
              <w:t xml:space="preserve"> </w:t>
            </w:r>
            <w:r>
              <w:rPr>
                <w:rFonts w:ascii="Roboto;sans-serif" w:hAnsi="Roboto;sans-serif"/>
                <w:b w:val="false"/>
                <w:color w:val="01024A"/>
                <w:sz w:val="16"/>
              </w:rPr>
              <w:t>Simmons University</w:t>
            </w:r>
          </w:p>
          <w:p>
            <w:pPr>
              <w:pStyle w:val="TableContents"/>
              <w:bidi w:val="0"/>
              <w:spacing w:lineRule="auto" w:line="312" w:before="180" w:after="40"/>
              <w:jc w:val="left"/>
              <w:rPr>
                <w:rFonts w:ascii="Roboto;sans-serif" w:hAnsi="Roboto;sans-serif"/>
                <w:b/>
                <w:color w:val="1946C8"/>
                <w:sz w:val="18"/>
              </w:rPr>
            </w:pPr>
            <w:r>
              <w:rPr>
                <w:rFonts w:ascii="Roboto;sans-serif" w:hAnsi="Roboto;sans-serif"/>
                <w:b/>
                <w:color w:val="1946C8"/>
                <w:sz w:val="18"/>
              </w:rPr>
              <w:t>Contributions to the Board</w:t>
            </w:r>
          </w:p>
          <w:p>
            <w:pPr>
              <w:pStyle w:val="TableContents"/>
              <w:bidi w:val="0"/>
              <w:spacing w:lineRule="auto" w:line="288" w:before="0" w:after="0"/>
              <w:jc w:val="left"/>
              <w:rPr>
                <w:rFonts w:ascii="Roboto;sans-serif" w:hAnsi="Roboto;sans-serif"/>
                <w:b w:val="false"/>
                <w:color w:val="01024A"/>
                <w:sz w:val="16"/>
              </w:rPr>
            </w:pPr>
            <w:r>
              <w:rPr>
                <w:rFonts w:ascii="Roboto;sans-serif" w:hAnsi="Roboto;sans-serif"/>
                <w:b w:val="false"/>
                <w:color w:val="01024A"/>
                <w:sz w:val="16"/>
              </w:rPr>
              <w:t xml:space="preserve">Ms. Palermo has over 20 years of marketing experience with retail companies in addition to retail digital and eCommerce experience focused on the omnichannel customer experience across all touch points, and a track record of driving sales and traffic for both vertical and national brands, which the Board values as we further enhance our targeted marketing efforts, grow our eCommerce business, and expand our store base. </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vMerge w:val="restart"/>
            <w:tcBorders/>
            <w:shd w:fill="E81111"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8"/>
              </w:rPr>
            </w:pPr>
            <w:r>
              <w:rPr>
                <w:rFonts w:ascii="Roboto;sans-serif" w:hAnsi="Roboto;sans-serif"/>
                <w:b/>
                <w:color w:val="FFFFFF"/>
                <w:sz w:val="18"/>
              </w:rPr>
              <w:t>Key Skills</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top w:val="single" w:sz="8" w:space="0" w:color="1946C8"/>
              <w:left w:val="single" w:sz="8" w:space="0" w:color="1946C8"/>
            </w:tcBorders>
            <w:tcMar>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vMerge w:val="continue"/>
            <w:tcBorders/>
            <w:shd w:fill="E81111" w:val="clear"/>
            <w:tcMar>
              <w:top w:w="0" w:type="dxa"/>
              <w:left w:w="0" w:type="dxa"/>
              <w:bottom w:w="0" w:type="dxa"/>
              <w:right w:w="0" w:type="dxa"/>
            </w:tcMar>
            <w:vAlign w:val="center"/>
          </w:tcPr>
          <w:p>
            <w:pPr>
              <w:pStyle w:val="Normal"/>
              <w:bidi w:val="0"/>
              <w:jc w:val="left"/>
              <w:rPr/>
            </w:pPr>
            <w:r>
              <w:rPr/>
            </w:r>
          </w:p>
        </w:tc>
        <w:tc>
          <w:tcPr>
            <w:tcW w:w="594"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6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6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217"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65" descr=""/>
                          <pic:cNvPicPr>
                            <a:picLocks noChangeAspect="1" noChangeArrowheads="1"/>
                          </pic:cNvPicPr>
                        </pic:nvPicPr>
                        <pic:blipFill>
                          <a:blip r:embed="rId190"/>
                          <a:stretch>
                            <a:fillRect/>
                          </a:stretch>
                        </pic:blipFill>
                        <pic:spPr bwMode="auto">
                          <a:xfrm>
                            <a:off x="0" y="0"/>
                            <a:ext cx="228600" cy="228600"/>
                          </a:xfrm>
                          <a:prstGeom prst="rect">
                            <a:avLst/>
                          </a:prstGeom>
                        </pic:spPr>
                      </pic:pic>
                    </a:graphicData>
                  </a:graphic>
                </wp:inline>
              </w:drawing>
            </w:r>
            <w:bookmarkStart w:id="188" w:name="i-165"/>
            <w:bookmarkEnd w:id="188"/>
          </w:p>
        </w:tc>
        <w:tc>
          <w:tcPr>
            <w:tcW w:w="1310" w:type="dxa"/>
            <w:gridSpan w:val="6"/>
            <w:tcBorders>
              <w:bottom w:val="single" w:sz="4" w:space="0" w:color="96D0FF"/>
            </w:tcBorders>
            <w:tcMar>
              <w:top w:w="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shd w:fill="FFFFFF" w:val="clear"/>
              </w:rPr>
            </w:pPr>
            <w:r>
              <w:rPr>
                <w:rFonts w:ascii="Roboto;sans-serif" w:hAnsi="Roboto;sans-serif"/>
                <w:b/>
                <w:color w:val="1946C8"/>
                <w:sz w:val="16"/>
                <w:shd w:fill="FFFFFF" w:val="clear"/>
              </w:rPr>
              <w:t>Customer Loyalty</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6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218"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66" descr=""/>
                          <pic:cNvPicPr>
                            <a:picLocks noChangeAspect="1" noChangeArrowheads="1"/>
                          </pic:cNvPicPr>
                        </pic:nvPicPr>
                        <pic:blipFill>
                          <a:blip r:embed="rId191"/>
                          <a:stretch>
                            <a:fillRect/>
                          </a:stretch>
                        </pic:blipFill>
                        <pic:spPr bwMode="auto">
                          <a:xfrm>
                            <a:off x="0" y="0"/>
                            <a:ext cx="228600" cy="228600"/>
                          </a:xfrm>
                          <a:prstGeom prst="rect">
                            <a:avLst/>
                          </a:prstGeom>
                        </pic:spPr>
                      </pic:pic>
                    </a:graphicData>
                  </a:graphic>
                </wp:inline>
              </w:drawing>
            </w:r>
            <w:bookmarkStart w:id="189" w:name="i-166"/>
            <w:bookmarkEnd w:id="189"/>
          </w:p>
        </w:tc>
        <w:tc>
          <w:tcPr>
            <w:tcW w:w="1310"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shd w:fill="FFFFFF" w:val="clear"/>
              </w:rPr>
            </w:pPr>
            <w:r>
              <w:rPr>
                <w:rFonts w:ascii="Roboto;sans-serif" w:hAnsi="Roboto;sans-serif"/>
                <w:b/>
                <w:color w:val="1946C8"/>
                <w:sz w:val="16"/>
                <w:shd w:fill="FFFFFF" w:val="clear"/>
              </w:rPr>
              <w:t>Digital/eCommerce</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6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219"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67" descr=""/>
                          <pic:cNvPicPr>
                            <a:picLocks noChangeAspect="1" noChangeArrowheads="1"/>
                          </pic:cNvPicPr>
                        </pic:nvPicPr>
                        <pic:blipFill>
                          <a:blip r:embed="rId192"/>
                          <a:stretch>
                            <a:fillRect/>
                          </a:stretch>
                        </pic:blipFill>
                        <pic:spPr bwMode="auto">
                          <a:xfrm>
                            <a:off x="0" y="0"/>
                            <a:ext cx="228600" cy="228600"/>
                          </a:xfrm>
                          <a:prstGeom prst="rect">
                            <a:avLst/>
                          </a:prstGeom>
                        </pic:spPr>
                      </pic:pic>
                    </a:graphicData>
                  </a:graphic>
                </wp:inline>
              </w:drawing>
            </w:r>
            <w:bookmarkStart w:id="190" w:name="i-167"/>
            <w:bookmarkEnd w:id="190"/>
          </w:p>
        </w:tc>
        <w:tc>
          <w:tcPr>
            <w:tcW w:w="1310"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shd w:fill="FFFFFF" w:val="clear"/>
              </w:rPr>
            </w:pPr>
            <w:r>
              <w:rPr>
                <w:rFonts w:ascii="Roboto;sans-serif" w:hAnsi="Roboto;sans-serif"/>
                <w:b/>
                <w:color w:val="1946C8"/>
                <w:sz w:val="16"/>
                <w:shd w:fill="FFFFFF" w:val="clear"/>
              </w:rPr>
              <w:t>Marketing</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6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220"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68" descr=""/>
                          <pic:cNvPicPr>
                            <a:picLocks noChangeAspect="1" noChangeArrowheads="1"/>
                          </pic:cNvPicPr>
                        </pic:nvPicPr>
                        <pic:blipFill>
                          <a:blip r:embed="rId193"/>
                          <a:stretch>
                            <a:fillRect/>
                          </a:stretch>
                        </pic:blipFill>
                        <pic:spPr bwMode="auto">
                          <a:xfrm>
                            <a:off x="0" y="0"/>
                            <a:ext cx="228600" cy="228600"/>
                          </a:xfrm>
                          <a:prstGeom prst="rect">
                            <a:avLst/>
                          </a:prstGeom>
                        </pic:spPr>
                      </pic:pic>
                    </a:graphicData>
                  </a:graphic>
                </wp:inline>
              </w:drawing>
            </w:r>
            <w:bookmarkStart w:id="191" w:name="i-168"/>
            <w:bookmarkEnd w:id="191"/>
          </w:p>
        </w:tc>
        <w:tc>
          <w:tcPr>
            <w:tcW w:w="1310"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color w:val="1946C8"/>
                <w:sz w:val="16"/>
                <w:shd w:fill="FFFFFF" w:val="clear"/>
              </w:rPr>
            </w:pPr>
            <w:r>
              <w:rPr>
                <w:rFonts w:ascii="Roboto;sans-serif" w:hAnsi="Roboto;sans-serif"/>
                <w:b/>
                <w:color w:val="1946C8"/>
                <w:sz w:val="16"/>
                <w:shd w:fill="FFFFFF" w:val="clear"/>
              </w:rPr>
              <w:t>Strategic Planning</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6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221"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69" descr=""/>
                          <pic:cNvPicPr>
                            <a:picLocks noChangeAspect="1" noChangeArrowheads="1"/>
                          </pic:cNvPicPr>
                        </pic:nvPicPr>
                        <pic:blipFill>
                          <a:blip r:embed="rId194"/>
                          <a:stretch>
                            <a:fillRect/>
                          </a:stretch>
                        </pic:blipFill>
                        <pic:spPr bwMode="auto">
                          <a:xfrm>
                            <a:off x="0" y="0"/>
                            <a:ext cx="228600" cy="228600"/>
                          </a:xfrm>
                          <a:prstGeom prst="rect">
                            <a:avLst/>
                          </a:prstGeom>
                        </pic:spPr>
                      </pic:pic>
                    </a:graphicData>
                  </a:graphic>
                </wp:inline>
              </w:drawing>
            </w:r>
            <w:bookmarkStart w:id="192" w:name="i-169"/>
            <w:bookmarkEnd w:id="192"/>
          </w:p>
        </w:tc>
        <w:tc>
          <w:tcPr>
            <w:tcW w:w="1310" w:type="dxa"/>
            <w:gridSpan w:val="6"/>
            <w:tcBorders>
              <w:top w:val="single" w:sz="4" w:space="0" w:color="96D0FF"/>
            </w:tcBorders>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1946C8"/>
                <w:sz w:val="16"/>
                <w:shd w:fill="FFFFFF" w:val="clear"/>
              </w:rPr>
            </w:pPr>
            <w:r>
              <w:rPr>
                <w:rFonts w:ascii="Roboto;sans-serif" w:hAnsi="Roboto;sans-serif"/>
                <w:b/>
                <w:color w:val="1946C8"/>
                <w:sz w:val="16"/>
                <w:shd w:fill="FFFFFF" w:val="clear"/>
              </w:rPr>
              <w:t>Technology</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6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3" w:type="dxa"/>
            <w:gridSpan w:val="9"/>
            <w:tcBorders/>
            <w:shd w:fill="ECF8FE" w:val="clear"/>
            <w:tcMar>
              <w:top w:w="0" w:type="dxa"/>
              <w:left w:w="0" w:type="dxa"/>
              <w:bottom w:w="0" w:type="dxa"/>
              <w:right w:w="0" w:type="dxa"/>
            </w:tcMar>
            <w:vAlign w:val="center"/>
          </w:tcPr>
          <w:p>
            <w:pPr>
              <w:pStyle w:val="TableContents"/>
              <w:bidi w:val="0"/>
              <w:spacing w:lineRule="auto" w:line="312" w:before="120" w:after="160"/>
              <w:jc w:val="left"/>
              <w:rPr/>
            </w:pPr>
            <w:r>
              <w:rPr>
                <w:rFonts w:ascii="Helvetica;sans-serif" w:hAnsi="Helvetica;sans-serif"/>
                <w:b/>
                <w:color w:val="1946C8"/>
                <w:sz w:val="16"/>
              </w:rPr>
              <w:t xml:space="preserve">The Board selected Ms. Palermo to serve as a director because of her executive leadership and management experience related to the retail industry, which includes </w:t>
            </w:r>
            <w:r>
              <w:rPr>
                <w:rFonts w:ascii="Roboto;sans-serif" w:hAnsi="Roboto;sans-serif"/>
                <w:b/>
                <w:color w:val="1946C8"/>
                <w:sz w:val="16"/>
              </w:rPr>
              <w:t xml:space="preserve">customer loyalty, </w:t>
            </w:r>
            <w:r>
              <w:rPr>
                <w:rFonts w:ascii="Helvetica;sans-serif" w:hAnsi="Helvetica;sans-serif"/>
                <w:b/>
                <w:color w:val="1946C8"/>
                <w:sz w:val="16"/>
              </w:rPr>
              <w:t>digital/eCommerce, marketing, strategic planning</w:t>
            </w:r>
            <w:r>
              <w:rPr>
                <w:rFonts w:ascii="Roboto;sans-serif" w:hAnsi="Roboto;sans-serif"/>
                <w:b/>
                <w:color w:val="1946C8"/>
                <w:sz w:val="16"/>
              </w:rPr>
              <w:t>, and technology skills.</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63525"/>
                <wp:effectExtent l="0" t="0" r="0" b="0"/>
                <wp:wrapNone/>
                <wp:docPr id="222" name="Frame29"/>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223"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70" descr=""/>
                                          <pic:cNvPicPr>
                                            <a:picLocks noChangeAspect="1" noChangeArrowheads="1"/>
                                          </pic:cNvPicPr>
                                        </pic:nvPicPr>
                                        <pic:blipFill>
                                          <a:blip r:embed="rId195"/>
                                          <a:stretch>
                                            <a:fillRect/>
                                          </a:stretch>
                                        </pic:blipFill>
                                        <pic:spPr bwMode="auto">
                                          <a:xfrm>
                                            <a:off x="0" y="0"/>
                                            <a:ext cx="266700" cy="200025"/>
                                          </a:xfrm>
                                          <a:prstGeom prst="rect">
                                            <a:avLst/>
                                          </a:prstGeom>
                                        </pic:spPr>
                                      </pic:pic>
                                    </a:graphicData>
                                  </a:graphic>
                                </wp:inline>
                              </w:drawing>
                            </w:r>
                            <w:bookmarkStart w:id="193" w:name="i-170"/>
                            <w:bookmarkEnd w:id="193"/>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224"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70" descr=""/>
                                    <pic:cNvPicPr>
                                      <a:picLocks noChangeAspect="1" noChangeArrowheads="1"/>
                                    </pic:cNvPicPr>
                                  </pic:nvPicPr>
                                  <pic:blipFill>
                                    <a:blip r:embed="rId196"/>
                                    <a:stretch>
                                      <a:fillRect/>
                                    </a:stretch>
                                  </pic:blipFill>
                                  <pic:spPr bwMode="auto">
                                    <a:xfrm>
                                      <a:off x="0" y="0"/>
                                      <a:ext cx="266700" cy="200025"/>
                                    </a:xfrm>
                                    <a:prstGeom prst="rect">
                                      <a:avLst/>
                                    </a:prstGeom>
                                  </pic:spPr>
                                </pic:pic>
                              </a:graphicData>
                            </a:graphic>
                          </wp:inline>
                        </w:drawing>
                      </w:r>
                      <w:bookmarkStart w:id="194" w:name="i-170"/>
                      <w:bookmarkEnd w:id="194"/>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tbl>
      <w:tblPr>
        <w:tblW w:w="10205" w:type="dxa"/>
        <w:jc w:val="center"/>
        <w:tblInd w:w="0" w:type="dxa"/>
        <w:tblLayout w:type="fixed"/>
        <w:tblCellMar>
          <w:top w:w="28" w:type="dxa"/>
          <w:left w:w="28" w:type="dxa"/>
          <w:bottom w:w="28" w:type="dxa"/>
          <w:right w:w="28" w:type="dxa"/>
        </w:tblCellMar>
      </w:tblPr>
      <w:tblGrid>
        <w:gridCol w:w="187"/>
        <w:gridCol w:w="165"/>
        <w:gridCol w:w="165"/>
        <w:gridCol w:w="165"/>
        <w:gridCol w:w="165"/>
        <w:gridCol w:w="165"/>
        <w:gridCol w:w="489"/>
        <w:gridCol w:w="309"/>
        <w:gridCol w:w="255"/>
        <w:gridCol w:w="175"/>
        <w:gridCol w:w="175"/>
        <w:gridCol w:w="175"/>
        <w:gridCol w:w="165"/>
        <w:gridCol w:w="165"/>
        <w:gridCol w:w="169"/>
        <w:gridCol w:w="109"/>
        <w:gridCol w:w="109"/>
        <w:gridCol w:w="109"/>
        <w:gridCol w:w="1111"/>
        <w:gridCol w:w="1059"/>
        <w:gridCol w:w="976"/>
        <w:gridCol w:w="651"/>
        <w:gridCol w:w="632"/>
        <w:gridCol w:w="632"/>
        <w:gridCol w:w="520"/>
        <w:gridCol w:w="520"/>
        <w:gridCol w:w="528"/>
        <w:gridCol w:w="160"/>
      </w:tblGrid>
      <w:tr>
        <w:trPr/>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51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517"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089" w:type="dxa"/>
            <w:gridSpan w:val="15"/>
            <w:vMerge w:val="restart"/>
            <w:tcBorders/>
            <w:shd w:fill="ECF8FE" w:val="clear"/>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drawing>
                <wp:inline distT="0" distB="0" distL="0" distR="0">
                  <wp:extent cx="1524000" cy="1762125"/>
                  <wp:effectExtent l="0" t="0" r="0" b="0"/>
                  <wp:docPr id="225"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71" descr=""/>
                          <pic:cNvPicPr>
                            <a:picLocks noChangeAspect="1" noChangeArrowheads="1"/>
                          </pic:cNvPicPr>
                        </pic:nvPicPr>
                        <pic:blipFill>
                          <a:blip r:embed="rId197"/>
                          <a:stretch>
                            <a:fillRect/>
                          </a:stretch>
                        </pic:blipFill>
                        <pic:spPr bwMode="auto">
                          <a:xfrm>
                            <a:off x="0" y="0"/>
                            <a:ext cx="1524000" cy="1762125"/>
                          </a:xfrm>
                          <a:prstGeom prst="rect">
                            <a:avLst/>
                          </a:prstGeom>
                        </pic:spPr>
                      </pic:pic>
                    </a:graphicData>
                  </a:graphic>
                </wp:inline>
              </w:drawing>
            </w:r>
            <w:bookmarkStart w:id="195" w:name="i-171"/>
            <w:bookmarkEnd w:id="195"/>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089"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629" w:type="dxa"/>
            <w:gridSpan w:val="9"/>
            <w:tcBorders/>
            <w:tcMar>
              <w:top w:w="0" w:type="dxa"/>
              <w:left w:w="0" w:type="dxa"/>
              <w:bottom w:w="0" w:type="dxa"/>
              <w:right w:w="0" w:type="dxa"/>
            </w:tcMar>
            <w:vAlign w:val="center"/>
          </w:tcPr>
          <w:p>
            <w:pPr>
              <w:pStyle w:val="TableContents"/>
              <w:bidi w:val="0"/>
              <w:spacing w:lineRule="atLeast" w:line="300" w:before="0" w:after="120"/>
              <w:jc w:val="left"/>
              <w:rPr>
                <w:rFonts w:ascii="Roboto;sans-serif" w:hAnsi="Roboto;sans-serif"/>
                <w:b/>
                <w:color w:val="1946C8"/>
                <w:sz w:val="40"/>
              </w:rPr>
            </w:pPr>
            <w:r>
              <w:rPr>
                <w:rFonts w:ascii="Roboto;sans-serif" w:hAnsi="Roboto;sans-serif"/>
                <w:b/>
                <w:color w:val="1946C8"/>
                <w:sz w:val="40"/>
              </w:rPr>
              <w:t>Monique Picou</w:t>
            </w:r>
          </w:p>
          <w:p>
            <w:pPr>
              <w:pStyle w:val="TableContents"/>
              <w:bidi w:val="0"/>
              <w:spacing w:lineRule="atLeast" w:line="300" w:before="0" w:after="0"/>
              <w:jc w:val="left"/>
              <w:rPr>
                <w:rFonts w:ascii="Roboto;sans-serif" w:hAnsi="Roboto;sans-serif"/>
                <w:b/>
                <w:color w:val="E81111"/>
                <w:sz w:val="24"/>
              </w:rPr>
            </w:pPr>
            <w:r>
              <w:rPr>
                <w:rFonts w:ascii="Roboto;sans-serif" w:hAnsi="Roboto;sans-serif"/>
                <w:b/>
                <w:color w:val="E81111"/>
                <w:sz w:val="24"/>
              </w:rPr>
              <w:t>Independent Director</w:t>
            </w:r>
          </w:p>
        </w:tc>
        <w:tc>
          <w:tcPr>
            <w:tcW w:w="160" w:type="dxa"/>
            <w:tcBorders/>
          </w:tcPr>
          <w:p>
            <w:pPr>
              <w:pStyle w:val="TableContents"/>
              <w:bidi w:val="0"/>
              <w:spacing w:before="0" w:after="283"/>
              <w:jc w:val="left"/>
              <w:rPr>
                <w:sz w:val="4"/>
                <w:szCs w:val="4"/>
              </w:rPr>
            </w:pPr>
            <w:r>
              <w:rPr>
                <w:sz w:val="4"/>
                <w:szCs w:val="4"/>
              </w:rPr>
            </w:r>
          </w:p>
        </w:tc>
      </w:tr>
      <w:tr>
        <w:trPr/>
        <w:tc>
          <w:tcPr>
            <w:tcW w:w="3089"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089"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14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089"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146"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Director Since: </w:t>
            </w:r>
            <w:r>
              <w:rPr>
                <w:rFonts w:ascii="Roboto;sans-serif" w:hAnsi="Roboto;sans-serif"/>
                <w:b w:val="false"/>
                <w:color w:val="01024A"/>
                <w:sz w:val="18"/>
              </w:rPr>
              <w:t>March 2024</w:t>
            </w:r>
          </w:p>
        </w:tc>
        <w:tc>
          <w:tcPr>
            <w:tcW w:w="1915"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 xml:space="preserve">Board Class: </w:t>
            </w:r>
            <w:r>
              <w:rPr>
                <w:rFonts w:ascii="Roboto;sans-serif" w:hAnsi="Roboto;sans-serif"/>
                <w:b w:val="false"/>
                <w:color w:val="01024A"/>
                <w:sz w:val="18"/>
              </w:rPr>
              <w:t>II</w:t>
            </w:r>
          </w:p>
        </w:tc>
        <w:tc>
          <w:tcPr>
            <w:tcW w:w="1568" w:type="dxa"/>
            <w:gridSpan w:val="3"/>
            <w:tcBorders>
              <w:left w:val="single" w:sz="4" w:space="0" w:color="96D0FF"/>
            </w:tcBorders>
            <w:shd w:fill="ECF8FE" w:val="clear"/>
            <w:tcMar>
              <w:top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01024A"/>
                <w:sz w:val="18"/>
              </w:rPr>
              <w:t>Age:</w:t>
            </w:r>
            <w:r>
              <w:rPr>
                <w:color w:val="01024A"/>
              </w:rPr>
              <w:t xml:space="preserve"> </w:t>
            </w:r>
            <w:r>
              <w:rPr>
                <w:rFonts w:ascii="Roboto;sans-serif" w:hAnsi="Roboto;sans-serif"/>
                <w:b w:val="false"/>
                <w:color w:val="01024A"/>
                <w:sz w:val="18"/>
              </w:rPr>
              <w:t>59</w:t>
            </w:r>
          </w:p>
        </w:tc>
        <w:tc>
          <w:tcPr>
            <w:tcW w:w="160" w:type="dxa"/>
            <w:tcBorders/>
          </w:tcPr>
          <w:p>
            <w:pPr>
              <w:pStyle w:val="TableContents"/>
              <w:bidi w:val="0"/>
              <w:spacing w:before="0" w:after="283"/>
              <w:jc w:val="left"/>
              <w:rPr>
                <w:sz w:val="4"/>
                <w:szCs w:val="4"/>
              </w:rPr>
            </w:pPr>
            <w:r>
              <w:rPr>
                <w:sz w:val="4"/>
                <w:szCs w:val="4"/>
              </w:rPr>
            </w:r>
          </w:p>
        </w:tc>
      </w:tr>
      <w:tr>
        <w:trPr/>
        <w:tc>
          <w:tcPr>
            <w:tcW w:w="3089"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14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089"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089"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629" w:type="dxa"/>
            <w:gridSpan w:val="9"/>
            <w:vMerge w:val="restart"/>
            <w:tcBorders/>
            <w:tcMar>
              <w:top w:w="0" w:type="dxa"/>
              <w:left w:w="0" w:type="dxa"/>
              <w:bottom w:w="0" w:type="dxa"/>
              <w:right w:w="0" w:type="dxa"/>
            </w:tcMar>
            <w:vAlign w:val="center"/>
          </w:tcPr>
          <w:p>
            <w:pPr>
              <w:pStyle w:val="TableContents"/>
              <w:bidi w:val="0"/>
              <w:spacing w:lineRule="auto" w:line="312" w:before="0" w:after="60"/>
              <w:jc w:val="left"/>
              <w:rPr>
                <w:rFonts w:ascii="Roboto;sans-serif" w:hAnsi="Roboto;sans-serif"/>
                <w:b/>
                <w:color w:val="1946C8"/>
                <w:sz w:val="18"/>
              </w:rPr>
            </w:pPr>
            <w:r>
              <w:rPr>
                <w:rFonts w:ascii="Roboto;sans-serif" w:hAnsi="Roboto;sans-serif"/>
                <w:b/>
                <w:color w:val="1946C8"/>
                <w:sz w:val="18"/>
              </w:rPr>
              <w:t>Committee Memberships</w:t>
            </w:r>
          </w:p>
          <w:p>
            <w:pPr>
              <w:pStyle w:val="TableContents"/>
              <w:bidi w:val="0"/>
              <w:spacing w:lineRule="auto" w:line="288" w:before="0" w:after="180"/>
              <w:ind w:left="0" w:right="0" w:hanging="216"/>
              <w:jc w:val="left"/>
              <w:rPr/>
            </w:pPr>
            <w:r>
              <w:rPr>
                <w:color w:val="01024A"/>
              </w:rPr>
              <w:t>•</w:t>
            </w:r>
            <w:r>
              <w:rPr>
                <w:rFonts w:ascii="Roboto;sans-serif" w:hAnsi="Roboto;sans-serif"/>
                <w:b w:val="false"/>
                <w:color w:val="01024A"/>
                <w:sz w:val="16"/>
              </w:rPr>
              <w:t>Nominating &amp; Governance since June 2025</w:t>
            </w:r>
          </w:p>
          <w:p>
            <w:pPr>
              <w:pStyle w:val="TableContents"/>
              <w:bidi w:val="0"/>
              <w:spacing w:lineRule="auto" w:line="312" w:before="0" w:after="60"/>
              <w:jc w:val="left"/>
              <w:rPr>
                <w:rFonts w:ascii="Roboto;sans-serif" w:hAnsi="Roboto;sans-serif"/>
                <w:b/>
                <w:color w:val="1946C8"/>
                <w:sz w:val="18"/>
              </w:rPr>
            </w:pPr>
            <w:r>
              <w:rPr>
                <w:rFonts w:ascii="Roboto;sans-serif" w:hAnsi="Roboto;sans-serif"/>
                <w:b/>
                <w:color w:val="1946C8"/>
                <w:sz w:val="18"/>
              </w:rPr>
              <w:t>Experience and Qualifications</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Alphabet: </w:t>
            </w:r>
            <w:r>
              <w:rPr>
                <w:rFonts w:ascii="Roboto;sans-serif" w:hAnsi="Roboto;sans-serif"/>
                <w:b w:val="false"/>
                <w:color w:val="01024A"/>
                <w:sz w:val="16"/>
              </w:rPr>
              <w:t>Global Executive - Vice President, Google Cloud Supply Chain and Operations since March 2023; Vice President, Google Product, Technology Strategy and Global Server Operations (February 2021 - April 2023)</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Sam’s Club: </w:t>
            </w:r>
            <w:r>
              <w:rPr>
                <w:rFonts w:ascii="Roboto;sans-serif" w:hAnsi="Roboto;sans-serif"/>
                <w:b w:val="false"/>
                <w:color w:val="01024A"/>
                <w:sz w:val="16"/>
              </w:rPr>
              <w:t>Senior Vice President, Sam's Club Chief Strategy and Supply Chain Officer (March 2020 - February 2021); Senior Vice President Supply Chain Flow (February 2019 - February 2020)</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Walmart: </w:t>
            </w:r>
            <w:r>
              <w:rPr>
                <w:rFonts w:ascii="Roboto;sans-serif" w:hAnsi="Roboto;sans-serif"/>
                <w:b w:val="false"/>
                <w:color w:val="01024A"/>
                <w:sz w:val="16"/>
              </w:rPr>
              <w:t>Vice President, Supply Chain (August 2018 - January 2019)</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Voyant Beauty: </w:t>
            </w:r>
            <w:r>
              <w:rPr>
                <w:rFonts w:ascii="Roboto;sans-serif" w:hAnsi="Roboto;sans-serif"/>
                <w:b w:val="false"/>
                <w:color w:val="01024A"/>
                <w:sz w:val="16"/>
              </w:rPr>
              <w:t>Chief Operating Officer (August 2017 - August 2018)</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Procter &amp; Gamble: </w:t>
            </w:r>
            <w:r>
              <w:rPr>
                <w:rFonts w:ascii="Roboto;sans-serif" w:hAnsi="Roboto;sans-serif"/>
                <w:b w:val="false"/>
                <w:color w:val="01024A"/>
                <w:sz w:val="16"/>
              </w:rPr>
              <w:t>Senior leadership positions including Senior Vice President - Product Supply Global Health Care (December 2016 - August 2017)</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Bachelor of Science in Electrical Engineering: </w:t>
            </w:r>
            <w:r>
              <w:rPr>
                <w:rFonts w:ascii="Roboto;sans-serif" w:hAnsi="Roboto;sans-serif"/>
                <w:b w:val="false"/>
                <w:color w:val="01024A"/>
                <w:sz w:val="16"/>
              </w:rPr>
              <w:t xml:space="preserve">Southern University </w:t>
            </w:r>
          </w:p>
          <w:p>
            <w:pPr>
              <w:pStyle w:val="TableContents"/>
              <w:bidi w:val="0"/>
              <w:spacing w:lineRule="auto" w:line="288" w:before="0" w:after="0"/>
              <w:ind w:left="0" w:right="0" w:hanging="216"/>
              <w:jc w:val="left"/>
              <w:rPr/>
            </w:pPr>
            <w:r>
              <w:rPr>
                <w:color w:val="01024A"/>
              </w:rPr>
              <w:t>•</w:t>
            </w:r>
            <w:r>
              <w:rPr>
                <w:rFonts w:ascii="Roboto;sans-serif" w:hAnsi="Roboto;sans-serif"/>
                <w:b/>
                <w:color w:val="01024A"/>
                <w:sz w:val="16"/>
              </w:rPr>
              <w:t xml:space="preserve">Master of Business Administration: </w:t>
            </w:r>
            <w:r>
              <w:rPr>
                <w:rFonts w:ascii="Roboto;sans-serif" w:hAnsi="Roboto;sans-serif"/>
                <w:b w:val="false"/>
                <w:color w:val="01024A"/>
                <w:sz w:val="16"/>
              </w:rPr>
              <w:t xml:space="preserve">Florida Institute of Technology </w:t>
            </w:r>
          </w:p>
          <w:p>
            <w:pPr>
              <w:pStyle w:val="TableContents"/>
              <w:bidi w:val="0"/>
              <w:spacing w:lineRule="auto" w:line="312" w:before="180" w:after="60"/>
              <w:jc w:val="left"/>
              <w:rPr>
                <w:rFonts w:ascii="Roboto;sans-serif" w:hAnsi="Roboto;sans-serif"/>
                <w:b/>
                <w:color w:val="1946C8"/>
                <w:sz w:val="18"/>
              </w:rPr>
            </w:pPr>
            <w:r>
              <w:rPr>
                <w:rFonts w:ascii="Roboto;sans-serif" w:hAnsi="Roboto;sans-serif"/>
                <w:b/>
                <w:color w:val="1946C8"/>
                <w:sz w:val="18"/>
              </w:rPr>
              <w:t>Contributions to the Board</w:t>
            </w:r>
          </w:p>
          <w:p>
            <w:pPr>
              <w:pStyle w:val="TableContents"/>
              <w:bidi w:val="0"/>
              <w:spacing w:lineRule="auto" w:line="288" w:before="0" w:after="0"/>
              <w:jc w:val="left"/>
              <w:rPr>
                <w:rFonts w:ascii="Roboto;sans-serif" w:hAnsi="Roboto;sans-serif"/>
                <w:b w:val="false"/>
                <w:color w:val="01024A"/>
                <w:sz w:val="16"/>
              </w:rPr>
            </w:pPr>
            <w:r>
              <w:rPr>
                <w:rFonts w:ascii="Roboto;sans-serif" w:hAnsi="Roboto;sans-serif"/>
                <w:b w:val="false"/>
                <w:color w:val="01024A"/>
                <w:sz w:val="16"/>
              </w:rPr>
              <w:t>Mrs. Picou has over 30 years of supply chain, logistics, strategic planning, operations, digital, technology, and engineering experience at large technology, retail and manufacturing companies, which the Board values as we leverage and scale our supply chain to enable industry-leading growth and drive growth through omnichannel expansion, increasing the productivity of existing distribution centers and technology, and building the best team in retail.</w:t>
            </w:r>
          </w:p>
        </w:tc>
        <w:tc>
          <w:tcPr>
            <w:tcW w:w="160" w:type="dxa"/>
            <w:tcBorders/>
          </w:tcPr>
          <w:p>
            <w:pPr>
              <w:pStyle w:val="TableContents"/>
              <w:bidi w:val="0"/>
              <w:spacing w:before="0" w:after="283"/>
              <w:jc w:val="left"/>
              <w:rPr>
                <w:sz w:val="4"/>
                <w:szCs w:val="4"/>
              </w:rPr>
            </w:pPr>
            <w:r>
              <w:rPr>
                <w:sz w:val="4"/>
                <w:szCs w:val="4"/>
              </w:rPr>
            </w:r>
          </w:p>
        </w:tc>
      </w:tr>
      <w:tr>
        <w:trPr/>
        <w:tc>
          <w:tcPr>
            <w:tcW w:w="3089" w:type="dxa"/>
            <w:gridSpan w:val="15"/>
            <w:vMerge w:val="continue"/>
            <w:tcBorders/>
            <w:shd w:fill="ECF8FE"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629" w:type="dxa"/>
            <w:gridSpan w:val="9"/>
            <w:vMerge w:val="continue"/>
            <w:tcBorders/>
            <w:tcMar>
              <w:top w:w="0" w:type="dxa"/>
              <w:left w:w="0" w:type="dxa"/>
              <w:bottom w:w="0" w:type="dxa"/>
              <w:right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629" w:type="dxa"/>
            <w:gridSpan w:val="9"/>
            <w:vMerge w:val="continue"/>
            <w:tcBorders/>
            <w:tcMar>
              <w:top w:w="0" w:type="dxa"/>
              <w:left w:w="0" w:type="dxa"/>
              <w:bottom w:w="0" w:type="dxa"/>
              <w:right w:w="0" w:type="dxa"/>
            </w:tcMar>
            <w:vAlign w:val="center"/>
          </w:tcPr>
          <w:p>
            <w:pPr>
              <w:pStyle w:val="Normal"/>
              <w:bidi w:val="0"/>
              <w:jc w:val="left"/>
              <w:rPr/>
            </w:pPr>
            <w:r>
              <w:rPr/>
            </w:r>
          </w:p>
        </w:tc>
        <w:tc>
          <w:tcPr>
            <w:tcW w:w="160" w:type="dxa"/>
            <w:tcBorders/>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vMerge w:val="restart"/>
            <w:tcBorders/>
            <w:shd w:fill="E81111" w:val="clear"/>
            <w:tcMar>
              <w:top w:w="0" w:type="dxa"/>
              <w:left w:w="0" w:type="dxa"/>
              <w:bottom w:w="0" w:type="dxa"/>
              <w:right w:w="0" w:type="dxa"/>
            </w:tcMar>
            <w:vAlign w:val="center"/>
          </w:tcPr>
          <w:p>
            <w:pPr>
              <w:pStyle w:val="TableContents"/>
              <w:bidi w:val="0"/>
              <w:spacing w:lineRule="auto" w:line="288" w:before="60" w:after="60"/>
              <w:jc w:val="center"/>
              <w:rPr>
                <w:rFonts w:ascii="Roboto;sans-serif" w:hAnsi="Roboto;sans-serif"/>
                <w:b/>
                <w:color w:val="FFFFFF"/>
                <w:sz w:val="18"/>
              </w:rPr>
            </w:pPr>
            <w:r>
              <w:rPr>
                <w:rFonts w:ascii="Roboto;sans-serif" w:hAnsi="Roboto;sans-serif"/>
                <w:b/>
                <w:color w:val="FFFFFF"/>
                <w:sz w:val="18"/>
              </w:rPr>
              <w:t>Key Skills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629" w:type="dxa"/>
            <w:gridSpan w:val="9"/>
            <w:vMerge w:val="continue"/>
            <w:tcBorders/>
            <w:tcMar>
              <w:top w:w="0" w:type="dxa"/>
              <w:left w:w="0" w:type="dxa"/>
              <w:bottom w:w="0" w:type="dxa"/>
              <w:right w:w="0" w:type="dxa"/>
            </w:tcMar>
            <w:vAlign w:val="center"/>
          </w:tcPr>
          <w:p>
            <w:pPr>
              <w:pStyle w:val="Normal"/>
              <w:bidi w:val="0"/>
              <w:jc w:val="left"/>
              <w:rPr/>
            </w:pPr>
            <w:r>
              <w:rPr/>
            </w:r>
          </w:p>
        </w:tc>
        <w:tc>
          <w:tcPr>
            <w:tcW w:w="160" w:type="dxa"/>
            <w:tcBorders/>
          </w:tcPr>
          <w:p>
            <w:pPr>
              <w:pStyle w:val="TableContents"/>
              <w:bidi w:val="0"/>
              <w:spacing w:before="0" w:after="283"/>
              <w:jc w:val="left"/>
              <w:rPr>
                <w:sz w:val="4"/>
                <w:szCs w:val="4"/>
              </w:rPr>
            </w:pPr>
            <w:r>
              <w:rPr>
                <w:sz w:val="4"/>
                <w:szCs w:val="4"/>
              </w:rPr>
            </w:r>
          </w:p>
        </w:tc>
      </w:tr>
      <w:tr>
        <w:trPr/>
        <w:tc>
          <w:tcPr>
            <w:tcW w:w="517" w:type="dxa"/>
            <w:gridSpan w:val="3"/>
            <w:tcBorders>
              <w:top w:val="single" w:sz="8" w:space="0" w:color="1946C8"/>
              <w:left w:val="single" w:sz="8" w:space="0" w:color="1946C8"/>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vMerge w:val="continue"/>
            <w:tcBorders/>
            <w:shd w:fill="E81111" w:val="clear"/>
            <w:tcMar>
              <w:top w:w="0" w:type="dxa"/>
              <w:left w:w="0" w:type="dxa"/>
              <w:bottom w:w="0" w:type="dxa"/>
              <w:right w:w="0" w:type="dxa"/>
            </w:tcMar>
            <w:vAlign w:val="center"/>
          </w:tcPr>
          <w:p>
            <w:pPr>
              <w:pStyle w:val="Normal"/>
              <w:bidi w:val="0"/>
              <w:jc w:val="left"/>
              <w:rPr/>
            </w:pPr>
            <w:r>
              <w:rPr/>
            </w:r>
          </w:p>
        </w:tc>
        <w:tc>
          <w:tcPr>
            <w:tcW w:w="525"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op w:val="single" w:sz="8" w:space="0" w:color="1946C8"/>
              <w:right w:val="single" w:sz="8" w:space="0" w:color="1946C8"/>
            </w:tcBorders>
            <w:tcMar>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629" w:type="dxa"/>
            <w:gridSpan w:val="9"/>
            <w:vMerge w:val="continue"/>
            <w:tcBorders/>
            <w:tcMar>
              <w:top w:w="0" w:type="dxa"/>
              <w:left w:w="0" w:type="dxa"/>
              <w:bottom w:w="0" w:type="dxa"/>
              <w:right w:w="0" w:type="dxa"/>
            </w:tcMar>
            <w:vAlign w:val="center"/>
          </w:tcPr>
          <w:p>
            <w:pPr>
              <w:pStyle w:val="Normal"/>
              <w:bidi w:val="0"/>
              <w:jc w:val="left"/>
              <w:rPr/>
            </w:pPr>
            <w:r>
              <w:rPr/>
            </w:r>
          </w:p>
        </w:tc>
        <w:tc>
          <w:tcPr>
            <w:tcW w:w="160" w:type="dxa"/>
            <w:tcBorders/>
          </w:tcPr>
          <w:p>
            <w:pPr>
              <w:pStyle w:val="TableContents"/>
              <w:bidi w:val="0"/>
              <w:spacing w:before="0" w:after="283"/>
              <w:jc w:val="left"/>
              <w:rPr>
                <w:sz w:val="4"/>
                <w:szCs w:val="4"/>
              </w:rPr>
            </w:pPr>
            <w:r>
              <w:rPr>
                <w:sz w:val="4"/>
                <w:szCs w:val="4"/>
              </w:rPr>
            </w:r>
          </w:p>
        </w:tc>
      </w:tr>
      <w:tr>
        <w:trPr/>
        <w:tc>
          <w:tcPr>
            <w:tcW w:w="51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right w:val="single" w:sz="8"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629" w:type="dxa"/>
            <w:gridSpan w:val="9"/>
            <w:vMerge w:val="continue"/>
            <w:tcBorders/>
            <w:tcMar>
              <w:top w:w="0" w:type="dxa"/>
              <w:left w:w="0" w:type="dxa"/>
              <w:bottom w:w="0" w:type="dxa"/>
              <w:right w:w="0" w:type="dxa"/>
            </w:tcMar>
            <w:vAlign w:val="center"/>
          </w:tcPr>
          <w:p>
            <w:pPr>
              <w:pStyle w:val="Normal"/>
              <w:bidi w:val="0"/>
              <w:jc w:val="left"/>
              <w:rPr/>
            </w:pPr>
            <w:r>
              <w:rPr/>
            </w:r>
          </w:p>
        </w:tc>
        <w:tc>
          <w:tcPr>
            <w:tcW w:w="160" w:type="dxa"/>
            <w:tcBorders/>
          </w:tcPr>
          <w:p>
            <w:pPr>
              <w:pStyle w:val="TableContents"/>
              <w:bidi w:val="0"/>
              <w:spacing w:before="0" w:after="283"/>
              <w:jc w:val="left"/>
              <w:rPr>
                <w:sz w:val="4"/>
                <w:szCs w:val="4"/>
              </w:rPr>
            </w:pPr>
            <w:r>
              <w:rPr>
                <w:sz w:val="4"/>
                <w:szCs w:val="4"/>
              </w:rPr>
            </w:r>
          </w:p>
        </w:tc>
      </w:tr>
      <w:tr>
        <w:trPr/>
        <w:tc>
          <w:tcPr>
            <w:tcW w:w="51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226"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72" descr=""/>
                          <pic:cNvPicPr>
                            <a:picLocks noChangeAspect="1" noChangeArrowheads="1"/>
                          </pic:cNvPicPr>
                        </pic:nvPicPr>
                        <pic:blipFill>
                          <a:blip r:embed="rId198"/>
                          <a:stretch>
                            <a:fillRect/>
                          </a:stretch>
                        </pic:blipFill>
                        <pic:spPr bwMode="auto">
                          <a:xfrm>
                            <a:off x="0" y="0"/>
                            <a:ext cx="228600" cy="228600"/>
                          </a:xfrm>
                          <a:prstGeom prst="rect">
                            <a:avLst/>
                          </a:prstGeom>
                        </pic:spPr>
                      </pic:pic>
                    </a:graphicData>
                  </a:graphic>
                </wp:inline>
              </w:drawing>
            </w:r>
            <w:bookmarkStart w:id="196" w:name="i-172"/>
            <w:bookmarkEnd w:id="196"/>
          </w:p>
        </w:tc>
        <w:tc>
          <w:tcPr>
            <w:tcW w:w="1578" w:type="dxa"/>
            <w:gridSpan w:val="6"/>
            <w:tcBorders>
              <w:bottom w:val="single" w:sz="4" w:space="0" w:color="96D0FF"/>
            </w:tcBorders>
            <w:tcMar>
              <w:top w:w="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shd w:fill="FFFFFF" w:val="clear"/>
              </w:rPr>
            </w:pPr>
            <w:r>
              <w:rPr>
                <w:rFonts w:ascii="Roboto;sans-serif" w:hAnsi="Roboto;sans-serif"/>
                <w:b/>
                <w:color w:val="1946C8"/>
                <w:sz w:val="16"/>
                <w:shd w:fill="FFFFFF" w:val="clear"/>
              </w:rPr>
              <w:t>Process Improvement</w:t>
            </w:r>
          </w:p>
        </w:tc>
        <w:tc>
          <w:tcPr>
            <w:tcW w:w="499" w:type="dxa"/>
            <w:gridSpan w:val="3"/>
            <w:tcBorders>
              <w:right w:val="single" w:sz="8"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629" w:type="dxa"/>
            <w:gridSpan w:val="9"/>
            <w:vMerge w:val="continue"/>
            <w:tcBorders/>
            <w:tcMar>
              <w:top w:w="0" w:type="dxa"/>
              <w:left w:w="0" w:type="dxa"/>
              <w:bottom w:w="0" w:type="dxa"/>
              <w:right w:w="0" w:type="dxa"/>
            </w:tcMar>
            <w:vAlign w:val="center"/>
          </w:tcPr>
          <w:p>
            <w:pPr>
              <w:pStyle w:val="Normal"/>
              <w:bidi w:val="0"/>
              <w:jc w:val="left"/>
              <w:rPr/>
            </w:pPr>
            <w:r>
              <w:rPr/>
            </w:r>
          </w:p>
        </w:tc>
        <w:tc>
          <w:tcPr>
            <w:tcW w:w="160" w:type="dxa"/>
            <w:tcBorders/>
          </w:tcPr>
          <w:p>
            <w:pPr>
              <w:pStyle w:val="TableContents"/>
              <w:bidi w:val="0"/>
              <w:spacing w:before="0" w:after="283"/>
              <w:jc w:val="left"/>
              <w:rPr>
                <w:sz w:val="4"/>
                <w:szCs w:val="4"/>
              </w:rPr>
            </w:pPr>
            <w:r>
              <w:rPr>
                <w:sz w:val="4"/>
                <w:szCs w:val="4"/>
              </w:rPr>
            </w:r>
          </w:p>
        </w:tc>
      </w:tr>
      <w:tr>
        <w:trPr/>
        <w:tc>
          <w:tcPr>
            <w:tcW w:w="51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227"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73" descr=""/>
                          <pic:cNvPicPr>
                            <a:picLocks noChangeAspect="1" noChangeArrowheads="1"/>
                          </pic:cNvPicPr>
                        </pic:nvPicPr>
                        <pic:blipFill>
                          <a:blip r:embed="rId199"/>
                          <a:stretch>
                            <a:fillRect/>
                          </a:stretch>
                        </pic:blipFill>
                        <pic:spPr bwMode="auto">
                          <a:xfrm>
                            <a:off x="0" y="0"/>
                            <a:ext cx="228600" cy="228600"/>
                          </a:xfrm>
                          <a:prstGeom prst="rect">
                            <a:avLst/>
                          </a:prstGeom>
                        </pic:spPr>
                      </pic:pic>
                    </a:graphicData>
                  </a:graphic>
                </wp:inline>
              </w:drawing>
            </w:r>
            <w:bookmarkStart w:id="197" w:name="i-173"/>
            <w:bookmarkEnd w:id="197"/>
          </w:p>
        </w:tc>
        <w:tc>
          <w:tcPr>
            <w:tcW w:w="1578"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shd w:fill="FFFFFF" w:val="clear"/>
              </w:rPr>
            </w:pPr>
            <w:r>
              <w:rPr>
                <w:rFonts w:ascii="Roboto;sans-serif" w:hAnsi="Roboto;sans-serif"/>
                <w:b/>
                <w:color w:val="1946C8"/>
                <w:sz w:val="16"/>
                <w:shd w:fill="FFFFFF" w:val="clear"/>
              </w:rPr>
              <w:t>Sourcing/Manufacturing</w:t>
            </w:r>
          </w:p>
        </w:tc>
        <w:tc>
          <w:tcPr>
            <w:tcW w:w="499" w:type="dxa"/>
            <w:gridSpan w:val="3"/>
            <w:tcBorders>
              <w:right w:val="single" w:sz="8"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629" w:type="dxa"/>
            <w:gridSpan w:val="9"/>
            <w:vMerge w:val="continue"/>
            <w:tcBorders/>
            <w:tcMar>
              <w:top w:w="0" w:type="dxa"/>
              <w:left w:w="0" w:type="dxa"/>
              <w:bottom w:w="0" w:type="dxa"/>
              <w:right w:w="0" w:type="dxa"/>
            </w:tcMar>
            <w:vAlign w:val="center"/>
          </w:tcPr>
          <w:p>
            <w:pPr>
              <w:pStyle w:val="Normal"/>
              <w:bidi w:val="0"/>
              <w:jc w:val="left"/>
              <w:rPr/>
            </w:pPr>
            <w:r>
              <w:rPr/>
            </w:r>
          </w:p>
        </w:tc>
        <w:tc>
          <w:tcPr>
            <w:tcW w:w="160" w:type="dxa"/>
            <w:tcBorders/>
          </w:tcPr>
          <w:p>
            <w:pPr>
              <w:pStyle w:val="TableContents"/>
              <w:bidi w:val="0"/>
              <w:spacing w:before="0" w:after="283"/>
              <w:jc w:val="left"/>
              <w:rPr>
                <w:sz w:val="4"/>
                <w:szCs w:val="4"/>
              </w:rPr>
            </w:pPr>
            <w:r>
              <w:rPr>
                <w:sz w:val="4"/>
                <w:szCs w:val="4"/>
              </w:rPr>
            </w:r>
          </w:p>
        </w:tc>
      </w:tr>
      <w:tr>
        <w:trPr/>
        <w:tc>
          <w:tcPr>
            <w:tcW w:w="51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228"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74" descr=""/>
                          <pic:cNvPicPr>
                            <a:picLocks noChangeAspect="1" noChangeArrowheads="1"/>
                          </pic:cNvPicPr>
                        </pic:nvPicPr>
                        <pic:blipFill>
                          <a:blip r:embed="rId200"/>
                          <a:stretch>
                            <a:fillRect/>
                          </a:stretch>
                        </pic:blipFill>
                        <pic:spPr bwMode="auto">
                          <a:xfrm>
                            <a:off x="0" y="0"/>
                            <a:ext cx="228600" cy="228600"/>
                          </a:xfrm>
                          <a:prstGeom prst="rect">
                            <a:avLst/>
                          </a:prstGeom>
                        </pic:spPr>
                      </pic:pic>
                    </a:graphicData>
                  </a:graphic>
                </wp:inline>
              </w:drawing>
            </w:r>
            <w:bookmarkStart w:id="198" w:name="i-174"/>
            <w:bookmarkEnd w:id="198"/>
          </w:p>
        </w:tc>
        <w:tc>
          <w:tcPr>
            <w:tcW w:w="1578"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shd w:fill="FFFFFF" w:val="clear"/>
              </w:rPr>
            </w:pPr>
            <w:r>
              <w:rPr>
                <w:rFonts w:ascii="Roboto;sans-serif" w:hAnsi="Roboto;sans-serif"/>
                <w:b/>
                <w:color w:val="1946C8"/>
                <w:sz w:val="16"/>
                <w:shd w:fill="FFFFFF" w:val="clear"/>
              </w:rPr>
              <w:t>Store Operations</w:t>
            </w:r>
          </w:p>
        </w:tc>
        <w:tc>
          <w:tcPr>
            <w:tcW w:w="499" w:type="dxa"/>
            <w:gridSpan w:val="3"/>
            <w:tcBorders>
              <w:right w:val="single" w:sz="8"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629" w:type="dxa"/>
            <w:gridSpan w:val="9"/>
            <w:vMerge w:val="continue"/>
            <w:tcBorders/>
            <w:tcMar>
              <w:top w:w="0" w:type="dxa"/>
              <w:left w:w="0" w:type="dxa"/>
              <w:bottom w:w="0" w:type="dxa"/>
              <w:right w:w="0" w:type="dxa"/>
            </w:tcMar>
            <w:vAlign w:val="center"/>
          </w:tcPr>
          <w:p>
            <w:pPr>
              <w:pStyle w:val="Normal"/>
              <w:bidi w:val="0"/>
              <w:jc w:val="left"/>
              <w:rPr/>
            </w:pPr>
            <w:r>
              <w:rPr/>
            </w:r>
          </w:p>
        </w:tc>
        <w:tc>
          <w:tcPr>
            <w:tcW w:w="160" w:type="dxa"/>
            <w:tcBorders/>
          </w:tcPr>
          <w:p>
            <w:pPr>
              <w:pStyle w:val="TableContents"/>
              <w:bidi w:val="0"/>
              <w:spacing w:before="0" w:after="283"/>
              <w:jc w:val="left"/>
              <w:rPr>
                <w:sz w:val="4"/>
                <w:szCs w:val="4"/>
              </w:rPr>
            </w:pPr>
            <w:r>
              <w:rPr>
                <w:sz w:val="4"/>
                <w:szCs w:val="4"/>
              </w:rPr>
            </w:r>
          </w:p>
        </w:tc>
      </w:tr>
      <w:tr>
        <w:trPr/>
        <w:tc>
          <w:tcPr>
            <w:tcW w:w="51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229"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75" descr=""/>
                          <pic:cNvPicPr>
                            <a:picLocks noChangeAspect="1" noChangeArrowheads="1"/>
                          </pic:cNvPicPr>
                        </pic:nvPicPr>
                        <pic:blipFill>
                          <a:blip r:embed="rId201"/>
                          <a:stretch>
                            <a:fillRect/>
                          </a:stretch>
                        </pic:blipFill>
                        <pic:spPr bwMode="auto">
                          <a:xfrm>
                            <a:off x="0" y="0"/>
                            <a:ext cx="228600" cy="228600"/>
                          </a:xfrm>
                          <a:prstGeom prst="rect">
                            <a:avLst/>
                          </a:prstGeom>
                        </pic:spPr>
                      </pic:pic>
                    </a:graphicData>
                  </a:graphic>
                </wp:inline>
              </w:drawing>
            </w:r>
            <w:bookmarkStart w:id="199" w:name="i-175"/>
            <w:bookmarkEnd w:id="199"/>
          </w:p>
        </w:tc>
        <w:tc>
          <w:tcPr>
            <w:tcW w:w="1578" w:type="dxa"/>
            <w:gridSpan w:val="6"/>
            <w:tcBorders>
              <w:top w:val="single" w:sz="4" w:space="0" w:color="96D0FF"/>
              <w:bottom w:val="single" w:sz="4" w:space="0" w:color="96D0FF"/>
            </w:tcBorders>
            <w:tcMar>
              <w:top w:w="30" w:type="dxa"/>
              <w:left w:w="0" w:type="dxa"/>
              <w:bottom w:w="30" w:type="dxa"/>
              <w:right w:w="0" w:type="dxa"/>
            </w:tcMar>
            <w:vAlign w:val="center"/>
          </w:tcPr>
          <w:p>
            <w:pPr>
              <w:pStyle w:val="TableContents"/>
              <w:bidi w:val="0"/>
              <w:spacing w:lineRule="auto" w:line="288" w:before="0" w:after="0"/>
              <w:jc w:val="left"/>
              <w:rPr>
                <w:rFonts w:ascii="Roboto;sans-serif" w:hAnsi="Roboto;sans-serif"/>
                <w:b/>
                <w:color w:val="1946C8"/>
                <w:sz w:val="16"/>
                <w:shd w:fill="FFFFFF" w:val="clear"/>
              </w:rPr>
            </w:pPr>
            <w:r>
              <w:rPr>
                <w:rFonts w:ascii="Roboto;sans-serif" w:hAnsi="Roboto;sans-serif"/>
                <w:b/>
                <w:color w:val="1946C8"/>
                <w:sz w:val="16"/>
                <w:shd w:fill="FFFFFF" w:val="clear"/>
              </w:rPr>
              <w:t>Strategic Planning</w:t>
            </w:r>
          </w:p>
        </w:tc>
        <w:tc>
          <w:tcPr>
            <w:tcW w:w="499" w:type="dxa"/>
            <w:gridSpan w:val="3"/>
            <w:tcBorders>
              <w:right w:val="single" w:sz="8"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629" w:type="dxa"/>
            <w:gridSpan w:val="9"/>
            <w:vMerge w:val="continue"/>
            <w:tcBorders/>
            <w:tcMar>
              <w:top w:w="0" w:type="dxa"/>
              <w:left w:w="0" w:type="dxa"/>
              <w:bottom w:w="0" w:type="dxa"/>
              <w:right w:w="0" w:type="dxa"/>
            </w:tcMar>
            <w:vAlign w:val="center"/>
          </w:tcPr>
          <w:p>
            <w:pPr>
              <w:pStyle w:val="Normal"/>
              <w:bidi w:val="0"/>
              <w:jc w:val="left"/>
              <w:rPr/>
            </w:pPr>
            <w:r>
              <w:rPr/>
            </w:r>
          </w:p>
        </w:tc>
        <w:tc>
          <w:tcPr>
            <w:tcW w:w="160" w:type="dxa"/>
            <w:tcBorders/>
          </w:tcPr>
          <w:p>
            <w:pPr>
              <w:pStyle w:val="TableContents"/>
              <w:bidi w:val="0"/>
              <w:spacing w:before="0" w:after="283"/>
              <w:jc w:val="left"/>
              <w:rPr>
                <w:sz w:val="4"/>
                <w:szCs w:val="4"/>
              </w:rPr>
            </w:pPr>
            <w:r>
              <w:rPr>
                <w:sz w:val="4"/>
                <w:szCs w:val="4"/>
              </w:rPr>
            </w:r>
          </w:p>
        </w:tc>
      </w:tr>
      <w:tr>
        <w:trPr/>
        <w:tc>
          <w:tcPr>
            <w:tcW w:w="517"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4" w:space="0" w:color="96D0FF"/>
            </w:tcBorders>
            <w:tcMar>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230"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76" descr=""/>
                          <pic:cNvPicPr>
                            <a:picLocks noChangeAspect="1" noChangeArrowheads="1"/>
                          </pic:cNvPicPr>
                        </pic:nvPicPr>
                        <pic:blipFill>
                          <a:blip r:embed="rId202"/>
                          <a:stretch>
                            <a:fillRect/>
                          </a:stretch>
                        </pic:blipFill>
                        <pic:spPr bwMode="auto">
                          <a:xfrm>
                            <a:off x="0" y="0"/>
                            <a:ext cx="228600" cy="228600"/>
                          </a:xfrm>
                          <a:prstGeom prst="rect">
                            <a:avLst/>
                          </a:prstGeom>
                        </pic:spPr>
                      </pic:pic>
                    </a:graphicData>
                  </a:graphic>
                </wp:inline>
              </w:drawing>
            </w:r>
            <w:bookmarkStart w:id="200" w:name="i-176"/>
            <w:bookmarkEnd w:id="200"/>
          </w:p>
        </w:tc>
        <w:tc>
          <w:tcPr>
            <w:tcW w:w="1578" w:type="dxa"/>
            <w:gridSpan w:val="6"/>
            <w:tcBorders>
              <w:top w:val="single" w:sz="4" w:space="0" w:color="96D0FF"/>
            </w:tcBorders>
            <w:tcMar>
              <w:top w:w="3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1946C8"/>
                <w:sz w:val="16"/>
                <w:shd w:fill="FFFFFF" w:val="clear"/>
              </w:rPr>
            </w:pPr>
            <w:r>
              <w:rPr>
                <w:rFonts w:ascii="Roboto;sans-serif" w:hAnsi="Roboto;sans-serif"/>
                <w:b/>
                <w:color w:val="1946C8"/>
                <w:sz w:val="16"/>
                <w:shd w:fill="FFFFFF" w:val="clear"/>
              </w:rPr>
              <w:t>Supply Chain/Logistics</w:t>
            </w:r>
          </w:p>
        </w:tc>
        <w:tc>
          <w:tcPr>
            <w:tcW w:w="499" w:type="dxa"/>
            <w:gridSpan w:val="3"/>
            <w:tcBorders>
              <w:right w:val="single" w:sz="8"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629" w:type="dxa"/>
            <w:gridSpan w:val="9"/>
            <w:vMerge w:val="continue"/>
            <w:tcBorders/>
            <w:tcMar>
              <w:top w:w="0" w:type="dxa"/>
              <w:left w:w="0" w:type="dxa"/>
              <w:bottom w:w="0" w:type="dxa"/>
              <w:right w:w="0" w:type="dxa"/>
            </w:tcMar>
            <w:vAlign w:val="center"/>
          </w:tcPr>
          <w:p>
            <w:pPr>
              <w:pStyle w:val="Normal"/>
              <w:bidi w:val="0"/>
              <w:jc w:val="left"/>
              <w:rPr/>
            </w:pPr>
            <w:r>
              <w:rPr/>
            </w:r>
          </w:p>
        </w:tc>
        <w:tc>
          <w:tcPr>
            <w:tcW w:w="160" w:type="dxa"/>
            <w:tcBorders/>
          </w:tcPr>
          <w:p>
            <w:pPr>
              <w:pStyle w:val="TableContents"/>
              <w:bidi w:val="0"/>
              <w:spacing w:before="0" w:after="283"/>
              <w:jc w:val="left"/>
              <w:rPr>
                <w:sz w:val="4"/>
                <w:szCs w:val="4"/>
              </w:rPr>
            </w:pPr>
            <w:r>
              <w:rPr>
                <w:sz w:val="4"/>
                <w:szCs w:val="4"/>
              </w:rPr>
            </w:r>
          </w:p>
        </w:tc>
      </w:tr>
      <w:tr>
        <w:trPr/>
        <w:tc>
          <w:tcPr>
            <w:tcW w:w="51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629" w:type="dxa"/>
            <w:gridSpan w:val="9"/>
            <w:vMerge w:val="continue"/>
            <w:tcBorders/>
            <w:tcMar>
              <w:top w:w="0" w:type="dxa"/>
              <w:left w:w="0" w:type="dxa"/>
              <w:bottom w:w="0" w:type="dxa"/>
              <w:right w:w="0" w:type="dxa"/>
            </w:tcMar>
            <w:vAlign w:val="center"/>
          </w:tcPr>
          <w:p>
            <w:pPr>
              <w:pStyle w:val="Normal"/>
              <w:bidi w:val="0"/>
              <w:jc w:val="left"/>
              <w:rPr/>
            </w:pPr>
            <w:r>
              <w:rPr/>
            </w:r>
          </w:p>
        </w:tc>
        <w:tc>
          <w:tcPr>
            <w:tcW w:w="160" w:type="dxa"/>
            <w:tcBorders/>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14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629" w:type="dxa"/>
            <w:gridSpan w:val="9"/>
            <w:tcBorders/>
            <w:shd w:fill="ECF8FE"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1946C8"/>
                <w:sz w:val="16"/>
              </w:rPr>
              <w:t xml:space="preserve">The Board selected Mrs. Picou because of her </w:t>
            </w:r>
            <w:r>
              <w:rPr>
                <w:rFonts w:ascii="Roboto;sans-serif" w:hAnsi="Roboto;sans-serif"/>
                <w:b/>
                <w:color w:val="1946C8"/>
                <w:sz w:val="16"/>
              </w:rPr>
              <w:t xml:space="preserve">process improvement, sourcing/manufacturing, store </w:t>
            </w:r>
            <w:r>
              <w:rPr>
                <w:rFonts w:ascii="Helvetica;sans-serif" w:hAnsi="Helvetica;sans-serif"/>
                <w:b/>
                <w:color w:val="1946C8"/>
                <w:sz w:val="16"/>
              </w:rPr>
              <w:t>operations, strategic planning, and supply chain</w:t>
            </w:r>
            <w:r>
              <w:rPr>
                <w:rFonts w:ascii="Roboto;sans-serif" w:hAnsi="Roboto;sans-serif"/>
                <w:b/>
                <w:color w:val="1946C8"/>
                <w:sz w:val="16"/>
              </w:rPr>
              <w:t>/</w:t>
            </w:r>
            <w:r>
              <w:rPr>
                <w:rFonts w:ascii="Helvetica;sans-serif" w:hAnsi="Helvetica;sans-serif"/>
                <w:b/>
                <w:color w:val="1946C8"/>
                <w:sz w:val="16"/>
              </w:rPr>
              <w:t>logistics</w:t>
            </w:r>
            <w:r>
              <w:rPr>
                <w:rFonts w:ascii="Roboto;sans-serif" w:hAnsi="Roboto;sans-serif"/>
                <w:b/>
                <w:color w:val="1946C8"/>
                <w:sz w:val="16"/>
              </w:rPr>
              <w:t xml:space="preserve">, </w:t>
            </w:r>
            <w:r>
              <w:rPr>
                <w:rFonts w:ascii="Helvetica;sans-serif" w:hAnsi="Helvetica;sans-serif"/>
                <w:b/>
                <w:color w:val="1946C8"/>
                <w:sz w:val="16"/>
              </w:rPr>
              <w:t>and engineering skills, and her experience at technology, retail, and manufacturing companies.</w:t>
            </w:r>
          </w:p>
        </w:tc>
        <w:tc>
          <w:tcPr>
            <w:tcW w:w="160" w:type="dxa"/>
            <w:tcBorders/>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146"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63525"/>
                <wp:effectExtent l="0" t="0" r="0" b="0"/>
                <wp:wrapNone/>
                <wp:docPr id="231" name="Frame30"/>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232"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77" descr=""/>
                                          <pic:cNvPicPr>
                                            <a:picLocks noChangeAspect="1" noChangeArrowheads="1"/>
                                          </pic:cNvPicPr>
                                        </pic:nvPicPr>
                                        <pic:blipFill>
                                          <a:blip r:embed="rId203"/>
                                          <a:stretch>
                                            <a:fillRect/>
                                          </a:stretch>
                                        </pic:blipFill>
                                        <pic:spPr bwMode="auto">
                                          <a:xfrm>
                                            <a:off x="0" y="0"/>
                                            <a:ext cx="266700" cy="200025"/>
                                          </a:xfrm>
                                          <a:prstGeom prst="rect">
                                            <a:avLst/>
                                          </a:prstGeom>
                                        </pic:spPr>
                                      </pic:pic>
                                    </a:graphicData>
                                  </a:graphic>
                                </wp:inline>
                              </w:drawing>
                            </w:r>
                            <w:bookmarkStart w:id="201" w:name="i-177"/>
                            <w:bookmarkEnd w:id="201"/>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233"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77" descr=""/>
                                    <pic:cNvPicPr>
                                      <a:picLocks noChangeAspect="1" noChangeArrowheads="1"/>
                                    </pic:cNvPicPr>
                                  </pic:nvPicPr>
                                  <pic:blipFill>
                                    <a:blip r:embed="rId204"/>
                                    <a:stretch>
                                      <a:fillRect/>
                                    </a:stretch>
                                  </pic:blipFill>
                                  <pic:spPr bwMode="auto">
                                    <a:xfrm>
                                      <a:off x="0" y="0"/>
                                      <a:ext cx="266700" cy="200025"/>
                                    </a:xfrm>
                                    <a:prstGeom prst="rect">
                                      <a:avLst/>
                                    </a:prstGeom>
                                  </pic:spPr>
                                </pic:pic>
                              </a:graphicData>
                            </a:graphic>
                          </wp:inline>
                        </w:drawing>
                      </w:r>
                      <w:bookmarkStart w:id="202" w:name="i-177"/>
                      <w:bookmarkEnd w:id="202"/>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25</w:t>
            </w:r>
          </w:p>
        </w:tc>
      </w:tr>
    </w:tbl>
    <w:p>
      <w:pPr>
        <w:pStyle w:val="TextBody"/>
        <w:bidi w:val="0"/>
        <w:spacing w:lineRule="auto" w:line="312" w:before="0" w:after="720"/>
        <w:jc w:val="left"/>
        <w:rPr>
          <w:rFonts w:ascii="Roboto;sans-serif" w:hAnsi="Roboto;sans-serif"/>
          <w:b/>
          <w:color w:val="1946C8"/>
          <w:sz w:val="54"/>
        </w:rPr>
      </w:pPr>
      <w:r>
        <w:rPr>
          <w:rFonts w:ascii="Roboto;sans-serif" w:hAnsi="Roboto;sans-serif"/>
          <w:b/>
          <w:color w:val="1946C8"/>
          <w:sz w:val="54"/>
        </w:rPr>
        <w:t xml:space="preserve">Board Governance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Board Governance Highlights</w:t>
      </w:r>
    </w:p>
    <w:tbl>
      <w:tblPr>
        <w:tblW w:w="10205" w:type="dxa"/>
        <w:jc w:val="left"/>
        <w:tblInd w:w="0" w:type="dxa"/>
        <w:tblLayout w:type="fixed"/>
        <w:tblCellMar>
          <w:top w:w="28" w:type="dxa"/>
          <w:left w:w="28" w:type="dxa"/>
          <w:bottom w:w="28" w:type="dxa"/>
          <w:right w:w="28" w:type="dxa"/>
        </w:tblCellMar>
      </w:tblPr>
      <w:tblGrid>
        <w:gridCol w:w="1045"/>
        <w:gridCol w:w="917"/>
        <w:gridCol w:w="921"/>
        <w:gridCol w:w="109"/>
        <w:gridCol w:w="109"/>
        <w:gridCol w:w="109"/>
        <w:gridCol w:w="123"/>
        <w:gridCol w:w="123"/>
        <w:gridCol w:w="125"/>
        <w:gridCol w:w="2057"/>
        <w:gridCol w:w="1887"/>
        <w:gridCol w:w="2680"/>
      </w:tblGrid>
      <w:tr>
        <w:trPr/>
        <w:tc>
          <w:tcPr>
            <w:tcW w:w="1045"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r>
      <w:tr>
        <w:trPr/>
        <w:tc>
          <w:tcPr>
            <w:tcW w:w="2883"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4"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vMerge w:val="restart"/>
            <w:tcBorders/>
            <w:tcMar>
              <w:top w:w="0" w:type="dxa"/>
              <w:left w:w="0" w:type="dxa"/>
              <w:bottom w:w="0" w:type="dxa"/>
              <w:right w:w="0" w:type="dxa"/>
            </w:tcMar>
            <w:vAlign w:val="center"/>
          </w:tcPr>
          <w:p>
            <w:pPr>
              <w:pStyle w:val="TableContents"/>
              <w:bidi w:val="0"/>
              <w:spacing w:lineRule="atLeast" w:line="240" w:before="0" w:after="0"/>
              <w:jc w:val="left"/>
              <w:rPr>
                <w:rFonts w:ascii="Roboto;sans-serif" w:hAnsi="Roboto;sans-serif"/>
                <w:b/>
                <w:color w:val="000000"/>
                <w:sz w:val="18"/>
              </w:rPr>
            </w:pPr>
            <w:r>
              <w:rPr>
                <w:rFonts w:ascii="Roboto;sans-serif" w:hAnsi="Roboto;sans-serif"/>
                <w:b/>
                <w:color w:val="000000"/>
                <w:sz w:val="18"/>
              </w:rPr>
              <w:t>Board Composition, Governance, and Oversight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34"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78" descr=""/>
                          <pic:cNvPicPr>
                            <a:picLocks noChangeAspect="1" noChangeArrowheads="1"/>
                          </pic:cNvPicPr>
                        </pic:nvPicPr>
                        <pic:blipFill>
                          <a:blip r:embed="rId205"/>
                          <a:stretch>
                            <a:fillRect/>
                          </a:stretch>
                        </pic:blipFill>
                        <pic:spPr bwMode="auto">
                          <a:xfrm>
                            <a:off x="0" y="0"/>
                            <a:ext cx="180975" cy="180975"/>
                          </a:xfrm>
                          <a:prstGeom prst="rect">
                            <a:avLst/>
                          </a:prstGeom>
                        </pic:spPr>
                      </pic:pic>
                    </a:graphicData>
                  </a:graphic>
                </wp:inline>
              </w:drawing>
            </w:r>
            <w:bookmarkStart w:id="203" w:name="i-178"/>
            <w:bookmarkEnd w:id="203"/>
          </w:p>
        </w:tc>
        <w:tc>
          <w:tcPr>
            <w:tcW w:w="6624"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shd w:fill="FFFFFF" w:val="clear"/>
              </w:rPr>
            </w:pPr>
            <w:r>
              <w:rPr>
                <w:rFonts w:ascii="Roboto Light;sans-serif" w:hAnsi="Roboto Light;sans-serif"/>
                <w:b w:val="false"/>
                <w:color w:val="000000"/>
                <w:sz w:val="18"/>
                <w:shd w:fill="FFFFFF" w:val="clear"/>
              </w:rPr>
              <w:t>10 of 12 directors are independent and all Board committee members are independent</w:t>
            </w:r>
          </w:p>
        </w:tc>
      </w:tr>
      <w:tr>
        <w:trPr/>
        <w:tc>
          <w:tcPr>
            <w:tcW w:w="28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35"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79" descr=""/>
                          <pic:cNvPicPr>
                            <a:picLocks noChangeAspect="1" noChangeArrowheads="1"/>
                          </pic:cNvPicPr>
                        </pic:nvPicPr>
                        <pic:blipFill>
                          <a:blip r:embed="rId206"/>
                          <a:stretch>
                            <a:fillRect/>
                          </a:stretch>
                        </pic:blipFill>
                        <pic:spPr bwMode="auto">
                          <a:xfrm>
                            <a:off x="0" y="0"/>
                            <a:ext cx="180975" cy="180975"/>
                          </a:xfrm>
                          <a:prstGeom prst="rect">
                            <a:avLst/>
                          </a:prstGeom>
                        </pic:spPr>
                      </pic:pic>
                    </a:graphicData>
                  </a:graphic>
                </wp:inline>
              </w:drawing>
            </w:r>
            <w:bookmarkStart w:id="204" w:name="i-179"/>
            <w:bookmarkEnd w:id="204"/>
          </w:p>
        </w:tc>
        <w:tc>
          <w:tcPr>
            <w:tcW w:w="6624"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shd w:fill="FFFFFF" w:val="clear"/>
              </w:rPr>
            </w:pPr>
            <w:r>
              <w:rPr>
                <w:rFonts w:ascii="Roboto Light;sans-serif" w:hAnsi="Roboto Light;sans-serif"/>
                <w:b w:val="false"/>
                <w:color w:val="000000"/>
                <w:sz w:val="18"/>
                <w:shd w:fill="FFFFFF" w:val="clear"/>
              </w:rPr>
              <w:t>Balanced Board composition of tenure, age, experience, skills, viewpoints, and backgrounds</w:t>
            </w:r>
          </w:p>
        </w:tc>
      </w:tr>
      <w:tr>
        <w:trP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36"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80" descr=""/>
                          <pic:cNvPicPr>
                            <a:picLocks noChangeAspect="1" noChangeArrowheads="1"/>
                          </pic:cNvPicPr>
                        </pic:nvPicPr>
                        <pic:blipFill>
                          <a:blip r:embed="rId207"/>
                          <a:stretch>
                            <a:fillRect/>
                          </a:stretch>
                        </pic:blipFill>
                        <pic:spPr bwMode="auto">
                          <a:xfrm>
                            <a:off x="0" y="0"/>
                            <a:ext cx="180975" cy="180975"/>
                          </a:xfrm>
                          <a:prstGeom prst="rect">
                            <a:avLst/>
                          </a:prstGeom>
                        </pic:spPr>
                      </pic:pic>
                    </a:graphicData>
                  </a:graphic>
                </wp:inline>
              </w:drawing>
            </w:r>
            <w:bookmarkStart w:id="205" w:name="i-180"/>
            <w:bookmarkEnd w:id="205"/>
          </w:p>
        </w:tc>
        <w:tc>
          <w:tcPr>
            <w:tcW w:w="6624"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shd w:fill="FFFFFF" w:val="clear"/>
              </w:rPr>
            </w:pPr>
            <w:r>
              <w:rPr>
                <w:rFonts w:ascii="Roboto Light;sans-serif" w:hAnsi="Roboto Light;sans-serif"/>
                <w:b w:val="false"/>
                <w:color w:val="000000"/>
                <w:sz w:val="18"/>
                <w:shd w:fill="FFFFFF" w:val="clear"/>
              </w:rPr>
              <w:t xml:space="preserve">Separation of Chairman of the Board and Chief Executive Officer roles; Strong Lead Independent Director </w:t>
            </w:r>
          </w:p>
        </w:tc>
      </w:tr>
      <w:tr>
        <w:trP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37"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81" descr=""/>
                          <pic:cNvPicPr>
                            <a:picLocks noChangeAspect="1" noChangeArrowheads="1"/>
                          </pic:cNvPicPr>
                        </pic:nvPicPr>
                        <pic:blipFill>
                          <a:blip r:embed="rId208"/>
                          <a:stretch>
                            <a:fillRect/>
                          </a:stretch>
                        </pic:blipFill>
                        <pic:spPr bwMode="auto">
                          <a:xfrm>
                            <a:off x="0" y="0"/>
                            <a:ext cx="180975" cy="180975"/>
                          </a:xfrm>
                          <a:prstGeom prst="rect">
                            <a:avLst/>
                          </a:prstGeom>
                        </pic:spPr>
                      </pic:pic>
                    </a:graphicData>
                  </a:graphic>
                </wp:inline>
              </w:drawing>
            </w:r>
            <w:bookmarkStart w:id="206" w:name="i-181"/>
            <w:bookmarkEnd w:id="206"/>
          </w:p>
        </w:tc>
        <w:tc>
          <w:tcPr>
            <w:tcW w:w="6624"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shd w:fill="FFFFFF" w:val="clear"/>
              </w:rPr>
            </w:pPr>
            <w:r>
              <w:rPr>
                <w:rFonts w:ascii="Roboto Light;sans-serif" w:hAnsi="Roboto Light;sans-serif"/>
                <w:b w:val="false"/>
                <w:color w:val="000000"/>
                <w:sz w:val="18"/>
                <w:shd w:fill="FFFFFF" w:val="clear"/>
              </w:rPr>
              <w:t>Director overboarding policy</w:t>
            </w:r>
          </w:p>
        </w:tc>
      </w:tr>
      <w:tr>
        <w:trP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38"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82" descr=""/>
                          <pic:cNvPicPr>
                            <a:picLocks noChangeAspect="1" noChangeArrowheads="1"/>
                          </pic:cNvPicPr>
                        </pic:nvPicPr>
                        <pic:blipFill>
                          <a:blip r:embed="rId209"/>
                          <a:stretch>
                            <a:fillRect/>
                          </a:stretch>
                        </pic:blipFill>
                        <pic:spPr bwMode="auto">
                          <a:xfrm>
                            <a:off x="0" y="0"/>
                            <a:ext cx="180975" cy="180975"/>
                          </a:xfrm>
                          <a:prstGeom prst="rect">
                            <a:avLst/>
                          </a:prstGeom>
                        </pic:spPr>
                      </pic:pic>
                    </a:graphicData>
                  </a:graphic>
                </wp:inline>
              </w:drawing>
            </w:r>
            <w:bookmarkStart w:id="207" w:name="i-182"/>
            <w:bookmarkEnd w:id="207"/>
          </w:p>
        </w:tc>
        <w:tc>
          <w:tcPr>
            <w:tcW w:w="6624"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shd w:fill="FFFFFF" w:val="clear"/>
              </w:rPr>
            </w:pPr>
            <w:r>
              <w:rPr>
                <w:rFonts w:ascii="Roboto Light;sans-serif" w:hAnsi="Roboto Light;sans-serif"/>
                <w:b w:val="false"/>
                <w:color w:val="000000"/>
                <w:sz w:val="18"/>
                <w:shd w:fill="FFFFFF" w:val="clear"/>
              </w:rPr>
              <w:t>Mandatory director retirement upon the later of (i) 75th birthday, or (ii) 15 years of service on the Board</w:t>
            </w:r>
          </w:p>
        </w:tc>
      </w:tr>
      <w:tr>
        <w:trP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39"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83" descr=""/>
                          <pic:cNvPicPr>
                            <a:picLocks noChangeAspect="1" noChangeArrowheads="1"/>
                          </pic:cNvPicPr>
                        </pic:nvPicPr>
                        <pic:blipFill>
                          <a:blip r:embed="rId210"/>
                          <a:stretch>
                            <a:fillRect/>
                          </a:stretch>
                        </pic:blipFill>
                        <pic:spPr bwMode="auto">
                          <a:xfrm>
                            <a:off x="0" y="0"/>
                            <a:ext cx="180975" cy="180975"/>
                          </a:xfrm>
                          <a:prstGeom prst="rect">
                            <a:avLst/>
                          </a:prstGeom>
                        </pic:spPr>
                      </pic:pic>
                    </a:graphicData>
                  </a:graphic>
                </wp:inline>
              </w:drawing>
            </w:r>
            <w:bookmarkStart w:id="208" w:name="i-183"/>
            <w:bookmarkEnd w:id="208"/>
          </w:p>
        </w:tc>
        <w:tc>
          <w:tcPr>
            <w:tcW w:w="6624"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shd w:fill="FFFFFF" w:val="clear"/>
              </w:rPr>
            </w:pPr>
            <w:r>
              <w:rPr>
                <w:rFonts w:ascii="Roboto Light;sans-serif" w:hAnsi="Roboto Light;sans-serif"/>
                <w:b w:val="false"/>
                <w:color w:val="000000"/>
                <w:sz w:val="18"/>
                <w:shd w:fill="FFFFFF" w:val="clear"/>
              </w:rPr>
              <w:t>Clawback policy</w:t>
            </w:r>
          </w:p>
        </w:tc>
      </w:tr>
      <w:tr>
        <w:trP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40"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84" descr=""/>
                          <pic:cNvPicPr>
                            <a:picLocks noChangeAspect="1" noChangeArrowheads="1"/>
                          </pic:cNvPicPr>
                        </pic:nvPicPr>
                        <pic:blipFill>
                          <a:blip r:embed="rId211"/>
                          <a:stretch>
                            <a:fillRect/>
                          </a:stretch>
                        </pic:blipFill>
                        <pic:spPr bwMode="auto">
                          <a:xfrm>
                            <a:off x="0" y="0"/>
                            <a:ext cx="180975" cy="180975"/>
                          </a:xfrm>
                          <a:prstGeom prst="rect">
                            <a:avLst/>
                          </a:prstGeom>
                        </pic:spPr>
                      </pic:pic>
                    </a:graphicData>
                  </a:graphic>
                </wp:inline>
              </w:drawing>
            </w:r>
            <w:bookmarkStart w:id="209" w:name="i-184"/>
            <w:bookmarkEnd w:id="209"/>
          </w:p>
        </w:tc>
        <w:tc>
          <w:tcPr>
            <w:tcW w:w="6624"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shd w:fill="FFFFFF" w:val="clear"/>
              </w:rPr>
            </w:pPr>
            <w:r>
              <w:rPr>
                <w:rFonts w:ascii="Roboto Light;sans-serif" w:hAnsi="Roboto Light;sans-serif"/>
                <w:b w:val="false"/>
                <w:color w:val="000000"/>
                <w:sz w:val="18"/>
                <w:shd w:fill="FFFFFF" w:val="clear"/>
              </w:rPr>
              <w:t>Stock ownership guidelines for directors and executive officers</w:t>
            </w:r>
          </w:p>
        </w:tc>
      </w:tr>
      <w:tr>
        <w:trP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41"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85" descr=""/>
                          <pic:cNvPicPr>
                            <a:picLocks noChangeAspect="1" noChangeArrowheads="1"/>
                          </pic:cNvPicPr>
                        </pic:nvPicPr>
                        <pic:blipFill>
                          <a:blip r:embed="rId212"/>
                          <a:stretch>
                            <a:fillRect/>
                          </a:stretch>
                        </pic:blipFill>
                        <pic:spPr bwMode="auto">
                          <a:xfrm>
                            <a:off x="0" y="0"/>
                            <a:ext cx="180975" cy="180975"/>
                          </a:xfrm>
                          <a:prstGeom prst="rect">
                            <a:avLst/>
                          </a:prstGeom>
                        </pic:spPr>
                      </pic:pic>
                    </a:graphicData>
                  </a:graphic>
                </wp:inline>
              </w:drawing>
            </w:r>
            <w:bookmarkStart w:id="210" w:name="i-185"/>
            <w:bookmarkEnd w:id="210"/>
          </w:p>
        </w:tc>
        <w:tc>
          <w:tcPr>
            <w:tcW w:w="6624"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shd w:fill="FFFFFF" w:val="clear"/>
              </w:rPr>
            </w:pPr>
            <w:r>
              <w:rPr>
                <w:rFonts w:ascii="Roboto Light;sans-serif" w:hAnsi="Roboto Light;sans-serif"/>
                <w:b w:val="false"/>
                <w:color w:val="000000"/>
                <w:sz w:val="18"/>
                <w:shd w:fill="FFFFFF" w:val="clear"/>
              </w:rPr>
              <w:t>Board oversight of corporate strategy, responsible leadership, and risk, including enterprise risk management program</w:t>
            </w:r>
          </w:p>
        </w:tc>
      </w:tr>
      <w:tr>
        <w:trP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4"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vMerge w:val="restart"/>
            <w:tcBorders/>
            <w:tcMar>
              <w:top w:w="0" w:type="dxa"/>
              <w:left w:w="0" w:type="dxa"/>
              <w:bottom w:w="0" w:type="dxa"/>
              <w:right w:w="0" w:type="dxa"/>
            </w:tcMar>
            <w:vAlign w:val="center"/>
          </w:tcPr>
          <w:p>
            <w:pPr>
              <w:pStyle w:val="TableContents"/>
              <w:bidi w:val="0"/>
              <w:spacing w:lineRule="atLeast" w:line="240" w:before="0" w:after="0"/>
              <w:jc w:val="left"/>
              <w:rPr>
                <w:rFonts w:ascii="Roboto;sans-serif" w:hAnsi="Roboto;sans-serif"/>
                <w:b/>
                <w:color w:val="000000"/>
                <w:sz w:val="18"/>
              </w:rPr>
            </w:pPr>
            <w:r>
              <w:rPr>
                <w:rFonts w:ascii="Roboto;sans-serif" w:hAnsi="Roboto;sans-serif"/>
                <w:b/>
                <w:color w:val="000000"/>
                <w:sz w:val="18"/>
              </w:rPr>
              <w:t xml:space="preserve">Active and </w:t>
            </w:r>
          </w:p>
          <w:p>
            <w:pPr>
              <w:pStyle w:val="TableContents"/>
              <w:bidi w:val="0"/>
              <w:spacing w:lineRule="atLeast" w:line="240" w:before="0" w:after="0"/>
              <w:jc w:val="left"/>
              <w:rPr>
                <w:rFonts w:ascii="Roboto;sans-serif" w:hAnsi="Roboto;sans-serif"/>
                <w:b/>
                <w:color w:val="000000"/>
                <w:sz w:val="18"/>
              </w:rPr>
            </w:pPr>
            <w:r>
              <w:rPr>
                <w:rFonts w:ascii="Roboto;sans-serif" w:hAnsi="Roboto;sans-serif"/>
                <w:b/>
                <w:color w:val="000000"/>
                <w:sz w:val="18"/>
              </w:rPr>
              <w:t>Engaged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42"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86" descr=""/>
                          <pic:cNvPicPr>
                            <a:picLocks noChangeAspect="1" noChangeArrowheads="1"/>
                          </pic:cNvPicPr>
                        </pic:nvPicPr>
                        <pic:blipFill>
                          <a:blip r:embed="rId213"/>
                          <a:stretch>
                            <a:fillRect/>
                          </a:stretch>
                        </pic:blipFill>
                        <pic:spPr bwMode="auto">
                          <a:xfrm>
                            <a:off x="0" y="0"/>
                            <a:ext cx="180975" cy="180975"/>
                          </a:xfrm>
                          <a:prstGeom prst="rect">
                            <a:avLst/>
                          </a:prstGeom>
                        </pic:spPr>
                      </pic:pic>
                    </a:graphicData>
                  </a:graphic>
                </wp:inline>
              </w:drawing>
            </w:r>
            <w:bookmarkStart w:id="211" w:name="i-186"/>
            <w:bookmarkEnd w:id="211"/>
          </w:p>
        </w:tc>
        <w:tc>
          <w:tcPr>
            <w:tcW w:w="6624"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shd w:fill="FFFFFF" w:val="clear"/>
              </w:rPr>
            </w:pPr>
            <w:r>
              <w:rPr>
                <w:rFonts w:ascii="Roboto Light;sans-serif" w:hAnsi="Roboto Light;sans-serif"/>
                <w:b w:val="false"/>
                <w:color w:val="000000"/>
                <w:sz w:val="18"/>
                <w:shd w:fill="FFFFFF" w:val="clear"/>
              </w:rPr>
              <w:t>Comprehensive and responsive year-round stockholder engagement</w:t>
            </w:r>
          </w:p>
        </w:tc>
      </w:tr>
      <w:tr>
        <w:trPr/>
        <w:tc>
          <w:tcPr>
            <w:tcW w:w="28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43"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87" descr=""/>
                          <pic:cNvPicPr>
                            <a:picLocks noChangeAspect="1" noChangeArrowheads="1"/>
                          </pic:cNvPicPr>
                        </pic:nvPicPr>
                        <pic:blipFill>
                          <a:blip r:embed="rId214"/>
                          <a:stretch>
                            <a:fillRect/>
                          </a:stretch>
                        </pic:blipFill>
                        <pic:spPr bwMode="auto">
                          <a:xfrm>
                            <a:off x="0" y="0"/>
                            <a:ext cx="180975" cy="180975"/>
                          </a:xfrm>
                          <a:prstGeom prst="rect">
                            <a:avLst/>
                          </a:prstGeom>
                        </pic:spPr>
                      </pic:pic>
                    </a:graphicData>
                  </a:graphic>
                </wp:inline>
              </w:drawing>
            </w:r>
            <w:bookmarkStart w:id="212" w:name="i-187"/>
            <w:bookmarkEnd w:id="212"/>
          </w:p>
        </w:tc>
        <w:tc>
          <w:tcPr>
            <w:tcW w:w="6624"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shd w:fill="FFFFFF" w:val="clear"/>
              </w:rPr>
            </w:pPr>
            <w:r>
              <w:rPr>
                <w:rFonts w:ascii="Roboto Light;sans-serif" w:hAnsi="Roboto Light;sans-serif"/>
                <w:b w:val="false"/>
                <w:color w:val="000000"/>
                <w:sz w:val="18"/>
                <w:shd w:fill="FFFFFF" w:val="clear"/>
              </w:rPr>
              <w:t>Annual Board review of our long-range strategic goals</w:t>
            </w:r>
          </w:p>
        </w:tc>
      </w:tr>
      <w:tr>
        <w:trP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44"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88" descr=""/>
                          <pic:cNvPicPr>
                            <a:picLocks noChangeAspect="1" noChangeArrowheads="1"/>
                          </pic:cNvPicPr>
                        </pic:nvPicPr>
                        <pic:blipFill>
                          <a:blip r:embed="rId215"/>
                          <a:stretch>
                            <a:fillRect/>
                          </a:stretch>
                        </pic:blipFill>
                        <pic:spPr bwMode="auto">
                          <a:xfrm>
                            <a:off x="0" y="0"/>
                            <a:ext cx="180975" cy="180975"/>
                          </a:xfrm>
                          <a:prstGeom prst="rect">
                            <a:avLst/>
                          </a:prstGeom>
                        </pic:spPr>
                      </pic:pic>
                    </a:graphicData>
                  </a:graphic>
                </wp:inline>
              </w:drawing>
            </w:r>
            <w:bookmarkStart w:id="213" w:name="i-188"/>
            <w:bookmarkEnd w:id="213"/>
          </w:p>
        </w:tc>
        <w:tc>
          <w:tcPr>
            <w:tcW w:w="6624"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shd w:fill="FFFFFF" w:val="clear"/>
              </w:rPr>
            </w:pPr>
            <w:r>
              <w:rPr>
                <w:rFonts w:ascii="Roboto Light;sans-serif" w:hAnsi="Roboto Light;sans-serif"/>
                <w:b w:val="false"/>
                <w:color w:val="000000"/>
                <w:sz w:val="18"/>
                <w:shd w:fill="FFFFFF" w:val="clear"/>
              </w:rPr>
              <w:t xml:space="preserve">Annual Compensation Committee review and approval of incentive structure, targets, and philosophy in alignment with the Company’s business strategy </w:t>
            </w:r>
          </w:p>
        </w:tc>
      </w:tr>
      <w:tr>
        <w:trP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45"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89" descr=""/>
                          <pic:cNvPicPr>
                            <a:picLocks noChangeAspect="1" noChangeArrowheads="1"/>
                          </pic:cNvPicPr>
                        </pic:nvPicPr>
                        <pic:blipFill>
                          <a:blip r:embed="rId216"/>
                          <a:stretch>
                            <a:fillRect/>
                          </a:stretch>
                        </pic:blipFill>
                        <pic:spPr bwMode="auto">
                          <a:xfrm>
                            <a:off x="0" y="0"/>
                            <a:ext cx="180975" cy="180975"/>
                          </a:xfrm>
                          <a:prstGeom prst="rect">
                            <a:avLst/>
                          </a:prstGeom>
                        </pic:spPr>
                      </pic:pic>
                    </a:graphicData>
                  </a:graphic>
                </wp:inline>
              </w:drawing>
            </w:r>
            <w:bookmarkStart w:id="214" w:name="i-189"/>
            <w:bookmarkEnd w:id="214"/>
          </w:p>
        </w:tc>
        <w:tc>
          <w:tcPr>
            <w:tcW w:w="6624"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shd w:fill="FFFFFF" w:val="clear"/>
              </w:rPr>
            </w:pPr>
            <w:r>
              <w:rPr>
                <w:rFonts w:ascii="Roboto Light;sans-serif" w:hAnsi="Roboto Light;sans-serif"/>
                <w:b w:val="false"/>
                <w:color w:val="000000"/>
                <w:sz w:val="18"/>
                <w:shd w:fill="FFFFFF" w:val="clear"/>
              </w:rPr>
              <w:t>Robust year-round director orientation and education program</w:t>
            </w:r>
          </w:p>
        </w:tc>
      </w:tr>
      <w:tr>
        <w:trP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46"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90" descr=""/>
                          <pic:cNvPicPr>
                            <a:picLocks noChangeAspect="1" noChangeArrowheads="1"/>
                          </pic:cNvPicPr>
                        </pic:nvPicPr>
                        <pic:blipFill>
                          <a:blip r:embed="rId217"/>
                          <a:stretch>
                            <a:fillRect/>
                          </a:stretch>
                        </pic:blipFill>
                        <pic:spPr bwMode="auto">
                          <a:xfrm>
                            <a:off x="0" y="0"/>
                            <a:ext cx="180975" cy="180975"/>
                          </a:xfrm>
                          <a:prstGeom prst="rect">
                            <a:avLst/>
                          </a:prstGeom>
                        </pic:spPr>
                      </pic:pic>
                    </a:graphicData>
                  </a:graphic>
                </wp:inline>
              </w:drawing>
            </w:r>
            <w:bookmarkStart w:id="215" w:name="i-190"/>
            <w:bookmarkEnd w:id="215"/>
          </w:p>
        </w:tc>
        <w:tc>
          <w:tcPr>
            <w:tcW w:w="6624"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shd w:fill="FFFFFF" w:val="clear"/>
              </w:rPr>
            </w:pPr>
            <w:r>
              <w:rPr>
                <w:rFonts w:ascii="Roboto Light;sans-serif" w:hAnsi="Roboto Light;sans-serif"/>
                <w:b w:val="false"/>
                <w:color w:val="000000"/>
                <w:sz w:val="18"/>
                <w:shd w:fill="FFFFFF" w:val="clear"/>
              </w:rPr>
              <w:t>Periodic director store and facility visits</w:t>
            </w:r>
          </w:p>
        </w:tc>
      </w:tr>
      <w:tr>
        <w:trP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47"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91" descr=""/>
                          <pic:cNvPicPr>
                            <a:picLocks noChangeAspect="1" noChangeArrowheads="1"/>
                          </pic:cNvPicPr>
                        </pic:nvPicPr>
                        <pic:blipFill>
                          <a:blip r:embed="rId218"/>
                          <a:stretch>
                            <a:fillRect/>
                          </a:stretch>
                        </pic:blipFill>
                        <pic:spPr bwMode="auto">
                          <a:xfrm>
                            <a:off x="0" y="0"/>
                            <a:ext cx="180975" cy="180975"/>
                          </a:xfrm>
                          <a:prstGeom prst="rect">
                            <a:avLst/>
                          </a:prstGeom>
                        </pic:spPr>
                      </pic:pic>
                    </a:graphicData>
                  </a:graphic>
                </wp:inline>
              </w:drawing>
            </w:r>
            <w:bookmarkStart w:id="216" w:name="i-191"/>
            <w:bookmarkEnd w:id="216"/>
          </w:p>
        </w:tc>
        <w:tc>
          <w:tcPr>
            <w:tcW w:w="6624"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shd w:fill="FFFFFF" w:val="clear"/>
              </w:rPr>
            </w:pPr>
            <w:r>
              <w:rPr>
                <w:rFonts w:ascii="Roboto Light;sans-serif" w:hAnsi="Roboto Light;sans-serif"/>
                <w:b w:val="false"/>
                <w:color w:val="000000"/>
                <w:sz w:val="18"/>
                <w:shd w:fill="FFFFFF" w:val="clear"/>
              </w:rPr>
              <w:t>Annual Board and committee self-evaluations, including individual director interviews</w:t>
            </w:r>
          </w:p>
        </w:tc>
      </w:tr>
      <w:tr>
        <w:trP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48"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92" descr=""/>
                          <pic:cNvPicPr>
                            <a:picLocks noChangeAspect="1" noChangeArrowheads="1"/>
                          </pic:cNvPicPr>
                        </pic:nvPicPr>
                        <pic:blipFill>
                          <a:blip r:embed="rId219"/>
                          <a:stretch>
                            <a:fillRect/>
                          </a:stretch>
                        </pic:blipFill>
                        <pic:spPr bwMode="auto">
                          <a:xfrm>
                            <a:off x="0" y="0"/>
                            <a:ext cx="180975" cy="180975"/>
                          </a:xfrm>
                          <a:prstGeom prst="rect">
                            <a:avLst/>
                          </a:prstGeom>
                        </pic:spPr>
                      </pic:pic>
                    </a:graphicData>
                  </a:graphic>
                </wp:inline>
              </w:drawing>
            </w:r>
            <w:bookmarkStart w:id="217" w:name="i-192"/>
            <w:bookmarkEnd w:id="217"/>
          </w:p>
        </w:tc>
        <w:tc>
          <w:tcPr>
            <w:tcW w:w="6624"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shd w:fill="FFFFFF" w:val="clear"/>
              </w:rPr>
            </w:pPr>
            <w:r>
              <w:rPr>
                <w:rFonts w:ascii="Roboto Light;sans-serif" w:hAnsi="Roboto Light;sans-serif"/>
                <w:b w:val="false"/>
                <w:color w:val="000000"/>
                <w:sz w:val="18"/>
                <w:shd w:fill="FFFFFF" w:val="clear"/>
              </w:rPr>
              <w:t>Annual evaluation of the Chief Executive Officer by independent directors</w:t>
            </w:r>
          </w:p>
        </w:tc>
      </w:tr>
      <w:tr>
        <w:trP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49"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93" descr=""/>
                          <pic:cNvPicPr>
                            <a:picLocks noChangeAspect="1" noChangeArrowheads="1"/>
                          </pic:cNvPicPr>
                        </pic:nvPicPr>
                        <pic:blipFill>
                          <a:blip r:embed="rId220"/>
                          <a:stretch>
                            <a:fillRect/>
                          </a:stretch>
                        </pic:blipFill>
                        <pic:spPr bwMode="auto">
                          <a:xfrm>
                            <a:off x="0" y="0"/>
                            <a:ext cx="180975" cy="180975"/>
                          </a:xfrm>
                          <a:prstGeom prst="rect">
                            <a:avLst/>
                          </a:prstGeom>
                        </pic:spPr>
                      </pic:pic>
                    </a:graphicData>
                  </a:graphic>
                </wp:inline>
              </w:drawing>
            </w:r>
            <w:bookmarkStart w:id="218" w:name="i-193"/>
            <w:bookmarkEnd w:id="218"/>
          </w:p>
        </w:tc>
        <w:tc>
          <w:tcPr>
            <w:tcW w:w="6624"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shd w:fill="FFFFFF" w:val="clear"/>
              </w:rPr>
            </w:pPr>
            <w:r>
              <w:rPr>
                <w:rFonts w:ascii="Roboto Light;sans-serif" w:hAnsi="Roboto Light;sans-serif"/>
                <w:b w:val="false"/>
                <w:color w:val="000000"/>
                <w:sz w:val="18"/>
                <w:shd w:fill="FFFFFF" w:val="clear"/>
              </w:rPr>
              <w:t>Executive sessions of independent directors</w:t>
            </w:r>
          </w:p>
        </w:tc>
      </w:tr>
      <w:tr>
        <w:trP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50"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94" descr=""/>
                          <pic:cNvPicPr>
                            <a:picLocks noChangeAspect="1" noChangeArrowheads="1"/>
                          </pic:cNvPicPr>
                        </pic:nvPicPr>
                        <pic:blipFill>
                          <a:blip r:embed="rId221"/>
                          <a:stretch>
                            <a:fillRect/>
                          </a:stretch>
                        </pic:blipFill>
                        <pic:spPr bwMode="auto">
                          <a:xfrm>
                            <a:off x="0" y="0"/>
                            <a:ext cx="180975" cy="180975"/>
                          </a:xfrm>
                          <a:prstGeom prst="rect">
                            <a:avLst/>
                          </a:prstGeom>
                        </pic:spPr>
                      </pic:pic>
                    </a:graphicData>
                  </a:graphic>
                </wp:inline>
              </w:drawing>
            </w:r>
            <w:bookmarkStart w:id="219" w:name="i-194"/>
            <w:bookmarkEnd w:id="219"/>
          </w:p>
        </w:tc>
        <w:tc>
          <w:tcPr>
            <w:tcW w:w="6624"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shd w:fill="FFFFFF" w:val="clear"/>
              </w:rPr>
            </w:pPr>
            <w:r>
              <w:rPr>
                <w:rFonts w:ascii="Roboto Light;sans-serif" w:hAnsi="Roboto Light;sans-serif"/>
                <w:b w:val="false"/>
                <w:color w:val="000000"/>
                <w:sz w:val="18"/>
                <w:shd w:fill="FFFFFF" w:val="clear"/>
              </w:rPr>
              <w:t>Management succession planning</w:t>
            </w:r>
          </w:p>
        </w:tc>
      </w:tr>
      <w:tr>
        <w:trP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4"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3" w:type="dxa"/>
            <w:gridSpan w:val="3"/>
            <w:vMerge w:val="restart"/>
            <w:tcBorders/>
            <w:tcMar>
              <w:top w:w="0" w:type="dxa"/>
              <w:left w:w="0" w:type="dxa"/>
              <w:bottom w:w="0" w:type="dxa"/>
              <w:right w:w="0" w:type="dxa"/>
            </w:tcMar>
            <w:vAlign w:val="center"/>
          </w:tcPr>
          <w:p>
            <w:pPr>
              <w:pStyle w:val="TableContents"/>
              <w:bidi w:val="0"/>
              <w:spacing w:lineRule="atLeast" w:line="240" w:before="0" w:after="0"/>
              <w:jc w:val="left"/>
              <w:rPr>
                <w:rFonts w:ascii="Roboto;sans-serif" w:hAnsi="Roboto;sans-serif"/>
                <w:b/>
                <w:color w:val="000000"/>
                <w:sz w:val="18"/>
              </w:rPr>
            </w:pPr>
            <w:r>
              <w:rPr>
                <w:rFonts w:ascii="Roboto;sans-serif" w:hAnsi="Roboto;sans-serif"/>
                <w:b/>
                <w:color w:val="000000"/>
                <w:sz w:val="18"/>
              </w:rPr>
              <w:t>Shareholder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51"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95" descr=""/>
                          <pic:cNvPicPr>
                            <a:picLocks noChangeAspect="1" noChangeArrowheads="1"/>
                          </pic:cNvPicPr>
                        </pic:nvPicPr>
                        <pic:blipFill>
                          <a:blip r:embed="rId222"/>
                          <a:stretch>
                            <a:fillRect/>
                          </a:stretch>
                        </pic:blipFill>
                        <pic:spPr bwMode="auto">
                          <a:xfrm>
                            <a:off x="0" y="0"/>
                            <a:ext cx="180975" cy="180975"/>
                          </a:xfrm>
                          <a:prstGeom prst="rect">
                            <a:avLst/>
                          </a:prstGeom>
                        </pic:spPr>
                      </pic:pic>
                    </a:graphicData>
                  </a:graphic>
                </wp:inline>
              </w:drawing>
            </w:r>
            <w:bookmarkStart w:id="220" w:name="i-195"/>
            <w:bookmarkEnd w:id="220"/>
          </w:p>
        </w:tc>
        <w:tc>
          <w:tcPr>
            <w:tcW w:w="6624"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shd w:fill="FFFFFF" w:val="clear"/>
              </w:rPr>
            </w:pPr>
            <w:r>
              <w:rPr>
                <w:rFonts w:ascii="Roboto Light;sans-serif" w:hAnsi="Roboto Light;sans-serif"/>
                <w:b w:val="false"/>
                <w:color w:val="000000"/>
                <w:sz w:val="18"/>
                <w:shd w:fill="FFFFFF" w:val="clear"/>
              </w:rPr>
              <w:t>No active stockholder rights plan, also referred to as a “poison pill”</w:t>
            </w:r>
          </w:p>
        </w:tc>
      </w:tr>
      <w:tr>
        <w:trPr/>
        <w:tc>
          <w:tcPr>
            <w:tcW w:w="28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52"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96" descr=""/>
                          <pic:cNvPicPr>
                            <a:picLocks noChangeAspect="1" noChangeArrowheads="1"/>
                          </pic:cNvPicPr>
                        </pic:nvPicPr>
                        <pic:blipFill>
                          <a:blip r:embed="rId223"/>
                          <a:stretch>
                            <a:fillRect/>
                          </a:stretch>
                        </pic:blipFill>
                        <pic:spPr bwMode="auto">
                          <a:xfrm>
                            <a:off x="0" y="0"/>
                            <a:ext cx="180975" cy="180975"/>
                          </a:xfrm>
                          <a:prstGeom prst="rect">
                            <a:avLst/>
                          </a:prstGeom>
                        </pic:spPr>
                      </pic:pic>
                    </a:graphicData>
                  </a:graphic>
                </wp:inline>
              </w:drawing>
            </w:r>
            <w:bookmarkStart w:id="221" w:name="i-196"/>
            <w:bookmarkEnd w:id="221"/>
          </w:p>
        </w:tc>
        <w:tc>
          <w:tcPr>
            <w:tcW w:w="6624"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shd w:fill="FFFFFF" w:val="clear"/>
              </w:rPr>
            </w:pPr>
            <w:r>
              <w:rPr>
                <w:rFonts w:ascii="Roboto Light;sans-serif" w:hAnsi="Roboto Light;sans-serif"/>
                <w:b w:val="false"/>
                <w:color w:val="000000"/>
                <w:sz w:val="18"/>
                <w:shd w:fill="FFFFFF" w:val="clear"/>
              </w:rPr>
              <w:t>No dual class share structure</w:t>
            </w:r>
          </w:p>
        </w:tc>
      </w:tr>
      <w:tr>
        <w:trPr/>
        <w:tc>
          <w:tcPr>
            <w:tcW w:w="28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53"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97" descr=""/>
                          <pic:cNvPicPr>
                            <a:picLocks noChangeAspect="1" noChangeArrowheads="1"/>
                          </pic:cNvPicPr>
                        </pic:nvPicPr>
                        <pic:blipFill>
                          <a:blip r:embed="rId224"/>
                          <a:stretch>
                            <a:fillRect/>
                          </a:stretch>
                        </pic:blipFill>
                        <pic:spPr bwMode="auto">
                          <a:xfrm>
                            <a:off x="0" y="0"/>
                            <a:ext cx="180975" cy="180975"/>
                          </a:xfrm>
                          <a:prstGeom prst="rect">
                            <a:avLst/>
                          </a:prstGeom>
                        </pic:spPr>
                      </pic:pic>
                    </a:graphicData>
                  </a:graphic>
                </wp:inline>
              </w:drawing>
            </w:r>
            <w:bookmarkStart w:id="222" w:name="i-197"/>
            <w:bookmarkEnd w:id="222"/>
          </w:p>
        </w:tc>
        <w:tc>
          <w:tcPr>
            <w:tcW w:w="6624"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shd w:fill="FFFFFF" w:val="clear"/>
              </w:rPr>
            </w:pPr>
            <w:r>
              <w:rPr>
                <w:rFonts w:ascii="Roboto Light;sans-serif" w:hAnsi="Roboto Light;sans-serif"/>
                <w:b w:val="false"/>
                <w:color w:val="000000"/>
                <w:sz w:val="18"/>
                <w:shd w:fill="FFFFFF" w:val="clear"/>
              </w:rPr>
              <w:t>Each stockholder is entitled to one vote per share</w:t>
            </w:r>
          </w:p>
        </w:tc>
      </w:tr>
      <w:tr>
        <w:trPr/>
        <w:tc>
          <w:tcPr>
            <w:tcW w:w="28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54"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98" descr=""/>
                          <pic:cNvPicPr>
                            <a:picLocks noChangeAspect="1" noChangeArrowheads="1"/>
                          </pic:cNvPicPr>
                        </pic:nvPicPr>
                        <pic:blipFill>
                          <a:blip r:embed="rId225"/>
                          <a:stretch>
                            <a:fillRect/>
                          </a:stretch>
                        </pic:blipFill>
                        <pic:spPr bwMode="auto">
                          <a:xfrm>
                            <a:off x="0" y="0"/>
                            <a:ext cx="180975" cy="180975"/>
                          </a:xfrm>
                          <a:prstGeom prst="rect">
                            <a:avLst/>
                          </a:prstGeom>
                        </pic:spPr>
                      </pic:pic>
                    </a:graphicData>
                  </a:graphic>
                </wp:inline>
              </w:drawing>
            </w:r>
            <w:bookmarkStart w:id="223" w:name="i-198"/>
            <w:bookmarkEnd w:id="223"/>
          </w:p>
        </w:tc>
        <w:tc>
          <w:tcPr>
            <w:tcW w:w="6624" w:type="dxa"/>
            <w:gridSpan w:val="3"/>
            <w:tcBorders/>
            <w:tcMar>
              <w:top w:w="0" w:type="dxa"/>
              <w:left w:w="0" w:type="dxa"/>
              <w:bottom w:w="0" w:type="dxa"/>
              <w:right w:w="0" w:type="dxa"/>
            </w:tcMar>
            <w:vAlign w:val="center"/>
          </w:tcPr>
          <w:p>
            <w:pPr>
              <w:pStyle w:val="TableContents"/>
              <w:bidi w:val="0"/>
              <w:spacing w:lineRule="atLeast" w:line="240" w:before="0" w:after="0"/>
              <w:jc w:val="left"/>
              <w:rPr>
                <w:rFonts w:ascii="Roboto Light;sans-serif" w:hAnsi="Roboto Light;sans-serif"/>
                <w:b w:val="false"/>
                <w:color w:val="000000"/>
                <w:sz w:val="18"/>
                <w:shd w:fill="FFFFFF" w:val="clear"/>
              </w:rPr>
            </w:pPr>
            <w:r>
              <w:rPr>
                <w:rFonts w:ascii="Roboto Light;sans-serif" w:hAnsi="Roboto Light;sans-serif"/>
                <w:b w:val="false"/>
                <w:color w:val="000000"/>
                <w:sz w:val="18"/>
                <w:shd w:fill="FFFFFF" w:val="clear"/>
              </w:rPr>
              <w:t xml:space="preserve">Board declassification by 2028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63525"/>
                <wp:effectExtent l="0" t="0" r="0" b="0"/>
                <wp:wrapNone/>
                <wp:docPr id="255" name="Frame31"/>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256"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99" descr=""/>
                                          <pic:cNvPicPr>
                                            <a:picLocks noChangeAspect="1" noChangeArrowheads="1"/>
                                          </pic:cNvPicPr>
                                        </pic:nvPicPr>
                                        <pic:blipFill>
                                          <a:blip r:embed="rId226"/>
                                          <a:stretch>
                                            <a:fillRect/>
                                          </a:stretch>
                                        </pic:blipFill>
                                        <pic:spPr bwMode="auto">
                                          <a:xfrm>
                                            <a:off x="0" y="0"/>
                                            <a:ext cx="266700" cy="200025"/>
                                          </a:xfrm>
                                          <a:prstGeom prst="rect">
                                            <a:avLst/>
                                          </a:prstGeom>
                                        </pic:spPr>
                                      </pic:pic>
                                    </a:graphicData>
                                  </a:graphic>
                                </wp:inline>
                              </w:drawing>
                            </w:r>
                            <w:bookmarkStart w:id="224" w:name="i-199"/>
                            <w:bookmarkEnd w:id="22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257"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99" descr=""/>
                                    <pic:cNvPicPr>
                                      <a:picLocks noChangeAspect="1" noChangeArrowheads="1"/>
                                    </pic:cNvPicPr>
                                  </pic:nvPicPr>
                                  <pic:blipFill>
                                    <a:blip r:embed="rId227"/>
                                    <a:stretch>
                                      <a:fillRect/>
                                    </a:stretch>
                                  </pic:blipFill>
                                  <pic:spPr bwMode="auto">
                                    <a:xfrm>
                                      <a:off x="0" y="0"/>
                                      <a:ext cx="266700" cy="200025"/>
                                    </a:xfrm>
                                    <a:prstGeom prst="rect">
                                      <a:avLst/>
                                    </a:prstGeom>
                                  </pic:spPr>
                                </pic:pic>
                              </a:graphicData>
                            </a:graphic>
                          </wp:inline>
                        </w:drawing>
                      </w:r>
                      <w:bookmarkStart w:id="225" w:name="i-199"/>
                      <w:bookmarkEnd w:id="225"/>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Board Oversight</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 primary role of the Board is to direct and oversee the management of the business and affairs of the Company in a manner that it considers in the best interests of the Company and its stockholders, in accordance with applicable laws and the Nasdaq Stock Market LLC (“Nasdaq”) Listing Rules. The Board’s responsibility is one of oversight and, in performing its oversight role, the Board serves as the ultimate decision-making body of the Company, except for those matters reserved to or shared with our stockholders. The Board selects our Chief Executive Officer and oversees our executive officers, who are charged by the Board with conducting the day-to-day operations of the Company. As part of its responsibility, the Board exercises direct oversight of strategic matters such as strategic planning, budgeting, capital planning, compensation, governance, succession planning, cybersecurity, information technology, artificial intelligence, risk management, compliance, and responsible leadership related matters. Throughout the year, the Board receives regular and, when necessary, interim updates from management on the Company’s strategy, operations, and risk profile, ensuring the Board remains well</w:t>
        <w:noBreakHyphen/>
        <w:t xml:space="preserve">informed and able to provide effective challenge and guidance. This cadence reflects investor expectations for continuous and transparent Board oversight of management.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 Board maintains a robust and clearly defined oversight framework and provides active oversight of key areas that drive long</w:t>
        <w:noBreakHyphen/>
        <w:t>term performance, including:</w:t>
      </w:r>
    </w:p>
    <w:p>
      <w:pPr>
        <w:pStyle w:val="TextBody"/>
        <w:bidi w:val="0"/>
        <w:spacing w:lineRule="atLeast" w:line="240" w:before="0" w:after="120"/>
        <w:ind w:left="0" w:right="0" w:hanging="288"/>
        <w:jc w:val="left"/>
        <w:rPr/>
      </w:pPr>
      <w:r>
        <w:rPr>
          <w:color w:val="000000"/>
        </w:rPr>
        <w:t>•</w:t>
      </w:r>
      <w:r>
        <w:rPr>
          <w:rFonts w:ascii="Roboto;sans-serif" w:hAnsi="Roboto;sans-serif"/>
          <w:b/>
          <w:color w:val="000000"/>
          <w:sz w:val="18"/>
        </w:rPr>
        <w:t xml:space="preserve">Strategy and Financial Stewardship: </w:t>
      </w:r>
      <w:r>
        <w:rPr>
          <w:rFonts w:ascii="Roboto Light;sans-serif" w:hAnsi="Roboto Light;sans-serif"/>
          <w:b w:val="false"/>
          <w:color w:val="000000"/>
          <w:sz w:val="18"/>
        </w:rPr>
        <w:t>oversight of strategic planning, budgeting, capital allocation, and long</w:t>
        <w:noBreakHyphen/>
        <w:t>term value drivers, consistent with investor expectations for disciplined financial governance.</w:t>
      </w:r>
    </w:p>
    <w:p>
      <w:pPr>
        <w:pStyle w:val="TextBody"/>
        <w:bidi w:val="0"/>
        <w:spacing w:lineRule="atLeast" w:line="240" w:before="0" w:after="120"/>
        <w:ind w:left="0" w:right="0" w:hanging="288"/>
        <w:jc w:val="left"/>
        <w:rPr/>
      </w:pPr>
      <w:r>
        <w:rPr>
          <w:color w:val="000000"/>
        </w:rPr>
        <w:t>•</w:t>
      </w:r>
      <w:r>
        <w:rPr>
          <w:rFonts w:ascii="Roboto;sans-serif" w:hAnsi="Roboto;sans-serif"/>
          <w:b/>
          <w:color w:val="000000"/>
          <w:sz w:val="18"/>
        </w:rPr>
        <w:t xml:space="preserve">Risk Management: </w:t>
      </w:r>
      <w:r>
        <w:rPr>
          <w:rFonts w:ascii="Roboto Light;sans-serif" w:hAnsi="Roboto Light;sans-serif"/>
          <w:b w:val="false"/>
          <w:color w:val="000000"/>
          <w:sz w:val="18"/>
        </w:rPr>
        <w:t>comprehensive oversight of material board-level risks, including financial, operational, human capital, cybersecurity, and supply</w:t>
        <w:noBreakHyphen/>
        <w:t>chain risks.</w:t>
      </w:r>
    </w:p>
    <w:p>
      <w:pPr>
        <w:pStyle w:val="TextBody"/>
        <w:bidi w:val="0"/>
        <w:spacing w:lineRule="atLeast" w:line="240" w:before="0" w:after="120"/>
        <w:ind w:left="0" w:right="0" w:hanging="288"/>
        <w:jc w:val="left"/>
        <w:rPr/>
      </w:pPr>
      <w:r>
        <w:rPr>
          <w:color w:val="000000"/>
        </w:rPr>
        <w:t>•</w:t>
      </w:r>
      <w:r>
        <w:rPr>
          <w:rFonts w:ascii="Roboto;sans-serif" w:hAnsi="Roboto;sans-serif"/>
          <w:b/>
          <w:color w:val="000000"/>
          <w:sz w:val="18"/>
        </w:rPr>
        <w:t>Human Capital &amp; Leadership:</w:t>
      </w:r>
      <w:r>
        <w:rPr>
          <w:color w:val="000000"/>
        </w:rPr>
        <w:t xml:space="preserve"> </w:t>
      </w:r>
      <w:r>
        <w:rPr>
          <w:rFonts w:ascii="Roboto Light;sans-serif" w:hAnsi="Roboto Light;sans-serif"/>
          <w:b w:val="false"/>
          <w:color w:val="000000"/>
          <w:sz w:val="18"/>
        </w:rPr>
        <w:t>succession planning for senior leadership, Board refreshment, director skills assessments, and maintaining the requisite capabilities needed to oversee the Company’s evolving strategy.</w:t>
      </w:r>
    </w:p>
    <w:p>
      <w:pPr>
        <w:pStyle w:val="TextBody"/>
        <w:bidi w:val="0"/>
        <w:spacing w:lineRule="atLeast" w:line="240" w:before="0" w:after="120"/>
        <w:ind w:left="0" w:right="0" w:hanging="288"/>
        <w:jc w:val="left"/>
        <w:rPr/>
      </w:pPr>
      <w:r>
        <w:rPr>
          <w:color w:val="000000"/>
        </w:rPr>
        <w:t>•</w:t>
      </w:r>
      <w:r>
        <w:rPr>
          <w:rFonts w:ascii="Roboto;sans-serif" w:hAnsi="Roboto;sans-serif"/>
          <w:b/>
          <w:color w:val="000000"/>
          <w:sz w:val="18"/>
        </w:rPr>
        <w:t xml:space="preserve">Technology &amp; Cyber Oversight: </w:t>
      </w:r>
      <w:r>
        <w:rPr>
          <w:rFonts w:ascii="Roboto Light;sans-serif" w:hAnsi="Roboto Light;sans-serif"/>
          <w:b w:val="false"/>
          <w:color w:val="000000"/>
          <w:sz w:val="18"/>
        </w:rPr>
        <w:t>including information security, cybersecurity resilience, and artificial intelligence governance, in line with emerging expectations that boards demonstrate fluency in technology and enterprise risk considerations.</w:t>
      </w:r>
    </w:p>
    <w:p>
      <w:pPr>
        <w:pStyle w:val="TextBody"/>
        <w:bidi w:val="0"/>
        <w:spacing w:lineRule="atLeast" w:line="240" w:before="0" w:after="240"/>
        <w:ind w:left="0" w:right="0" w:hanging="288"/>
        <w:jc w:val="left"/>
        <w:rPr/>
      </w:pPr>
      <w:r>
        <w:rPr>
          <w:color w:val="000000"/>
        </w:rPr>
        <w:t>•</w:t>
      </w:r>
      <w:r>
        <w:rPr>
          <w:rFonts w:ascii="Roboto;sans-serif" w:hAnsi="Roboto;sans-serif"/>
          <w:b/>
          <w:color w:val="000000"/>
          <w:sz w:val="18"/>
        </w:rPr>
        <w:t xml:space="preserve">Governance, Compliance &amp; Responsible Leadership: </w:t>
      </w:r>
      <w:r>
        <w:rPr>
          <w:rFonts w:ascii="Roboto Light;sans-serif" w:hAnsi="Roboto Light;sans-serif"/>
          <w:b w:val="false"/>
          <w:color w:val="000000"/>
          <w:sz w:val="18"/>
        </w:rPr>
        <w:t>oversight of corporate governance policies, legal and regulatory compliance, stockholder engagement, and responsible leadership matters that may materially impact long</w:t>
        <w:noBreakHyphen/>
        <w:t>term value.</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To enhance accountability and independence, the Board has delegated certain responsibilities to its three standing committees—the Audit Committee, the Compensation Committee, and the Governance Committee—each composed entirely of independent directors. Each committee operates under a Board</w:t>
        <w:noBreakHyphen/>
        <w:t>approved charter and conducts regular reviews of its responsibilities to continue alignment with evolving governance standards and investor expectations. Further details regarding these committees are provided under “Board Committees.”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 xml:space="preserve">Corporate Governance Guidelines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The Board’s commitment to good corporate governance is reflected in its Corporate Governance Guidelines, which describe the principles and practices that the Board and its committees are expected to follow in carrying out their responsibilities. The Corporate Governance Guidelines are reviewed periodically by the Governance Committee and updated to the extent deemed appropriate in light of emerging practices and to ensure compliance with applicable laws, regulations, governance documents, and Nasdaq Listing Rules, upon recommendation to and approval by the Board. Copies of the Corporate Governance Guidelines and other corporate governance information are available on our investor relations website at investors.academy.com.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Our Corporate Governance Guidelines address topics such as the role and responsibility of the Board, Board composition, structure and policies, Board meetings, committees of the Board, expectations of directors, management succession planning for the Chief Executive Officer and other executive officers, annual Board and committee evaluations, director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63525"/>
                <wp:effectExtent l="0" t="0" r="0" b="0"/>
                <wp:wrapNone/>
                <wp:docPr id="258" name="Frame32"/>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259"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00" descr=""/>
                                          <pic:cNvPicPr>
                                            <a:picLocks noChangeAspect="1" noChangeArrowheads="1"/>
                                          </pic:cNvPicPr>
                                        </pic:nvPicPr>
                                        <pic:blipFill>
                                          <a:blip r:embed="rId228"/>
                                          <a:stretch>
                                            <a:fillRect/>
                                          </a:stretch>
                                        </pic:blipFill>
                                        <pic:spPr bwMode="auto">
                                          <a:xfrm>
                                            <a:off x="0" y="0"/>
                                            <a:ext cx="266700" cy="200025"/>
                                          </a:xfrm>
                                          <a:prstGeom prst="rect">
                                            <a:avLst/>
                                          </a:prstGeom>
                                        </pic:spPr>
                                      </pic:pic>
                                    </a:graphicData>
                                  </a:graphic>
                                </wp:inline>
                              </w:drawing>
                            </w:r>
                            <w:bookmarkStart w:id="226" w:name="i-200"/>
                            <w:bookmarkEnd w:id="22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260"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00" descr=""/>
                                    <pic:cNvPicPr>
                                      <a:picLocks noChangeAspect="1" noChangeArrowheads="1"/>
                                    </pic:cNvPicPr>
                                  </pic:nvPicPr>
                                  <pic:blipFill>
                                    <a:blip r:embed="rId229"/>
                                    <a:stretch>
                                      <a:fillRect/>
                                    </a:stretch>
                                  </pic:blipFill>
                                  <pic:spPr bwMode="auto">
                                    <a:xfrm>
                                      <a:off x="0" y="0"/>
                                      <a:ext cx="266700" cy="200025"/>
                                    </a:xfrm>
                                    <a:prstGeom prst="rect">
                                      <a:avLst/>
                                    </a:prstGeom>
                                  </pic:spPr>
                                </pic:pic>
                              </a:graphicData>
                            </a:graphic>
                          </wp:inline>
                        </w:drawing>
                      </w:r>
                      <w:bookmarkStart w:id="227" w:name="i-200"/>
                      <w:bookmarkEnd w:id="227"/>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27</w:t>
            </w:r>
          </w:p>
        </w:tc>
      </w:tr>
    </w:tbl>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director independence and qualifications, nomination, and selection, Board refreshment and retirement age/term limits, selection and separation or combination of the Chairman of the Board and Chief Executive Officer, responsibilities of the Lead Director, director orientation and continuing education, director access to officers and team members, changes in directors’ principal occupation, outside directorships/overboarding, investor and other stakeholder communications with the Board and its non-management directors, and strategic planning and budgeting.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The Corporate Governance Guidelines limit the number of public company boards on which a director may serve (including our Board) to four and the number of public company audit committees on which an Audit Committee member may serve (including our Audit Committee) to three. Further, directors who also serve as executive officers (or in equivalent positions) should not serve on more than two public company boards (including our Board). All of our directors and director nominees currently comply with our director overboarding policy.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80"/>
        <w:jc w:val="left"/>
        <w:rPr>
          <w:rFonts w:ascii="Roboto;sans-serif" w:hAnsi="Roboto;sans-serif"/>
          <w:b/>
          <w:color w:val="1946C8"/>
          <w:sz w:val="24"/>
        </w:rPr>
      </w:pPr>
      <w:r>
        <w:rPr>
          <w:rFonts w:ascii="Roboto;sans-serif" w:hAnsi="Roboto;sans-serif"/>
          <w:b/>
          <w:color w:val="1946C8"/>
          <w:sz w:val="24"/>
        </w:rPr>
        <w:t>Director Independence</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Under the Corporate Governance Guidelines and the independence standards of the SEC and the Nasdaq Listing Rules, a director is not independent unless the Board affirmatively determines that he or she does not have a relationship with us or our management which, in the opinion of the Board, would impair their independence.</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 Corporate Governance Guidelines define independence in accordance with Nasdaq Listing Rules, and require the Board to review and determine the independence of all directors at least annually.</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The Board has affirmatively determined that each of Wendy Beck, Michael Dastugue, Shannon Hennessy, Clay Johnson, Brian Marley, Tom Nealon, Theresa Palermo, Monique Picou, Beryl Raff, and Jeff Tweedy is “independent” under SEC rules, the Corporate Governance Guidelines and Nasdaq Listing Rules, including under the heightened independence standards applicable to audit and compensation committee members. In making its independence determinations, the Board considered and reviewed all information known to it (including information identified through annual directors’ questionnaires). The Board also determined that both Scott Boatwright and Chris Turner, former directors, were independent during the periods they served as directors.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80"/>
        <w:jc w:val="left"/>
        <w:rPr>
          <w:rFonts w:ascii="Roboto;sans-serif" w:hAnsi="Roboto;sans-serif"/>
          <w:b/>
          <w:color w:val="1946C8"/>
          <w:sz w:val="24"/>
        </w:rPr>
      </w:pPr>
      <w:r>
        <w:rPr>
          <w:rFonts w:ascii="Roboto;sans-serif" w:hAnsi="Roboto;sans-serif"/>
          <w:b/>
          <w:color w:val="1946C8"/>
          <w:sz w:val="24"/>
        </w:rPr>
        <w:t>Leadership Structure of the Board</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We do not have a formal policy regarding the combination or separation of the Chairman of the Board and Chief Executive Officer positions. The Corporate Governance Guidelines provide the Board with the flexibility to combine or separate the positions of Chairman of the Board and Chief Executive Officer in accordance with its determination that utilizing one or the other structure would be in the best interests of the Company and its stockholders at any given time.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The Board has reviewed its leadership structure and determined that it remains advisable and in the best interest of the Company to separate the roles of Chairman of the Board and the Chief Executive Officer. As such, Mr. Hicks serves as Chairman of the Board and Mr. Lawrence serves as the Chief Executive Officer of the Company. As Chief Executive Officer, Mr. Lawrence is responsible for developing and overseeing the implementation of our business strategy as well as leading and managing the day-to-day operations of the Company. In connection with a planned transition process, Mr. Hicks transitioned from Executive Chairman of the Board to non-employee Chairman of the Board, effective on June 1, 2024.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In addition, the Board continues to believe that strong, independent Board leadership and oversight are a critical aspect of effective corporate governance. The Corporate Governance Guidelines provide that a lead independent director (or “Lead Director” or “Lead Independent Director”) may be appointed whenever the Board is chaired by a director who does not otherwise qualify as an “independent director.” As a result, because Mr. Hicks is not independent due to his prior service as an officer of the Company, Tom Nealon, was appointed as our Lead Director in December 2021, continues to serve in this role.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63525"/>
                <wp:effectExtent l="0" t="0" r="0" b="0"/>
                <wp:wrapNone/>
                <wp:docPr id="261" name="Frame33"/>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262"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01" descr=""/>
                                          <pic:cNvPicPr>
                                            <a:picLocks noChangeAspect="1" noChangeArrowheads="1"/>
                                          </pic:cNvPicPr>
                                        </pic:nvPicPr>
                                        <pic:blipFill>
                                          <a:blip r:embed="rId230"/>
                                          <a:stretch>
                                            <a:fillRect/>
                                          </a:stretch>
                                        </pic:blipFill>
                                        <pic:spPr bwMode="auto">
                                          <a:xfrm>
                                            <a:off x="0" y="0"/>
                                            <a:ext cx="266700" cy="200025"/>
                                          </a:xfrm>
                                          <a:prstGeom prst="rect">
                                            <a:avLst/>
                                          </a:prstGeom>
                                        </pic:spPr>
                                      </pic:pic>
                                    </a:graphicData>
                                  </a:graphic>
                                </wp:inline>
                              </w:drawing>
                            </w:r>
                            <w:bookmarkStart w:id="228" w:name="i-201"/>
                            <w:bookmarkEnd w:id="22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263"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01" descr=""/>
                                    <pic:cNvPicPr>
                                      <a:picLocks noChangeAspect="1" noChangeArrowheads="1"/>
                                    </pic:cNvPicPr>
                                  </pic:nvPicPr>
                                  <pic:blipFill>
                                    <a:blip r:embed="rId231"/>
                                    <a:stretch>
                                      <a:fillRect/>
                                    </a:stretch>
                                  </pic:blipFill>
                                  <pic:spPr bwMode="auto">
                                    <a:xfrm>
                                      <a:off x="0" y="0"/>
                                      <a:ext cx="266700" cy="200025"/>
                                    </a:xfrm>
                                    <a:prstGeom prst="rect">
                                      <a:avLst/>
                                    </a:prstGeom>
                                  </pic:spPr>
                                </pic:pic>
                              </a:graphicData>
                            </a:graphic>
                          </wp:inline>
                        </w:drawing>
                      </w:r>
                      <w:bookmarkStart w:id="229" w:name="i-201"/>
                      <w:bookmarkEnd w:id="229"/>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p>
      <w:pPr>
        <w:pStyle w:val="TextBody"/>
        <w:bidi w:val="0"/>
        <w:spacing w:lineRule="atLeast" w:line="240" w:before="0" w:after="180"/>
        <w:jc w:val="left"/>
        <w:rPr>
          <w:rFonts w:ascii="Roboto Light;sans-serif" w:hAnsi="Roboto Light;sans-serif"/>
          <w:b w:val="false"/>
          <w:color w:val="000000"/>
          <w:sz w:val="18"/>
        </w:rPr>
      </w:pPr>
      <w:r>
        <w:rPr>
          <w:rFonts w:ascii="Roboto Light;sans-serif" w:hAnsi="Roboto Light;sans-serif"/>
          <w:b w:val="false"/>
          <w:color w:val="000000"/>
          <w:sz w:val="18"/>
        </w:rPr>
        <w:t>The position of Lead Director has a clear mandate, significant authority and well-defined responsibilities as set forth in the Corporate Governance Guidelines. These responsibilities and authority include, among others:</w:t>
      </w:r>
    </w:p>
    <w:p>
      <w:pPr>
        <w:pStyle w:val="TextBody"/>
        <w:bidi w:val="0"/>
        <w:spacing w:lineRule="atLeast" w:line="240" w:before="0" w:after="180"/>
        <w:ind w:left="0" w:right="0" w:hanging="288"/>
        <w:jc w:val="left"/>
        <w:rPr/>
      </w:pPr>
      <w:r>
        <w:rPr>
          <w:color w:val="000000"/>
        </w:rPr>
        <w:t>•</w:t>
      </w:r>
      <w:r>
        <w:rPr>
          <w:rFonts w:ascii="Roboto Light;sans-serif" w:hAnsi="Roboto Light;sans-serif"/>
          <w:b w:val="false"/>
          <w:color w:val="000000"/>
          <w:sz w:val="18"/>
        </w:rPr>
        <w:t>presiding at meetings of the Board at which the Chairman of the Board is not present, including at executive sessions of the independent directors;</w:t>
      </w:r>
    </w:p>
    <w:p>
      <w:pPr>
        <w:pStyle w:val="TextBody"/>
        <w:bidi w:val="0"/>
        <w:spacing w:lineRule="atLeast" w:line="240" w:before="0" w:after="180"/>
        <w:ind w:left="0" w:right="0" w:hanging="288"/>
        <w:jc w:val="left"/>
        <w:rPr/>
      </w:pPr>
      <w:r>
        <w:rPr>
          <w:color w:val="000000"/>
        </w:rPr>
        <w:t>•</w:t>
      </w:r>
      <w:r>
        <w:rPr>
          <w:rFonts w:ascii="Roboto Light;sans-serif" w:hAnsi="Roboto Light;sans-serif"/>
          <w:b w:val="false"/>
          <w:color w:val="000000"/>
          <w:sz w:val="18"/>
        </w:rPr>
        <w:t>collaborating with the Chairman of the Board regarding the information sent to the Board;</w:t>
      </w:r>
    </w:p>
    <w:p>
      <w:pPr>
        <w:pStyle w:val="TextBody"/>
        <w:bidi w:val="0"/>
        <w:spacing w:lineRule="atLeast" w:line="240" w:before="0" w:after="180"/>
        <w:ind w:left="0" w:right="0" w:hanging="288"/>
        <w:jc w:val="left"/>
        <w:rPr/>
      </w:pPr>
      <w:r>
        <w:rPr>
          <w:color w:val="000000"/>
        </w:rPr>
        <w:t>•</w:t>
      </w:r>
      <w:r>
        <w:rPr>
          <w:rFonts w:ascii="Roboto Light;sans-serif" w:hAnsi="Roboto Light;sans-serif"/>
          <w:b w:val="false"/>
          <w:color w:val="000000"/>
          <w:sz w:val="18"/>
        </w:rPr>
        <w:t>collaborating with the Chairman of the Board regarding the agendas and schedules for the meetings of the Board;</w:t>
      </w:r>
    </w:p>
    <w:p>
      <w:pPr>
        <w:pStyle w:val="TextBody"/>
        <w:bidi w:val="0"/>
        <w:spacing w:lineRule="atLeast" w:line="240" w:before="0" w:after="180"/>
        <w:ind w:left="0" w:right="0" w:hanging="288"/>
        <w:jc w:val="left"/>
        <w:rPr/>
      </w:pPr>
      <w:r>
        <w:rPr>
          <w:color w:val="000000"/>
        </w:rPr>
        <w:t>•</w:t>
      </w:r>
      <w:r>
        <w:rPr>
          <w:rFonts w:ascii="Roboto Light;sans-serif" w:hAnsi="Roboto Light;sans-serif"/>
          <w:b w:val="false"/>
          <w:color w:val="000000"/>
          <w:sz w:val="18"/>
        </w:rPr>
        <w:t>assisting in scheduling Board meetings and approving meeting schedules to ensure that there is sufficient time for discussion of agenda items;</w:t>
      </w:r>
    </w:p>
    <w:p>
      <w:pPr>
        <w:pStyle w:val="TextBody"/>
        <w:bidi w:val="0"/>
        <w:spacing w:lineRule="atLeast" w:line="240" w:before="0" w:after="180"/>
        <w:ind w:left="0" w:right="0" w:hanging="288"/>
        <w:jc w:val="left"/>
        <w:rPr/>
      </w:pPr>
      <w:r>
        <w:rPr>
          <w:color w:val="000000"/>
        </w:rPr>
        <w:t>•</w:t>
      </w:r>
      <w:r>
        <w:rPr>
          <w:rFonts w:ascii="Roboto Light;sans-serif" w:hAnsi="Roboto Light;sans-serif"/>
          <w:b w:val="false"/>
          <w:color w:val="000000"/>
          <w:sz w:val="18"/>
        </w:rPr>
        <w:t>serving as liaison between the Chairman of the Board and the independent directors and/or with management, as appropriate;</w:t>
      </w:r>
    </w:p>
    <w:p>
      <w:pPr>
        <w:pStyle w:val="TextBody"/>
        <w:bidi w:val="0"/>
        <w:spacing w:lineRule="atLeast" w:line="240" w:before="0" w:after="180"/>
        <w:ind w:left="0" w:right="0" w:hanging="288"/>
        <w:jc w:val="left"/>
        <w:rPr/>
      </w:pPr>
      <w:r>
        <w:rPr>
          <w:color w:val="000000"/>
        </w:rPr>
        <w:t>•</w:t>
      </w:r>
      <w:r>
        <w:rPr>
          <w:rFonts w:ascii="Roboto Light;sans-serif" w:hAnsi="Roboto Light;sans-serif"/>
          <w:b w:val="false"/>
          <w:color w:val="000000"/>
          <w:sz w:val="18"/>
        </w:rPr>
        <w:t>working with the Board and its committees to oversee the Company’s engagement with stockholders, proxy advisory firms, and other interested parties, reviewing stockholder inquiries, and making recommendations to the Board regarding responding to those inquiries, and being available for consultation and communication with major stockholders, upon request;</w:t>
      </w:r>
    </w:p>
    <w:p>
      <w:pPr>
        <w:pStyle w:val="TextBody"/>
        <w:bidi w:val="0"/>
        <w:spacing w:lineRule="atLeast" w:line="240" w:before="0" w:after="180"/>
        <w:ind w:left="0" w:right="0" w:hanging="288"/>
        <w:jc w:val="left"/>
        <w:rPr/>
      </w:pPr>
      <w:r>
        <w:rPr>
          <w:color w:val="000000"/>
        </w:rPr>
        <w:t>•</w:t>
      </w:r>
      <w:r>
        <w:rPr>
          <w:rFonts w:ascii="Roboto Light;sans-serif" w:hAnsi="Roboto Light;sans-serif"/>
          <w:b w:val="false"/>
          <w:color w:val="000000"/>
          <w:sz w:val="18"/>
        </w:rPr>
        <w:t>calling meetings/executive sessions of the independent directors, as appropriate;</w:t>
      </w:r>
    </w:p>
    <w:p>
      <w:pPr>
        <w:pStyle w:val="TextBody"/>
        <w:bidi w:val="0"/>
        <w:spacing w:lineRule="atLeast" w:line="240" w:before="0" w:after="180"/>
        <w:ind w:left="0" w:right="0" w:hanging="288"/>
        <w:jc w:val="left"/>
        <w:rPr/>
      </w:pPr>
      <w:r>
        <w:rPr>
          <w:color w:val="000000"/>
        </w:rPr>
        <w:t>•</w:t>
      </w:r>
      <w:r>
        <w:rPr>
          <w:rFonts w:ascii="Roboto Light;sans-serif" w:hAnsi="Roboto Light;sans-serif"/>
          <w:b w:val="false"/>
          <w:color w:val="000000"/>
          <w:sz w:val="18"/>
        </w:rPr>
        <w:t xml:space="preserve">collaborating with the Chairman of the Board in determining the need for special meetings of the Board; and </w:t>
      </w:r>
    </w:p>
    <w:p>
      <w:pPr>
        <w:pStyle w:val="TextBody"/>
        <w:bidi w:val="0"/>
        <w:spacing w:lineRule="atLeast" w:line="240" w:before="0" w:after="180"/>
        <w:ind w:left="0" w:right="0" w:hanging="288"/>
        <w:jc w:val="left"/>
        <w:rPr/>
      </w:pPr>
      <w:r>
        <w:rPr>
          <w:color w:val="000000"/>
        </w:rPr>
        <w:t>•</w:t>
      </w:r>
      <w:r>
        <w:rPr>
          <w:rFonts w:ascii="Roboto Light;sans-serif" w:hAnsi="Roboto Light;sans-serif"/>
          <w:b w:val="false"/>
          <w:color w:val="000000"/>
          <w:sz w:val="18"/>
        </w:rPr>
        <w:t xml:space="preserve">recommending to the Board, in consultation with the applicable committee chairs, the retention of consultants and advisors who directly report to the Board, including independent legal, financial or compensation advisors.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We believe that the current Board leadership structure provides appropriate governance and risk oversight. The Board will continue to periodically review our leadership structure and may make such changes in the future as it deems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Executive Sessions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To promote free and open discussion and communication among the non-management directors of the Board, the non-management directors meet in executive session without members of management present from time to time. In accordance with the Nasdaq Listing Rules, if the non-management directors include any non-independent directors, the independent directors also meet separately in executive session, that excludes management and non-independent directors, at least twice each year (or more frequently as circumstances warrant). The Lead Director presides at the executive sessions of both non-management and independent directors. In 2025, the independent directors met in executive session at least twice, without management or non-independent directors present.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63525"/>
                <wp:effectExtent l="0" t="0" r="0" b="0"/>
                <wp:wrapNone/>
                <wp:docPr id="264" name="Frame34"/>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265"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02" descr=""/>
                                          <pic:cNvPicPr>
                                            <a:picLocks noChangeAspect="1" noChangeArrowheads="1"/>
                                          </pic:cNvPicPr>
                                        </pic:nvPicPr>
                                        <pic:blipFill>
                                          <a:blip r:embed="rId232"/>
                                          <a:stretch>
                                            <a:fillRect/>
                                          </a:stretch>
                                        </pic:blipFill>
                                        <pic:spPr bwMode="auto">
                                          <a:xfrm>
                                            <a:off x="0" y="0"/>
                                            <a:ext cx="266700" cy="200025"/>
                                          </a:xfrm>
                                          <a:prstGeom prst="rect">
                                            <a:avLst/>
                                          </a:prstGeom>
                                        </pic:spPr>
                                      </pic:pic>
                                    </a:graphicData>
                                  </a:graphic>
                                </wp:inline>
                              </w:drawing>
                            </w:r>
                            <w:bookmarkStart w:id="230" w:name="i-202"/>
                            <w:bookmarkEnd w:id="23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266"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02" descr=""/>
                                    <pic:cNvPicPr>
                                      <a:picLocks noChangeAspect="1" noChangeArrowheads="1"/>
                                    </pic:cNvPicPr>
                                  </pic:nvPicPr>
                                  <pic:blipFill>
                                    <a:blip r:embed="rId233"/>
                                    <a:stretch>
                                      <a:fillRect/>
                                    </a:stretch>
                                  </pic:blipFill>
                                  <pic:spPr bwMode="auto">
                                    <a:xfrm>
                                      <a:off x="0" y="0"/>
                                      <a:ext cx="266700" cy="200025"/>
                                    </a:xfrm>
                                    <a:prstGeom prst="rect">
                                      <a:avLst/>
                                    </a:prstGeom>
                                  </pic:spPr>
                                </pic:pic>
                              </a:graphicData>
                            </a:graphic>
                          </wp:inline>
                        </w:drawing>
                      </w:r>
                      <w:bookmarkStart w:id="231" w:name="i-202"/>
                      <w:bookmarkEnd w:id="231"/>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29</w:t>
            </w:r>
          </w:p>
        </w:tc>
      </w:tr>
    </w:tbl>
    <w:p>
      <w:pPr>
        <w:pStyle w:val="TextBody"/>
        <w:bidi w:val="0"/>
        <w:spacing w:lineRule="auto" w:line="312" w:before="0" w:after="180"/>
        <w:jc w:val="left"/>
        <w:rPr>
          <w:rFonts w:ascii="Roboto;sans-serif" w:hAnsi="Roboto;sans-serif"/>
          <w:b/>
          <w:color w:val="1946C8"/>
          <w:sz w:val="24"/>
        </w:rPr>
      </w:pPr>
      <w:r>
        <w:rPr>
          <w:rFonts w:ascii="Roboto;sans-serif" w:hAnsi="Roboto;sans-serif"/>
          <w:b/>
          <w:color w:val="1946C8"/>
          <w:sz w:val="24"/>
        </w:rPr>
        <w:t>Board Committees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The Board has established an Audit Committee, a Compensation Committee and a Governance Committee, each of which is entirely comprised of independent directors. These committees are each described below. The Governance Committee is responsible for identifying Board members qualified to serve on each committee and recommending that the Board appoint members to each committee. Each committee reports regularly to the Board summarizing the committee’s actions, any significant issues considered by the committee, and recommends Board approval of certain actions, when necessary.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Each of the Board’s committees acts under a written charter, which was approved and adopted by the Board and describes the responsibilities of the committee. Copies of the Audit Committee, Compensation Committee, and Governance Committee charters are available on our investor relations website at investors.academy.com.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 following table shows the current memberships of each of the Board’s committees as of the date of this Proxy Statement.</w:t>
      </w:r>
    </w:p>
    <w:tbl>
      <w:tblPr>
        <w:tblW w:w="10033" w:type="dxa"/>
        <w:jc w:val="left"/>
        <w:tblInd w:w="0" w:type="dxa"/>
        <w:tblLayout w:type="fixed"/>
        <w:tblCellMar>
          <w:top w:w="28" w:type="dxa"/>
          <w:left w:w="28" w:type="dxa"/>
          <w:bottom w:w="28" w:type="dxa"/>
          <w:right w:w="28" w:type="dxa"/>
        </w:tblCellMar>
      </w:tblPr>
      <w:tblGrid>
        <w:gridCol w:w="737"/>
        <w:gridCol w:w="650"/>
        <w:gridCol w:w="653"/>
        <w:gridCol w:w="554"/>
        <w:gridCol w:w="554"/>
        <w:gridCol w:w="556"/>
        <w:gridCol w:w="829"/>
        <w:gridCol w:w="829"/>
        <w:gridCol w:w="831"/>
        <w:gridCol w:w="1125"/>
        <w:gridCol w:w="1125"/>
        <w:gridCol w:w="1590"/>
      </w:tblGrid>
      <w:tr>
        <w:trPr/>
        <w:tc>
          <w:tcPr>
            <w:tcW w:w="7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left"/>
              <w:rPr>
                <w:color w:val="FFFFFF"/>
              </w:rPr>
            </w:pPr>
            <w:r>
              <w:rPr>
                <w:color w:val="FFFFFF"/>
              </w:rPr>
              <w:t> </w:t>
            </w:r>
          </w:p>
        </w:tc>
        <w:tc>
          <w:tcPr>
            <w:tcW w:w="1664"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FFFFFF"/>
                <w:sz w:val="16"/>
              </w:rPr>
            </w:pPr>
            <w:r>
              <w:rPr>
                <w:rFonts w:ascii="Roboto;sans-serif" w:hAnsi="Roboto;sans-serif"/>
                <w:b/>
                <w:color w:val="FFFFFF"/>
                <w:sz w:val="16"/>
              </w:rPr>
              <w:t>Audit Committee</w:t>
            </w:r>
          </w:p>
        </w:tc>
        <w:tc>
          <w:tcPr>
            <w:tcW w:w="2489"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FFFFFF"/>
                <w:sz w:val="16"/>
              </w:rPr>
            </w:pPr>
            <w:r>
              <w:rPr>
                <w:rFonts w:ascii="Roboto;sans-serif" w:hAnsi="Roboto;sans-serif"/>
                <w:b/>
                <w:color w:val="FFFFFF"/>
                <w:sz w:val="16"/>
              </w:rPr>
              <w:t>Compensation Committee</w:t>
            </w:r>
          </w:p>
        </w:tc>
        <w:tc>
          <w:tcPr>
            <w:tcW w:w="3840"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FFFFFF"/>
                <w:sz w:val="16"/>
              </w:rPr>
            </w:pPr>
            <w:r>
              <w:rPr>
                <w:rFonts w:ascii="Roboto;sans-serif" w:hAnsi="Roboto;sans-serif"/>
                <w:b/>
                <w:color w:val="FFFFFF"/>
                <w:sz w:val="16"/>
              </w:rPr>
              <w:t>Nominating and Governance Committee</w:t>
            </w:r>
          </w:p>
        </w:tc>
      </w:tr>
      <w:tr>
        <w:trPr/>
        <w:tc>
          <w:tcPr>
            <w:tcW w:w="204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000000"/>
                <w:sz w:val="16"/>
              </w:rPr>
            </w:pPr>
            <w:r>
              <w:rPr>
                <w:rFonts w:ascii="Roboto;sans-serif" w:hAnsi="Roboto;sans-serif"/>
                <w:b/>
                <w:color w:val="000000"/>
                <w:sz w:val="16"/>
              </w:rPr>
              <w:t>Ken Hicks</w:t>
            </w:r>
          </w:p>
        </w:tc>
        <w:tc>
          <w:tcPr>
            <w:tcW w:w="1664"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000000"/>
                <w:sz w:val="16"/>
              </w:rPr>
            </w:pPr>
            <w:r>
              <w:rPr>
                <w:rFonts w:ascii="Roboto;sans-serif" w:hAnsi="Roboto;sans-serif"/>
                <w:b/>
                <w:color w:val="000000"/>
                <w:sz w:val="16"/>
              </w:rPr>
              <w:t>Steven Lawrence</w:t>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color w:val="000000"/>
                <w:sz w:val="16"/>
              </w:rPr>
              <w:t>Wendy Beck</w:t>
            </w:r>
            <w:r>
              <w:rPr>
                <w:rFonts w:ascii="Roboto;sans-serif" w:hAnsi="Roboto;sans-serif"/>
                <w:b/>
                <w:color w:val="000000"/>
                <w:sz w:val="10"/>
              </w:rPr>
              <w:t>(I)</w:t>
            </w:r>
            <w:r>
              <w:rPr>
                <w:rFonts w:ascii="Roboto;sans-serif" w:hAnsi="Roboto;sans-serif"/>
                <w:b/>
                <w:color w:val="000000"/>
                <w:sz w:val="16"/>
              </w:rPr>
              <w:t>*</w:t>
            </w:r>
          </w:p>
        </w:tc>
        <w:tc>
          <w:tcPr>
            <w:tcW w:w="1664" w:type="dxa"/>
            <w:gridSpan w:val="3"/>
            <w:tcBorders/>
            <w:shd w:fill="ECF8F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67"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03" descr=""/>
                          <pic:cNvPicPr>
                            <a:picLocks noChangeAspect="1" noChangeArrowheads="1"/>
                          </pic:cNvPicPr>
                        </pic:nvPicPr>
                        <pic:blipFill>
                          <a:blip r:embed="rId234"/>
                          <a:stretch>
                            <a:fillRect/>
                          </a:stretch>
                        </pic:blipFill>
                        <pic:spPr bwMode="auto">
                          <a:xfrm>
                            <a:off x="0" y="0"/>
                            <a:ext cx="180975" cy="180975"/>
                          </a:xfrm>
                          <a:prstGeom prst="rect">
                            <a:avLst/>
                          </a:prstGeom>
                        </pic:spPr>
                      </pic:pic>
                    </a:graphicData>
                  </a:graphic>
                </wp:inline>
              </w:drawing>
            </w:r>
            <w:bookmarkStart w:id="232" w:name="i-203"/>
            <w:bookmarkEnd w:id="232"/>
          </w:p>
        </w:tc>
        <w:tc>
          <w:tcPr>
            <w:tcW w:w="248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ECF8FE" w:val="clear"/>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180975" cy="180975"/>
                  <wp:effectExtent l="0" t="0" r="0" b="0"/>
                  <wp:docPr id="268"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04" descr=""/>
                          <pic:cNvPicPr>
                            <a:picLocks noChangeAspect="1" noChangeArrowheads="1"/>
                          </pic:cNvPicPr>
                        </pic:nvPicPr>
                        <pic:blipFill>
                          <a:blip r:embed="rId235"/>
                          <a:stretch>
                            <a:fillRect/>
                          </a:stretch>
                        </pic:blipFill>
                        <pic:spPr bwMode="auto">
                          <a:xfrm>
                            <a:off x="0" y="0"/>
                            <a:ext cx="180975" cy="180975"/>
                          </a:xfrm>
                          <a:prstGeom prst="rect">
                            <a:avLst/>
                          </a:prstGeom>
                        </pic:spPr>
                      </pic:pic>
                    </a:graphicData>
                  </a:graphic>
                </wp:inline>
              </w:drawing>
            </w:r>
            <w:bookmarkStart w:id="233" w:name="i-204"/>
            <w:bookmarkEnd w:id="233"/>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312" w:before="100" w:after="100"/>
              <w:jc w:val="left"/>
              <w:rPr/>
            </w:pPr>
            <w:r>
              <w:rPr>
                <w:rFonts w:ascii="Roboto;sans-serif" w:hAnsi="Roboto;sans-serif"/>
                <w:b/>
                <w:color w:val="000000"/>
                <w:sz w:val="16"/>
              </w:rPr>
              <w:t>Michael Dastugue</w:t>
            </w:r>
            <w:r>
              <w:rPr>
                <w:rFonts w:ascii="Roboto;sans-serif" w:hAnsi="Roboto;sans-serif"/>
                <w:b/>
                <w:color w:val="000000"/>
                <w:sz w:val="10"/>
              </w:rPr>
              <w:t>(I)</w:t>
            </w:r>
            <w:r>
              <w:rPr>
                <w:rFonts w:ascii="Roboto;sans-serif" w:hAnsi="Roboto;sans-serif"/>
                <w:b/>
                <w:color w:val="000000"/>
                <w:sz w:val="16"/>
              </w:rPr>
              <w:t>*</w:t>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69"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05" descr=""/>
                          <pic:cNvPicPr>
                            <a:picLocks noChangeAspect="1" noChangeArrowheads="1"/>
                          </pic:cNvPicPr>
                        </pic:nvPicPr>
                        <pic:blipFill>
                          <a:blip r:embed="rId236"/>
                          <a:stretch>
                            <a:fillRect/>
                          </a:stretch>
                        </pic:blipFill>
                        <pic:spPr bwMode="auto">
                          <a:xfrm>
                            <a:off x="0" y="0"/>
                            <a:ext cx="180975" cy="180975"/>
                          </a:xfrm>
                          <a:prstGeom prst="rect">
                            <a:avLst/>
                          </a:prstGeom>
                        </pic:spPr>
                      </pic:pic>
                    </a:graphicData>
                  </a:graphic>
                </wp:inline>
              </w:drawing>
            </w:r>
            <w:bookmarkStart w:id="234" w:name="i-205"/>
            <w:bookmarkEnd w:id="234"/>
          </w:p>
        </w:tc>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color w:val="000000"/>
                <w:sz w:val="16"/>
              </w:rPr>
              <w:t>Shannon Hennessy</w:t>
            </w:r>
            <w:r>
              <w:rPr>
                <w:rFonts w:ascii="Roboto;sans-serif" w:hAnsi="Roboto;sans-serif"/>
                <w:b/>
                <w:color w:val="000000"/>
                <w:sz w:val="10"/>
              </w:rPr>
              <w:t>(I)</w:t>
            </w:r>
          </w:p>
        </w:tc>
        <w:tc>
          <w:tcPr>
            <w:tcW w:w="1664"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color w:val="000000"/>
                <w:sz w:val="16"/>
              </w:rPr>
              <w:t>Clay Johnson</w:t>
            </w:r>
            <w:r>
              <w:rPr>
                <w:rFonts w:ascii="Roboto;sans-serif" w:hAnsi="Roboto;sans-serif"/>
                <w:b/>
                <w:color w:val="000000"/>
                <w:sz w:val="10"/>
              </w:rPr>
              <w:t>(I)</w:t>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color w:val="000000"/>
                <w:sz w:val="16"/>
              </w:rPr>
              <w:t>Brian Marley</w:t>
            </w:r>
            <w:r>
              <w:rPr>
                <w:rFonts w:ascii="Roboto;sans-serif" w:hAnsi="Roboto;sans-serif"/>
                <w:b/>
                <w:color w:val="000000"/>
                <w:sz w:val="10"/>
              </w:rPr>
              <w:t>(I)</w:t>
            </w:r>
            <w:r>
              <w:rPr>
                <w:rFonts w:ascii="Roboto;sans-serif" w:hAnsi="Roboto;sans-serif"/>
                <w:b/>
                <w:color w:val="000000"/>
                <w:sz w:val="16"/>
              </w:rPr>
              <w:t>*</w:t>
            </w:r>
          </w:p>
        </w:tc>
        <w:tc>
          <w:tcPr>
            <w:tcW w:w="1664" w:type="dxa"/>
            <w:gridSpan w:val="3"/>
            <w:tcBorders/>
            <w:shd w:fill="ECF8FE" w:val="clear"/>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180975" cy="180975"/>
                  <wp:effectExtent l="0" t="0" r="0" b="0"/>
                  <wp:docPr id="270"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06" descr=""/>
                          <pic:cNvPicPr>
                            <a:picLocks noChangeAspect="1" noChangeArrowheads="1"/>
                          </pic:cNvPicPr>
                        </pic:nvPicPr>
                        <pic:blipFill>
                          <a:blip r:embed="rId237"/>
                          <a:stretch>
                            <a:fillRect/>
                          </a:stretch>
                        </pic:blipFill>
                        <pic:spPr bwMode="auto">
                          <a:xfrm>
                            <a:off x="0" y="0"/>
                            <a:ext cx="180975" cy="180975"/>
                          </a:xfrm>
                          <a:prstGeom prst="rect">
                            <a:avLst/>
                          </a:prstGeom>
                        </pic:spPr>
                      </pic:pic>
                    </a:graphicData>
                  </a:graphic>
                </wp:inline>
              </w:drawing>
            </w:r>
            <w:bookmarkStart w:id="235" w:name="i-206"/>
            <w:bookmarkEnd w:id="235"/>
          </w:p>
        </w:tc>
        <w:tc>
          <w:tcPr>
            <w:tcW w:w="248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color w:val="000000"/>
                <w:sz w:val="16"/>
              </w:rPr>
              <w:t>Tom Nealon</w:t>
            </w:r>
            <w:r>
              <w:rPr>
                <w:rFonts w:ascii="Roboto;sans-serif" w:hAnsi="Roboto;sans-serif"/>
                <w:b/>
                <w:color w:val="000000"/>
                <w:sz w:val="10"/>
              </w:rPr>
              <w:t>(I)</w:t>
            </w:r>
            <w:r>
              <w:rPr>
                <w:rFonts w:ascii="Roboto;sans-serif" w:hAnsi="Roboto;sans-serif"/>
                <w:b/>
                <w:color w:val="000000"/>
                <w:sz w:val="16"/>
              </w:rPr>
              <w:t>*</w:t>
            </w:r>
            <w:r>
              <w:rPr>
                <w:color w:val="000000"/>
              </w:rPr>
              <w:t xml:space="preserve"> </w:t>
            </w:r>
            <w:r>
              <w:rPr>
                <w:rFonts w:ascii="Roboto;sans-serif" w:hAnsi="Roboto;sans-serif"/>
                <w:b/>
                <w:color w:val="000000"/>
                <w:sz w:val="10"/>
              </w:rPr>
              <w:t>LD</w:t>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71"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07" descr=""/>
                          <pic:cNvPicPr>
                            <a:picLocks noChangeAspect="1" noChangeArrowheads="1"/>
                          </pic:cNvPicPr>
                        </pic:nvPicPr>
                        <pic:blipFill>
                          <a:blip r:embed="rId238"/>
                          <a:stretch>
                            <a:fillRect/>
                          </a:stretch>
                        </pic:blipFill>
                        <pic:spPr bwMode="auto">
                          <a:xfrm>
                            <a:off x="0" y="0"/>
                            <a:ext cx="180975" cy="180975"/>
                          </a:xfrm>
                          <a:prstGeom prst="rect">
                            <a:avLst/>
                          </a:prstGeom>
                        </pic:spPr>
                      </pic:pic>
                    </a:graphicData>
                  </a:graphic>
                </wp:inline>
              </w:drawing>
            </w:r>
            <w:bookmarkStart w:id="236" w:name="i-207"/>
            <w:bookmarkEnd w:id="236"/>
          </w:p>
        </w:tc>
        <w:tc>
          <w:tcPr>
            <w:tcW w:w="2489"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72"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08" descr=""/>
                          <pic:cNvPicPr>
                            <a:picLocks noChangeAspect="1" noChangeArrowheads="1"/>
                          </pic:cNvPicPr>
                        </pic:nvPicPr>
                        <pic:blipFill>
                          <a:blip r:embed="rId239"/>
                          <a:stretch>
                            <a:fillRect/>
                          </a:stretch>
                        </pic:blipFill>
                        <pic:spPr bwMode="auto">
                          <a:xfrm>
                            <a:off x="0" y="0"/>
                            <a:ext cx="180975" cy="180975"/>
                          </a:xfrm>
                          <a:prstGeom prst="rect">
                            <a:avLst/>
                          </a:prstGeom>
                        </pic:spPr>
                      </pic:pic>
                    </a:graphicData>
                  </a:graphic>
                </wp:inline>
              </w:drawing>
            </w:r>
            <w:bookmarkStart w:id="237" w:name="i-208"/>
            <w:bookmarkEnd w:id="237"/>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color w:val="000000"/>
                <w:sz w:val="16"/>
              </w:rPr>
              <w:t>Theresa Palermo</w:t>
            </w:r>
            <w:r>
              <w:rPr>
                <w:rFonts w:ascii="Roboto;sans-serif" w:hAnsi="Roboto;sans-serif"/>
                <w:b/>
                <w:color w:val="000000"/>
                <w:sz w:val="10"/>
              </w:rPr>
              <w:t>(I)</w:t>
            </w:r>
          </w:p>
        </w:tc>
        <w:tc>
          <w:tcPr>
            <w:tcW w:w="1664"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ECF8F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73"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09" descr=""/>
                          <pic:cNvPicPr>
                            <a:picLocks noChangeAspect="1" noChangeArrowheads="1"/>
                          </pic:cNvPicPr>
                        </pic:nvPicPr>
                        <pic:blipFill>
                          <a:blip r:embed="rId240"/>
                          <a:stretch>
                            <a:fillRect/>
                          </a:stretch>
                        </pic:blipFill>
                        <pic:spPr bwMode="auto">
                          <a:xfrm>
                            <a:off x="0" y="0"/>
                            <a:ext cx="180975" cy="180975"/>
                          </a:xfrm>
                          <a:prstGeom prst="rect">
                            <a:avLst/>
                          </a:prstGeom>
                        </pic:spPr>
                      </pic:pic>
                    </a:graphicData>
                  </a:graphic>
                </wp:inline>
              </w:drawing>
            </w:r>
            <w:bookmarkStart w:id="238" w:name="i-209"/>
            <w:bookmarkEnd w:id="238"/>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312" w:before="100" w:after="100"/>
              <w:jc w:val="left"/>
              <w:rPr/>
            </w:pPr>
            <w:r>
              <w:rPr>
                <w:rFonts w:ascii="Roboto;sans-serif" w:hAnsi="Roboto;sans-serif"/>
                <w:b/>
                <w:color w:val="000000"/>
                <w:sz w:val="16"/>
              </w:rPr>
              <w:t>Monique Picou</w:t>
            </w:r>
            <w:r>
              <w:rPr>
                <w:rFonts w:ascii="Roboto;sans-serif" w:hAnsi="Roboto;sans-serif"/>
                <w:b/>
                <w:color w:val="000000"/>
                <w:sz w:val="10"/>
              </w:rPr>
              <w:t>(I)</w:t>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74"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10" descr=""/>
                          <pic:cNvPicPr>
                            <a:picLocks noChangeAspect="1" noChangeArrowheads="1"/>
                          </pic:cNvPicPr>
                        </pic:nvPicPr>
                        <pic:blipFill>
                          <a:blip r:embed="rId241"/>
                          <a:stretch>
                            <a:fillRect/>
                          </a:stretch>
                        </pic:blipFill>
                        <pic:spPr bwMode="auto">
                          <a:xfrm>
                            <a:off x="0" y="0"/>
                            <a:ext cx="180975" cy="180975"/>
                          </a:xfrm>
                          <a:prstGeom prst="rect">
                            <a:avLst/>
                          </a:prstGeom>
                        </pic:spPr>
                      </pic:pic>
                    </a:graphicData>
                  </a:graphic>
                </wp:inline>
              </w:drawing>
            </w:r>
            <w:bookmarkStart w:id="239" w:name="i-210"/>
            <w:bookmarkEnd w:id="239"/>
          </w:p>
        </w:tc>
      </w:tr>
      <w:tr>
        <w:trPr/>
        <w:tc>
          <w:tcPr>
            <w:tcW w:w="2040"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color w:val="000000"/>
                <w:sz w:val="16"/>
              </w:rPr>
              <w:t>Beryl Raff</w:t>
            </w:r>
            <w:r>
              <w:rPr>
                <w:rFonts w:ascii="Roboto;sans-serif" w:hAnsi="Roboto;sans-serif"/>
                <w:b/>
                <w:color w:val="000000"/>
                <w:sz w:val="10"/>
              </w:rPr>
              <w:t>(I)</w:t>
            </w:r>
          </w:p>
        </w:tc>
        <w:tc>
          <w:tcPr>
            <w:tcW w:w="1664"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ECF8FE" w:val="clear"/>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180975" cy="180975"/>
                  <wp:effectExtent l="0" t="0" r="0" b="0"/>
                  <wp:docPr id="275"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11" descr=""/>
                          <pic:cNvPicPr>
                            <a:picLocks noChangeAspect="1" noChangeArrowheads="1"/>
                          </pic:cNvPicPr>
                        </pic:nvPicPr>
                        <pic:blipFill>
                          <a:blip r:embed="rId242"/>
                          <a:stretch>
                            <a:fillRect/>
                          </a:stretch>
                        </pic:blipFill>
                        <pic:spPr bwMode="auto">
                          <a:xfrm>
                            <a:off x="0" y="0"/>
                            <a:ext cx="180975" cy="180975"/>
                          </a:xfrm>
                          <a:prstGeom prst="rect">
                            <a:avLst/>
                          </a:prstGeom>
                        </pic:spPr>
                      </pic:pic>
                    </a:graphicData>
                  </a:graphic>
                </wp:inline>
              </w:drawing>
            </w:r>
            <w:bookmarkStart w:id="240" w:name="i-211"/>
            <w:bookmarkEnd w:id="240"/>
          </w:p>
        </w:tc>
        <w:tc>
          <w:tcPr>
            <w:tcW w:w="3840"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0"/>
              <w:jc w:val="left"/>
              <w:rPr/>
            </w:pPr>
            <w:r>
              <w:rPr>
                <w:rFonts w:ascii="Roboto;sans-serif" w:hAnsi="Roboto;sans-serif"/>
                <w:b/>
                <w:color w:val="000000"/>
                <w:sz w:val="16"/>
              </w:rPr>
              <w:t>Jeff Tweedy</w:t>
            </w:r>
            <w:r>
              <w:rPr>
                <w:rFonts w:ascii="Roboto;sans-serif" w:hAnsi="Roboto;sans-serif"/>
                <w:b/>
                <w:color w:val="000000"/>
                <w:sz w:val="10"/>
              </w:rPr>
              <w:t>(I)</w:t>
            </w:r>
          </w:p>
        </w:tc>
        <w:tc>
          <w:tcPr>
            <w:tcW w:w="1664" w:type="dxa"/>
            <w:gridSpan w:val="3"/>
            <w:tcBorders>
              <w:bottom w:val="single" w:sz="12" w:space="0" w:color="E81111"/>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bottom w:val="single" w:sz="12" w:space="0" w:color="E81111"/>
            </w:tcBorders>
            <w:shd w:fill="FFFFFF" w:val="clear"/>
            <w:tcMar>
              <w:top w:w="0" w:type="dxa"/>
              <w:left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76"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12" descr=""/>
                          <pic:cNvPicPr>
                            <a:picLocks noChangeAspect="1" noChangeArrowheads="1"/>
                          </pic:cNvPicPr>
                        </pic:nvPicPr>
                        <pic:blipFill>
                          <a:blip r:embed="rId243"/>
                          <a:stretch>
                            <a:fillRect/>
                          </a:stretch>
                        </pic:blipFill>
                        <pic:spPr bwMode="auto">
                          <a:xfrm>
                            <a:off x="0" y="0"/>
                            <a:ext cx="180975" cy="180975"/>
                          </a:xfrm>
                          <a:prstGeom prst="rect">
                            <a:avLst/>
                          </a:prstGeom>
                        </pic:spPr>
                      </pic:pic>
                    </a:graphicData>
                  </a:graphic>
                </wp:inline>
              </w:drawing>
            </w:r>
            <w:bookmarkStart w:id="241" w:name="i-212"/>
            <w:bookmarkEnd w:id="241"/>
          </w:p>
        </w:tc>
        <w:tc>
          <w:tcPr>
            <w:tcW w:w="3840" w:type="dxa"/>
            <w:gridSpan w:val="3"/>
            <w:tcBorders>
              <w:bottom w:val="single" w:sz="12" w:space="0" w:color="E81111"/>
            </w:tcBorders>
            <w:shd w:fill="FFFFFF" w:val="clear"/>
            <w:tcMar>
              <w:top w:w="0" w:type="dxa"/>
              <w:left w:w="0" w:type="dxa"/>
              <w:right w:w="0" w:type="dxa"/>
            </w:tcMar>
            <w:vAlign w:val="center"/>
          </w:tcPr>
          <w:p>
            <w:pPr>
              <w:pStyle w:val="TableContents"/>
              <w:bidi w:val="0"/>
              <w:spacing w:before="0" w:after="0"/>
              <w:jc w:val="center"/>
              <w:rPr/>
            </w:pPr>
            <w:r>
              <w:rPr/>
              <w:drawing>
                <wp:inline distT="0" distB="0" distL="0" distR="0">
                  <wp:extent cx="180975" cy="180975"/>
                  <wp:effectExtent l="0" t="0" r="0" b="0"/>
                  <wp:docPr id="277"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13" descr=""/>
                          <pic:cNvPicPr>
                            <a:picLocks noChangeAspect="1" noChangeArrowheads="1"/>
                          </pic:cNvPicPr>
                        </pic:nvPicPr>
                        <pic:blipFill>
                          <a:blip r:embed="rId244"/>
                          <a:stretch>
                            <a:fillRect/>
                          </a:stretch>
                        </pic:blipFill>
                        <pic:spPr bwMode="auto">
                          <a:xfrm>
                            <a:off x="0" y="0"/>
                            <a:ext cx="180975" cy="180975"/>
                          </a:xfrm>
                          <a:prstGeom prst="rect">
                            <a:avLst/>
                          </a:prstGeom>
                        </pic:spPr>
                      </pic:pic>
                    </a:graphicData>
                  </a:graphic>
                </wp:inline>
              </w:drawing>
            </w:r>
            <w:bookmarkStart w:id="242" w:name="i-213"/>
            <w:bookmarkEnd w:id="242"/>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470"/>
        <w:gridCol w:w="470"/>
        <w:gridCol w:w="471"/>
        <w:gridCol w:w="109"/>
        <w:gridCol w:w="109"/>
        <w:gridCol w:w="109"/>
        <w:gridCol w:w="109"/>
        <w:gridCol w:w="109"/>
        <w:gridCol w:w="109"/>
        <w:gridCol w:w="520"/>
        <w:gridCol w:w="520"/>
        <w:gridCol w:w="521"/>
        <w:gridCol w:w="109"/>
        <w:gridCol w:w="109"/>
        <w:gridCol w:w="109"/>
        <w:gridCol w:w="569"/>
        <w:gridCol w:w="569"/>
        <w:gridCol w:w="571"/>
        <w:gridCol w:w="109"/>
        <w:gridCol w:w="109"/>
        <w:gridCol w:w="109"/>
        <w:gridCol w:w="761"/>
        <w:gridCol w:w="761"/>
        <w:gridCol w:w="764"/>
        <w:gridCol w:w="109"/>
        <w:gridCol w:w="109"/>
        <w:gridCol w:w="109"/>
        <w:gridCol w:w="368"/>
        <w:gridCol w:w="368"/>
        <w:gridCol w:w="5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123825"/>
                  <wp:effectExtent l="0" t="0" r="0" b="0"/>
                  <wp:docPr id="278"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14" descr=""/>
                          <pic:cNvPicPr>
                            <a:picLocks noChangeAspect="1" noChangeArrowheads="1"/>
                          </pic:cNvPicPr>
                        </pic:nvPicPr>
                        <pic:blipFill>
                          <a:blip r:embed="rId245"/>
                          <a:stretch>
                            <a:fillRect/>
                          </a:stretch>
                        </pic:blipFill>
                        <pic:spPr bwMode="auto">
                          <a:xfrm>
                            <a:off x="0" y="0"/>
                            <a:ext cx="85725" cy="123825"/>
                          </a:xfrm>
                          <a:prstGeom prst="rect">
                            <a:avLst/>
                          </a:prstGeom>
                        </pic:spPr>
                      </pic:pic>
                    </a:graphicData>
                  </a:graphic>
                </wp:inline>
              </w:drawing>
            </w:r>
            <w:bookmarkStart w:id="243" w:name="i-214"/>
            <w:bookmarkEnd w:id="243"/>
          </w:p>
        </w:tc>
        <w:tc>
          <w:tcPr>
            <w:tcW w:w="141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Helvetica Light;sans-serif" w:hAnsi="Helvetica Light;sans-serif"/>
                <w:b/>
                <w:color w:val="000000"/>
                <w:sz w:val="16"/>
              </w:rPr>
            </w:pPr>
            <w:r>
              <w:rPr>
                <w:rFonts w:ascii="Helvetica Light;sans-serif" w:hAnsi="Helvetica Light;sans-serif"/>
                <w:b/>
                <w:color w:val="000000"/>
                <w:sz w:val="16"/>
              </w:rPr>
              <w:t>Committee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123825"/>
                  <wp:effectExtent l="0" t="0" r="0" b="0"/>
                  <wp:docPr id="279"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15" descr=""/>
                          <pic:cNvPicPr>
                            <a:picLocks noChangeAspect="1" noChangeArrowheads="1"/>
                          </pic:cNvPicPr>
                        </pic:nvPicPr>
                        <pic:blipFill>
                          <a:blip r:embed="rId246"/>
                          <a:stretch>
                            <a:fillRect/>
                          </a:stretch>
                        </pic:blipFill>
                        <pic:spPr bwMode="auto">
                          <a:xfrm>
                            <a:off x="0" y="0"/>
                            <a:ext cx="85725" cy="123825"/>
                          </a:xfrm>
                          <a:prstGeom prst="rect">
                            <a:avLst/>
                          </a:prstGeom>
                        </pic:spPr>
                      </pic:pic>
                    </a:graphicData>
                  </a:graphic>
                </wp:inline>
              </w:drawing>
            </w:r>
            <w:bookmarkStart w:id="244" w:name="i-215"/>
            <w:bookmarkEnd w:id="244"/>
          </w:p>
        </w:tc>
        <w:tc>
          <w:tcPr>
            <w:tcW w:w="156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Helvetica Light;sans-serif" w:hAnsi="Helvetica Light;sans-serif"/>
                <w:b/>
                <w:color w:val="000000"/>
                <w:sz w:val="16"/>
              </w:rPr>
            </w:pPr>
            <w:r>
              <w:rPr>
                <w:rFonts w:ascii="Helvetica Light;sans-serif" w:hAnsi="Helvetica Light;sans-serif"/>
                <w:b/>
                <w:color w:val="000000"/>
                <w:sz w:val="16"/>
              </w:rPr>
              <w:t>Committee Member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color w:val="000000"/>
                <w:sz w:val="16"/>
              </w:rPr>
              <w:t>(I)</w:t>
            </w:r>
            <w:r>
              <w:rPr>
                <w:color w:val="000000"/>
              </w:rPr>
              <w:t xml:space="preserve"> </w:t>
            </w:r>
            <w:r>
              <w:rPr>
                <w:rFonts w:ascii="Helvetica Light;sans-serif" w:hAnsi="Helvetica Light;sans-serif"/>
                <w:b w:val="false"/>
                <w:color w:val="000000"/>
                <w:sz w:val="16"/>
              </w:rPr>
              <w:t>Independent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3"/>
            <w:tcBorders/>
            <w:tcMar>
              <w:top w:w="0" w:type="dxa"/>
              <w:left w:w="0" w:type="dxa"/>
              <w:bottom w:w="0" w:type="dxa"/>
              <w:right w:w="0" w:type="dxa"/>
            </w:tcMar>
            <w:vAlign w:val="center"/>
          </w:tcPr>
          <w:p>
            <w:pPr>
              <w:pStyle w:val="TableContents"/>
              <w:bidi w:val="0"/>
              <w:spacing w:lineRule="auto" w:line="312" w:before="0" w:after="0"/>
              <w:ind w:left="0" w:right="0" w:hanging="360"/>
              <w:jc w:val="left"/>
              <w:rPr/>
            </w:pPr>
            <w:r>
              <w:rPr>
                <w:rFonts w:ascii="Helvetica Light;sans-serif" w:hAnsi="Helvetica Light;sans-serif"/>
                <w:b/>
                <w:color w:val="000000"/>
                <w:sz w:val="16"/>
              </w:rPr>
              <w:t>*</w:t>
            </w:r>
            <w:r>
              <w:rPr>
                <w:color w:val="000000"/>
              </w:rPr>
              <w:t xml:space="preserve"> </w:t>
            </w:r>
            <w:r>
              <w:rPr>
                <w:rFonts w:ascii="Helvetica Light;sans-serif" w:hAnsi="Helvetica Light;sans-serif"/>
                <w:b w:val="false"/>
                <w:color w:val="000000"/>
                <w:sz w:val="16"/>
              </w:rPr>
              <w:t>SEC Audit Committee Financial Expert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color w:val="000000"/>
                <w:sz w:val="16"/>
              </w:rPr>
              <w:t>LD</w:t>
            </w:r>
            <w:r>
              <w:rPr>
                <w:color w:val="000000"/>
              </w:rPr>
              <w:t xml:space="preserve"> </w:t>
            </w:r>
            <w:r>
              <w:rPr>
                <w:rFonts w:ascii="Helvetica Light;sans-serif" w:hAnsi="Helvetica Light;sans-serif"/>
                <w:b w:val="false"/>
                <w:color w:val="000000"/>
                <w:sz w:val="16"/>
              </w:rPr>
              <w:t>Lead Director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263525"/>
                <wp:effectExtent l="0" t="0" r="0" b="0"/>
                <wp:wrapNone/>
                <wp:docPr id="280" name="Frame35"/>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281"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16" descr=""/>
                                          <pic:cNvPicPr>
                                            <a:picLocks noChangeAspect="1" noChangeArrowheads="1"/>
                                          </pic:cNvPicPr>
                                        </pic:nvPicPr>
                                        <pic:blipFill>
                                          <a:blip r:embed="rId247"/>
                                          <a:stretch>
                                            <a:fillRect/>
                                          </a:stretch>
                                        </pic:blipFill>
                                        <pic:spPr bwMode="auto">
                                          <a:xfrm>
                                            <a:off x="0" y="0"/>
                                            <a:ext cx="266700" cy="200025"/>
                                          </a:xfrm>
                                          <a:prstGeom prst="rect">
                                            <a:avLst/>
                                          </a:prstGeom>
                                        </pic:spPr>
                                      </pic:pic>
                                    </a:graphicData>
                                  </a:graphic>
                                </wp:inline>
                              </w:drawing>
                            </w:r>
                            <w:bookmarkStart w:id="245" w:name="i-216"/>
                            <w:bookmarkEnd w:id="245"/>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282"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16" descr=""/>
                                    <pic:cNvPicPr>
                                      <a:picLocks noChangeAspect="1" noChangeArrowheads="1"/>
                                    </pic:cNvPicPr>
                                  </pic:nvPicPr>
                                  <pic:blipFill>
                                    <a:blip r:embed="rId248"/>
                                    <a:stretch>
                                      <a:fillRect/>
                                    </a:stretch>
                                  </pic:blipFill>
                                  <pic:spPr bwMode="auto">
                                    <a:xfrm>
                                      <a:off x="0" y="0"/>
                                      <a:ext cx="266700" cy="200025"/>
                                    </a:xfrm>
                                    <a:prstGeom prst="rect">
                                      <a:avLst/>
                                    </a:prstGeom>
                                  </pic:spPr>
                                </pic:pic>
                              </a:graphicData>
                            </a:graphic>
                          </wp:inline>
                        </w:drawing>
                      </w:r>
                      <w:bookmarkStart w:id="246" w:name="i-216"/>
                      <w:bookmarkEnd w:id="246"/>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625"/>
        <w:gridCol w:w="625"/>
        <w:gridCol w:w="626"/>
        <w:gridCol w:w="109"/>
        <w:gridCol w:w="109"/>
        <w:gridCol w:w="109"/>
        <w:gridCol w:w="109"/>
        <w:gridCol w:w="109"/>
        <w:gridCol w:w="109"/>
        <w:gridCol w:w="395"/>
        <w:gridCol w:w="381"/>
        <w:gridCol w:w="383"/>
        <w:gridCol w:w="109"/>
        <w:gridCol w:w="109"/>
        <w:gridCol w:w="109"/>
        <w:gridCol w:w="109"/>
        <w:gridCol w:w="109"/>
        <w:gridCol w:w="109"/>
        <w:gridCol w:w="1714"/>
        <w:gridCol w:w="1714"/>
        <w:gridCol w:w="1717"/>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946C8"/>
              <w:left w:val="single" w:sz="8" w:space="0" w:color="1946C8"/>
            </w:tcBorders>
            <w:shd w:fill="1946C8" w:val="clear"/>
            <w:tcMar>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op w:val="single" w:sz="8" w:space="0" w:color="1946C8"/>
            </w:tcBorders>
            <w:shd w:fill="1946C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946C8"/>
            </w:tcBorders>
            <w:shd w:fill="1946C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1946C8"/>
              <w:right w:val="single" w:sz="8" w:space="0" w:color="1946C8"/>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946C8"/>
            </w:tcBorders>
            <w:shd w:fill="1946C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vMerge w:val="restart"/>
            <w:tcBorders/>
            <w:shd w:fill="1946C8"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FFFFFF"/>
                <w:sz w:val="28"/>
              </w:rPr>
            </w:pPr>
            <w:r>
              <w:rPr>
                <w:rFonts w:ascii="Roboto;sans-serif" w:hAnsi="Roboto;sans-serif"/>
                <w:b/>
                <w:color w:val="FFFFFF"/>
                <w:sz w:val="28"/>
              </w:rPr>
              <w:t xml:space="preserve">Audit </w:t>
            </w:r>
          </w:p>
          <w:p>
            <w:pPr>
              <w:pStyle w:val="TableContents"/>
              <w:bidi w:val="0"/>
              <w:spacing w:lineRule="auto" w:line="288" w:before="0" w:after="0"/>
              <w:jc w:val="left"/>
              <w:rPr>
                <w:rFonts w:ascii="Roboto;sans-serif" w:hAnsi="Roboto;sans-serif"/>
                <w:b/>
                <w:color w:val="FFFFFF"/>
                <w:sz w:val="28"/>
              </w:rPr>
            </w:pPr>
            <w:r>
              <w:rPr>
                <w:rFonts w:ascii="Roboto;sans-serif" w:hAnsi="Roboto;sans-serif"/>
                <w:b/>
                <w:color w:val="FFFFFF"/>
                <w:sz w:val="28"/>
              </w:rPr>
              <w:t>Committee</w:t>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000000"/>
                <w:sz w:val="18"/>
              </w:rPr>
            </w:pPr>
            <w:r>
              <w:rPr>
                <w:rFonts w:ascii="Roboto;sans-serif" w:hAnsi="Roboto;sans-serif"/>
                <w:b/>
                <w:color w:val="000000"/>
                <w:sz w:val="18"/>
              </w:rPr>
              <w:t xml:space="preserve">Members: </w:t>
            </w:r>
          </w:p>
          <w:p>
            <w:pPr>
              <w:pStyle w:val="TableContents"/>
              <w:bidi w:val="0"/>
              <w:spacing w:lineRule="auto" w:line="312" w:before="0" w:after="0"/>
              <w:ind w:left="0" w:right="0" w:hanging="288"/>
              <w:jc w:val="left"/>
              <w:rPr/>
            </w:pPr>
            <w:r>
              <w:rPr>
                <w:color w:val="000000"/>
              </w:rPr>
              <w:t>•</w:t>
            </w:r>
            <w:r>
              <w:rPr>
                <w:rFonts w:ascii="Roboto;sans-serif" w:hAnsi="Roboto;sans-serif"/>
                <w:b w:val="false"/>
                <w:color w:val="000000"/>
                <w:sz w:val="18"/>
              </w:rPr>
              <w:t>Brian Marley (Chair)</w:t>
            </w:r>
          </w:p>
          <w:p>
            <w:pPr>
              <w:pStyle w:val="TableContents"/>
              <w:bidi w:val="0"/>
              <w:spacing w:lineRule="auto" w:line="312" w:before="0" w:after="0"/>
              <w:ind w:left="0" w:right="0" w:hanging="288"/>
              <w:jc w:val="left"/>
              <w:rPr/>
            </w:pPr>
            <w:r>
              <w:rPr>
                <w:color w:val="000000"/>
              </w:rPr>
              <w:t>•</w:t>
            </w:r>
            <w:r>
              <w:rPr>
                <w:rFonts w:ascii="Roboto;sans-serif" w:hAnsi="Roboto;sans-serif"/>
                <w:b w:val="false"/>
                <w:color w:val="000000"/>
                <w:sz w:val="18"/>
              </w:rPr>
              <w:t>Wendy Beck</w:t>
            </w:r>
          </w:p>
          <w:p>
            <w:pPr>
              <w:pStyle w:val="TableContents"/>
              <w:bidi w:val="0"/>
              <w:spacing w:lineRule="auto" w:line="312" w:before="0" w:after="0"/>
              <w:ind w:left="0" w:right="0" w:hanging="288"/>
              <w:jc w:val="left"/>
              <w:rPr/>
            </w:pPr>
            <w:r>
              <w:rPr>
                <w:color w:val="000000"/>
              </w:rPr>
              <w:t>•</w:t>
            </w:r>
            <w:r>
              <w:rPr>
                <w:rFonts w:ascii="Roboto;sans-serif" w:hAnsi="Roboto;sans-serif"/>
                <w:b w:val="false"/>
                <w:color w:val="000000"/>
                <w:sz w:val="18"/>
              </w:rPr>
              <w:t>Michael Dastugue</w:t>
            </w:r>
          </w:p>
          <w:p>
            <w:pPr>
              <w:pStyle w:val="TableContents"/>
              <w:bidi w:val="0"/>
              <w:spacing w:lineRule="auto" w:line="312" w:before="0" w:after="0"/>
              <w:ind w:left="0" w:right="0" w:hanging="288"/>
              <w:jc w:val="left"/>
              <w:rPr/>
            </w:pPr>
            <w:r>
              <w:rPr>
                <w:color w:val="000000"/>
              </w:rPr>
              <w:t>•</w:t>
            </w:r>
            <w:r>
              <w:rPr>
                <w:rFonts w:ascii="Roboto;sans-serif" w:hAnsi="Roboto;sans-serif"/>
                <w:b w:val="false"/>
                <w:color w:val="000000"/>
                <w:sz w:val="18"/>
              </w:rPr>
              <w:t>Tom Nealon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left w:val="single" w:sz="4"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color w:val="000000"/>
                <w:sz w:val="18"/>
              </w:rPr>
              <w:t xml:space="preserve">Independence: </w:t>
            </w:r>
            <w:r>
              <w:rPr>
                <w:rFonts w:ascii="Roboto;sans-serif" w:hAnsi="Roboto;sans-serif"/>
                <w:b w:val="false"/>
                <w:color w:val="000000"/>
                <w:sz w:val="16"/>
              </w:rPr>
              <w:t>The Board has determined that each member of the Audit Committee is “independent,” as required by Rule 10A-3 under the Exchange Act, and the Nasdaq Listing Rules applicable to directors and audit committee members, and meets the “financial sophistication” requirement within the meaning of the Nasdaq Listing Rules, and has also determined that Messrs. Dastugue, Marley, and Nealon and Ms. Beck each qualify as an “audit committee financial expert,” as defined in Item 407(d)(5) of Regulation S-K under the Securities Act.</w:t>
            </w:r>
          </w:p>
        </w:tc>
        <w:tc>
          <w:tcPr>
            <w:tcW w:w="375" w:type="dxa"/>
            <w:gridSpan w:val="3"/>
            <w:tcBorders>
              <w:right w:val="single" w:sz="8"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946C8"/>
            </w:tcBorders>
            <w:shd w:fill="1946C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4"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left w:val="single" w:sz="4" w:space="0" w:color="1946C8"/>
            </w:tcBorders>
            <w:tcMar>
              <w:top w:w="0" w:type="dxa"/>
              <w:bottom w:w="0" w:type="dxa"/>
              <w:right w:w="0" w:type="dxa"/>
            </w:tcMar>
            <w:vAlign w:val="center"/>
          </w:tcPr>
          <w:p>
            <w:pPr>
              <w:pStyle w:val="Normal"/>
              <w:bidi w:val="0"/>
              <w:jc w:val="left"/>
              <w:rPr/>
            </w:pPr>
            <w:r>
              <w:rPr/>
            </w:r>
          </w:p>
        </w:tc>
        <w:tc>
          <w:tcPr>
            <w:tcW w:w="5145"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right w:val="single" w:sz="8"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946C8"/>
            </w:tcBorders>
            <w:shd w:fill="1946C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4"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4"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left w:val="single" w:sz="4" w:space="0" w:color="1946C8"/>
            </w:tcBorders>
            <w:tcMar>
              <w:top w:w="0" w:type="dxa"/>
              <w:bottom w:w="0" w:type="dxa"/>
              <w:right w:w="0" w:type="dxa"/>
            </w:tcMar>
            <w:vAlign w:val="center"/>
          </w:tcPr>
          <w:p>
            <w:pPr>
              <w:pStyle w:val="Normal"/>
              <w:bidi w:val="0"/>
              <w:jc w:val="left"/>
              <w:rPr/>
            </w:pPr>
            <w:r>
              <w:rPr/>
            </w:r>
          </w:p>
        </w:tc>
        <w:tc>
          <w:tcPr>
            <w:tcW w:w="5145"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right w:val="single" w:sz="8"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946C8"/>
            </w:tcBorders>
            <w:shd w:fill="1946C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000000"/>
                <w:sz w:val="18"/>
              </w:rPr>
            </w:pPr>
            <w:r>
              <w:rPr>
                <w:rFonts w:ascii="Roboto;sans-serif" w:hAnsi="Roboto;sans-serif"/>
                <w:b/>
                <w:color w:val="000000"/>
                <w:sz w:val="18"/>
              </w:rPr>
              <w:t xml:space="preserve">Number of meetings </w:t>
            </w:r>
          </w:p>
          <w:p>
            <w:pPr>
              <w:pStyle w:val="TableContents"/>
              <w:bidi w:val="0"/>
              <w:spacing w:lineRule="auto" w:line="312" w:before="0" w:after="0"/>
              <w:jc w:val="left"/>
              <w:rPr/>
            </w:pPr>
            <w:r>
              <w:rPr>
                <w:rFonts w:ascii="Roboto;sans-serif" w:hAnsi="Roboto;sans-serif"/>
                <w:b/>
                <w:color w:val="000000"/>
                <w:sz w:val="18"/>
              </w:rPr>
              <w:t xml:space="preserve">in fiscal 2025: </w:t>
            </w:r>
            <w:r>
              <w:rPr>
                <w:rFonts w:ascii="Roboto;sans-serif" w:hAnsi="Roboto;sans-serif"/>
                <w:b w:val="false"/>
                <w:color w:val="000000"/>
                <w:sz w:val="18"/>
              </w:rPr>
              <w:t>5</w:t>
            </w:r>
          </w:p>
        </w:tc>
        <w:tc>
          <w:tcPr>
            <w:tcW w:w="327" w:type="dxa"/>
            <w:gridSpan w:val="3"/>
            <w:tcBorders>
              <w:right w:val="single" w:sz="4"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left w:val="single" w:sz="4" w:space="0" w:color="1946C8"/>
            </w:tcBorders>
            <w:tcMar>
              <w:top w:w="0" w:type="dxa"/>
              <w:bottom w:w="0" w:type="dxa"/>
              <w:right w:w="0" w:type="dxa"/>
            </w:tcMar>
            <w:vAlign w:val="center"/>
          </w:tcPr>
          <w:p>
            <w:pPr>
              <w:pStyle w:val="Normal"/>
              <w:bidi w:val="0"/>
              <w:jc w:val="left"/>
              <w:rPr/>
            </w:pPr>
            <w:r>
              <w:rPr/>
            </w:r>
          </w:p>
        </w:tc>
        <w:tc>
          <w:tcPr>
            <w:tcW w:w="5145"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right w:val="single" w:sz="8"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946C8"/>
              <w:bottom w:val="single" w:sz="8" w:space="0" w:color="1946C8"/>
            </w:tcBorders>
            <w:shd w:fill="1946C8" w:val="clear"/>
            <w:tcMar>
              <w:top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bottom w:val="single" w:sz="8" w:space="0" w:color="1946C8"/>
            </w:tcBorders>
            <w:shd w:fill="1946C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1946C8"/>
            </w:tcBorders>
            <w:shd w:fill="1946C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19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bottom w:val="single" w:sz="8" w:space="0" w:color="19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19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19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bottom w:val="single" w:sz="8" w:space="0" w:color="19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1946C8"/>
              <w:right w:val="single" w:sz="8" w:space="0" w:color="1946C8"/>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120"/>
        <w:jc w:val="left"/>
        <w:rPr>
          <w:rFonts w:ascii="Roboto Light;sans-serif" w:hAnsi="Roboto Light;sans-serif"/>
          <w:b w:val="false"/>
          <w:color w:val="000000"/>
          <w:sz w:val="18"/>
        </w:rPr>
      </w:pPr>
      <w:r>
        <w:rPr>
          <w:rFonts w:ascii="Roboto Light;sans-serif" w:hAnsi="Roboto Light;sans-serif"/>
          <w:b w:val="false"/>
          <w:color w:val="000000"/>
          <w:sz w:val="18"/>
        </w:rPr>
        <w:t>Under the Audit Committee’s charter, which is reviewed by the Audit Committee annually, the oversight responsibilities of the Audit Committee involve the following (among others):</w:t>
      </w:r>
    </w:p>
    <w:p>
      <w:pPr>
        <w:pStyle w:val="TextBody"/>
        <w:bidi w:val="0"/>
        <w:spacing w:lineRule="auto" w:line="288" w:before="0" w:after="120"/>
        <w:ind w:left="0" w:right="0" w:hanging="288"/>
        <w:jc w:val="left"/>
        <w:rPr/>
      </w:pPr>
      <w:r>
        <w:rPr>
          <w:color w:val="000000"/>
        </w:rPr>
        <w:t>•</w:t>
      </w:r>
      <w:r>
        <w:rPr>
          <w:rFonts w:ascii="Roboto Light;sans-serif" w:hAnsi="Roboto Light;sans-serif"/>
          <w:b w:val="false"/>
          <w:color w:val="000000"/>
          <w:sz w:val="18"/>
        </w:rPr>
        <w:t>overseeing our consolidated financial statements and the audits thereof, earnings press releases, and earnings guidance;</w:t>
      </w:r>
    </w:p>
    <w:p>
      <w:pPr>
        <w:pStyle w:val="TextBody"/>
        <w:bidi w:val="0"/>
        <w:spacing w:lineRule="auto" w:line="288" w:before="0" w:after="120"/>
        <w:ind w:left="0" w:right="0" w:hanging="288"/>
        <w:jc w:val="left"/>
        <w:rPr/>
      </w:pPr>
      <w:r>
        <w:rPr>
          <w:color w:val="000000"/>
        </w:rPr>
        <w:t>•</w:t>
      </w:r>
      <w:r>
        <w:rPr>
          <w:rFonts w:ascii="Roboto Light;sans-serif" w:hAnsi="Roboto Light;sans-serif"/>
          <w:b w:val="false"/>
          <w:color w:val="000000"/>
          <w:sz w:val="18"/>
        </w:rPr>
        <w:t>engaging our independent registered public accounting firm and reviewing and approving or confirming its compensation, qualifications, performance, and independence;</w:t>
      </w:r>
    </w:p>
    <w:p>
      <w:pPr>
        <w:pStyle w:val="TextBody"/>
        <w:bidi w:val="0"/>
        <w:spacing w:lineRule="auto" w:line="288" w:before="0" w:after="120"/>
        <w:ind w:left="0" w:right="0" w:hanging="288"/>
        <w:jc w:val="left"/>
        <w:rPr/>
      </w:pPr>
      <w:r>
        <w:rPr>
          <w:color w:val="000000"/>
        </w:rPr>
        <w:t>•</w:t>
      </w:r>
      <w:r>
        <w:rPr>
          <w:rFonts w:ascii="Roboto Light;sans-serif" w:hAnsi="Roboto Light;sans-serif"/>
          <w:b w:val="false"/>
          <w:color w:val="000000"/>
          <w:sz w:val="18"/>
        </w:rPr>
        <w:t xml:space="preserve">overseeing our accounting, financial reporting, and disclosure processes, practices and controls, and the quality and integrity thereof; </w:t>
      </w:r>
    </w:p>
    <w:p>
      <w:pPr>
        <w:pStyle w:val="TextBody"/>
        <w:bidi w:val="0"/>
        <w:spacing w:lineRule="auto" w:line="288" w:before="0" w:after="120"/>
        <w:ind w:left="0" w:right="0" w:hanging="288"/>
        <w:jc w:val="left"/>
        <w:rPr/>
      </w:pPr>
      <w:r>
        <w:rPr>
          <w:color w:val="000000"/>
        </w:rPr>
        <w:t>•</w:t>
      </w:r>
      <w:r>
        <w:rPr>
          <w:rFonts w:ascii="Roboto Light;sans-serif" w:hAnsi="Roboto Light;sans-serif"/>
          <w:b w:val="false"/>
          <w:color w:val="000000"/>
          <w:sz w:val="18"/>
        </w:rPr>
        <w:t xml:space="preserve">overseeing our systems of internal controls regarding financial reporting and the adequacy and soundness thereof; </w:t>
      </w:r>
    </w:p>
    <w:p>
      <w:pPr>
        <w:pStyle w:val="TextBody"/>
        <w:bidi w:val="0"/>
        <w:spacing w:lineRule="auto" w:line="288" w:before="0" w:after="120"/>
        <w:ind w:left="0" w:right="0" w:hanging="288"/>
        <w:jc w:val="left"/>
        <w:rPr/>
      </w:pPr>
      <w:r>
        <w:rPr>
          <w:color w:val="000000"/>
        </w:rPr>
        <w:t>•</w:t>
      </w:r>
      <w:r>
        <w:rPr>
          <w:rFonts w:ascii="Roboto Light;sans-serif" w:hAnsi="Roboto Light;sans-serif"/>
          <w:b w:val="false"/>
          <w:color w:val="000000"/>
          <w:sz w:val="18"/>
        </w:rPr>
        <w:t>overseeing our internal audit function and its performance;</w:t>
      </w:r>
    </w:p>
    <w:p>
      <w:pPr>
        <w:pStyle w:val="TextBody"/>
        <w:bidi w:val="0"/>
        <w:spacing w:lineRule="auto" w:line="288" w:before="0" w:after="120"/>
        <w:ind w:left="0" w:right="0" w:hanging="288"/>
        <w:jc w:val="left"/>
        <w:rPr/>
      </w:pPr>
      <w:r>
        <w:rPr>
          <w:color w:val="000000"/>
        </w:rPr>
        <w:t>•</w:t>
      </w:r>
      <w:r>
        <w:rPr>
          <w:rFonts w:ascii="Roboto Light;sans-serif" w:hAnsi="Roboto Light;sans-serif"/>
          <w:b w:val="false"/>
          <w:color w:val="000000"/>
          <w:sz w:val="18"/>
        </w:rPr>
        <w:t>overseeing our enterprise risk management and periodically reviewing and discussing with management and our independent registered public accounting firm our major enterprise risk exposure;</w:t>
      </w:r>
    </w:p>
    <w:p>
      <w:pPr>
        <w:pStyle w:val="TextBody"/>
        <w:bidi w:val="0"/>
        <w:spacing w:lineRule="auto" w:line="288" w:before="0" w:after="120"/>
        <w:ind w:left="0" w:right="0" w:hanging="288"/>
        <w:jc w:val="left"/>
        <w:rPr/>
      </w:pPr>
      <w:r>
        <w:rPr>
          <w:color w:val="000000"/>
        </w:rPr>
        <w:t>•</w:t>
      </w:r>
      <w:r>
        <w:rPr>
          <w:rFonts w:ascii="Roboto Light;sans-serif" w:hAnsi="Roboto Light;sans-serif"/>
          <w:b w:val="false"/>
          <w:color w:val="000000"/>
          <w:sz w:val="18"/>
        </w:rPr>
        <w:t>overseeing our information technology and cybersecurity programs and periodically reviewing, evaluating, and discussing the adequacy of our information technology security program, compliance, and controls with our Chief Information Officer;</w:t>
      </w:r>
    </w:p>
    <w:p>
      <w:pPr>
        <w:pStyle w:val="TextBody"/>
        <w:bidi w:val="0"/>
        <w:spacing w:lineRule="auto" w:line="288" w:before="0" w:after="120"/>
        <w:ind w:left="0" w:right="0" w:hanging="288"/>
        <w:jc w:val="left"/>
        <w:rPr/>
      </w:pPr>
      <w:r>
        <w:rPr>
          <w:color w:val="000000"/>
        </w:rPr>
        <w:t>•</w:t>
      </w:r>
      <w:r>
        <w:rPr>
          <w:rFonts w:ascii="Roboto Light;sans-serif" w:hAnsi="Roboto Light;sans-serif"/>
          <w:b w:val="false"/>
          <w:color w:val="000000"/>
          <w:sz w:val="18"/>
        </w:rPr>
        <w:t>reviewing our legal, compliance, ethics and whistleblower programs and related matters;</w:t>
      </w:r>
    </w:p>
    <w:p>
      <w:pPr>
        <w:pStyle w:val="TextBody"/>
        <w:bidi w:val="0"/>
        <w:spacing w:lineRule="auto" w:line="288" w:before="0" w:after="120"/>
        <w:ind w:left="0" w:right="0" w:hanging="288"/>
        <w:jc w:val="left"/>
        <w:rPr/>
      </w:pPr>
      <w:r>
        <w:rPr>
          <w:color w:val="000000"/>
        </w:rPr>
        <w:t>•</w:t>
      </w:r>
      <w:r>
        <w:rPr>
          <w:rFonts w:ascii="Roboto Light;sans-serif" w:hAnsi="Roboto Light;sans-serif"/>
          <w:b w:val="false"/>
          <w:color w:val="000000"/>
          <w:sz w:val="18"/>
        </w:rPr>
        <w:t xml:space="preserve">pre-approving, eligible audit and non-audit services to be performed by the independent registered public accounting firm; </w:t>
      </w:r>
    </w:p>
    <w:p>
      <w:pPr>
        <w:pStyle w:val="TextBody"/>
        <w:bidi w:val="0"/>
        <w:spacing w:lineRule="auto" w:line="288" w:before="0" w:after="120"/>
        <w:ind w:left="0" w:right="0" w:hanging="288"/>
        <w:jc w:val="left"/>
        <w:rPr/>
      </w:pPr>
      <w:r>
        <w:rPr>
          <w:color w:val="000000"/>
        </w:rPr>
        <w:t>•</w:t>
      </w:r>
      <w:r>
        <w:rPr>
          <w:rFonts w:ascii="Roboto Light;sans-serif" w:hAnsi="Roboto Light;sans-serif"/>
          <w:b w:val="false"/>
          <w:color w:val="000000"/>
          <w:sz w:val="18"/>
        </w:rPr>
        <w:t>reviewing with management, and as applicable, our independent registered public accounting firm, disclosure controls and procedures over responsible leadership, related person transactions and overseeing other related person transactions under the accounting rules; and</w:t>
      </w:r>
    </w:p>
    <w:p>
      <w:pPr>
        <w:pStyle w:val="TextBody"/>
        <w:bidi w:val="0"/>
        <w:spacing w:lineRule="auto" w:line="288" w:before="0" w:after="240"/>
        <w:ind w:left="0" w:right="0" w:hanging="288"/>
        <w:jc w:val="left"/>
        <w:rPr/>
      </w:pPr>
      <w:r>
        <w:rPr>
          <w:color w:val="000000"/>
        </w:rPr>
        <w:t>•</w:t>
      </w:r>
      <w:r>
        <w:rPr>
          <w:rFonts w:ascii="Roboto Light;sans-serif" w:hAnsi="Roboto Light;sans-serif"/>
          <w:b w:val="false"/>
          <w:color w:val="000000"/>
          <w:sz w:val="18"/>
        </w:rPr>
        <w:t>reviewing and approving the Report of the Audit Committee for inclusion in the Proxy Statement. For more information, see “Report of the Audit Committee.”</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Along with the Board, the Audit Committee receives regular reports from management to help ensure its effective and efficient oversight and to assist in its proper risk management and ongoing evaluation of management controls. Through its regular meetings with management, including the accounting, finance, legal, internal audit, risk management, business continuity, and information technology functions and discussions, as appropriate, with our independent registered public accounting firm and internal auditors, the Audit Committee reviews and discusses significant areas of our business, including areas of risk and appropriate mitigating factors. Our internal auditors report functionally and administratively to our Chief Financial Officer and directly to the Audit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263525"/>
                <wp:effectExtent l="0" t="0" r="0" b="0"/>
                <wp:wrapNone/>
                <wp:docPr id="283" name="Frame36"/>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284"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17" descr=""/>
                                          <pic:cNvPicPr>
                                            <a:picLocks noChangeAspect="1" noChangeArrowheads="1"/>
                                          </pic:cNvPicPr>
                                        </pic:nvPicPr>
                                        <pic:blipFill>
                                          <a:blip r:embed="rId249"/>
                                          <a:stretch>
                                            <a:fillRect/>
                                          </a:stretch>
                                        </pic:blipFill>
                                        <pic:spPr bwMode="auto">
                                          <a:xfrm>
                                            <a:off x="0" y="0"/>
                                            <a:ext cx="266700" cy="200025"/>
                                          </a:xfrm>
                                          <a:prstGeom prst="rect">
                                            <a:avLst/>
                                          </a:prstGeom>
                                        </pic:spPr>
                                      </pic:pic>
                                    </a:graphicData>
                                  </a:graphic>
                                </wp:inline>
                              </w:drawing>
                            </w:r>
                            <w:bookmarkStart w:id="247" w:name="i-217"/>
                            <w:bookmarkEnd w:id="247"/>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285"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17" descr=""/>
                                    <pic:cNvPicPr>
                                      <a:picLocks noChangeAspect="1" noChangeArrowheads="1"/>
                                    </pic:cNvPicPr>
                                  </pic:nvPicPr>
                                  <pic:blipFill>
                                    <a:blip r:embed="rId250"/>
                                    <a:stretch>
                                      <a:fillRect/>
                                    </a:stretch>
                                  </pic:blipFill>
                                  <pic:spPr bwMode="auto">
                                    <a:xfrm>
                                      <a:off x="0" y="0"/>
                                      <a:ext cx="266700" cy="200025"/>
                                    </a:xfrm>
                                    <a:prstGeom prst="rect">
                                      <a:avLst/>
                                    </a:prstGeom>
                                  </pic:spPr>
                                </pic:pic>
                              </a:graphicData>
                            </a:graphic>
                          </wp:inline>
                        </w:drawing>
                      </w:r>
                      <w:bookmarkStart w:id="248" w:name="i-217"/>
                      <w:bookmarkEnd w:id="248"/>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31</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813"/>
        <w:gridCol w:w="813"/>
        <w:gridCol w:w="814"/>
        <w:gridCol w:w="109"/>
        <w:gridCol w:w="109"/>
        <w:gridCol w:w="109"/>
        <w:gridCol w:w="109"/>
        <w:gridCol w:w="109"/>
        <w:gridCol w:w="109"/>
        <w:gridCol w:w="409"/>
        <w:gridCol w:w="396"/>
        <w:gridCol w:w="397"/>
        <w:gridCol w:w="109"/>
        <w:gridCol w:w="109"/>
        <w:gridCol w:w="109"/>
        <w:gridCol w:w="109"/>
        <w:gridCol w:w="109"/>
        <w:gridCol w:w="109"/>
        <w:gridCol w:w="1511"/>
        <w:gridCol w:w="1511"/>
        <w:gridCol w:w="1514"/>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946C8"/>
              <w:left w:val="single" w:sz="8" w:space="0" w:color="1946C8"/>
            </w:tcBorders>
            <w:shd w:fill="1946C8" w:val="clear"/>
            <w:tcMar>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top w:val="single" w:sz="8" w:space="0" w:color="1946C8"/>
            </w:tcBorders>
            <w:shd w:fill="1946C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946C8"/>
            </w:tcBorders>
            <w:shd w:fill="1946C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6"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1946C8"/>
              <w:right w:val="single" w:sz="8" w:space="0" w:color="1946C8"/>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946C8"/>
            </w:tcBorders>
            <w:shd w:fill="1946C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vMerge w:val="restart"/>
            <w:tcBorders/>
            <w:shd w:fill="1946C8"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FFFFFF"/>
                <w:sz w:val="28"/>
              </w:rPr>
            </w:pPr>
            <w:r>
              <w:rPr>
                <w:rFonts w:ascii="Roboto;sans-serif" w:hAnsi="Roboto;sans-serif"/>
                <w:b/>
                <w:color w:val="FFFFFF"/>
                <w:sz w:val="28"/>
              </w:rPr>
              <w:t xml:space="preserve">Compensation </w:t>
            </w:r>
          </w:p>
          <w:p>
            <w:pPr>
              <w:pStyle w:val="TableContents"/>
              <w:bidi w:val="0"/>
              <w:spacing w:lineRule="auto" w:line="288" w:before="0" w:after="0"/>
              <w:jc w:val="left"/>
              <w:rPr>
                <w:rFonts w:ascii="Roboto;sans-serif" w:hAnsi="Roboto;sans-serif"/>
                <w:b/>
                <w:color w:val="FFFFFF"/>
                <w:sz w:val="28"/>
              </w:rPr>
            </w:pPr>
            <w:r>
              <w:rPr>
                <w:rFonts w:ascii="Roboto;sans-serif" w:hAnsi="Roboto;sans-serif"/>
                <w:b/>
                <w:color w:val="FFFFFF"/>
                <w:sz w:val="28"/>
              </w:rPr>
              <w:t>Committee</w:t>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000000"/>
                <w:sz w:val="18"/>
              </w:rPr>
            </w:pPr>
            <w:r>
              <w:rPr>
                <w:rFonts w:ascii="Roboto;sans-serif" w:hAnsi="Roboto;sans-serif"/>
                <w:b/>
                <w:color w:val="000000"/>
                <w:sz w:val="18"/>
              </w:rPr>
              <w:t xml:space="preserve">Members: </w:t>
            </w:r>
          </w:p>
          <w:p>
            <w:pPr>
              <w:pStyle w:val="TableContents"/>
              <w:bidi w:val="0"/>
              <w:spacing w:lineRule="auto" w:line="312" w:before="0" w:after="0"/>
              <w:ind w:left="0" w:right="0" w:hanging="288"/>
              <w:jc w:val="left"/>
              <w:rPr/>
            </w:pPr>
            <w:r>
              <w:rPr>
                <w:color w:val="000000"/>
              </w:rPr>
              <w:t>•</w:t>
            </w:r>
            <w:r>
              <w:rPr>
                <w:rFonts w:ascii="Roboto;sans-serif" w:hAnsi="Roboto;sans-serif"/>
                <w:b w:val="false"/>
                <w:color w:val="000000"/>
                <w:sz w:val="18"/>
              </w:rPr>
              <w:t>Beryl Raff (Chair)</w:t>
            </w:r>
          </w:p>
          <w:p>
            <w:pPr>
              <w:pStyle w:val="TableContents"/>
              <w:bidi w:val="0"/>
              <w:spacing w:lineRule="auto" w:line="312" w:before="0" w:after="0"/>
              <w:ind w:left="0" w:right="0" w:hanging="288"/>
              <w:jc w:val="left"/>
              <w:rPr/>
            </w:pPr>
            <w:r>
              <w:rPr>
                <w:color w:val="000000"/>
              </w:rPr>
              <w:t>•</w:t>
            </w:r>
            <w:r>
              <w:rPr>
                <w:rFonts w:ascii="Roboto;sans-serif" w:hAnsi="Roboto;sans-serif"/>
                <w:b w:val="false"/>
                <w:color w:val="000000"/>
                <w:sz w:val="18"/>
              </w:rPr>
              <w:t>Tom Nealon</w:t>
            </w:r>
          </w:p>
          <w:p>
            <w:pPr>
              <w:pStyle w:val="TableContents"/>
              <w:bidi w:val="0"/>
              <w:spacing w:lineRule="auto" w:line="312" w:before="0" w:after="0"/>
              <w:ind w:left="0" w:right="0" w:hanging="288"/>
              <w:jc w:val="left"/>
              <w:rPr/>
            </w:pPr>
            <w:r>
              <w:rPr>
                <w:color w:val="000000"/>
              </w:rPr>
              <w:t>•</w:t>
            </w:r>
            <w:r>
              <w:rPr>
                <w:rFonts w:ascii="Roboto;sans-serif" w:hAnsi="Roboto;sans-serif"/>
                <w:b w:val="false"/>
                <w:color w:val="000000"/>
                <w:sz w:val="18"/>
              </w:rPr>
              <w:t>Jeff Tweedy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left w:val="single" w:sz="4"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36"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color w:val="000000"/>
                <w:sz w:val="18"/>
              </w:rPr>
              <w:t xml:space="preserve">Independence: </w:t>
            </w:r>
            <w:r>
              <w:rPr>
                <w:rFonts w:ascii="Roboto;sans-serif" w:hAnsi="Roboto;sans-serif"/>
                <w:b w:val="false"/>
                <w:color w:val="000000"/>
                <w:sz w:val="16"/>
              </w:rPr>
              <w:t xml:space="preserve">The Board has determined that each member of the Compensation Committee is “independent” as required under the Nasdaq Listing Rules applicable to directors and members of a compensation committee and also qualifies as a “non-employee” director for purposes of Section 16 of the Exchange Act. </w:t>
            </w:r>
          </w:p>
        </w:tc>
        <w:tc>
          <w:tcPr>
            <w:tcW w:w="377" w:type="dxa"/>
            <w:gridSpan w:val="3"/>
            <w:tcBorders>
              <w:right w:val="single" w:sz="8"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946C8"/>
            </w:tcBorders>
            <w:shd w:fill="1946C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4"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left w:val="single" w:sz="4" w:space="0" w:color="1946C8"/>
            </w:tcBorders>
            <w:tcMar>
              <w:top w:w="0" w:type="dxa"/>
              <w:bottom w:w="0" w:type="dxa"/>
              <w:right w:w="0" w:type="dxa"/>
            </w:tcMar>
            <w:vAlign w:val="center"/>
          </w:tcPr>
          <w:p>
            <w:pPr>
              <w:pStyle w:val="Normal"/>
              <w:bidi w:val="0"/>
              <w:jc w:val="left"/>
              <w:rPr/>
            </w:pPr>
            <w:r>
              <w:rPr/>
            </w:r>
          </w:p>
        </w:tc>
        <w:tc>
          <w:tcPr>
            <w:tcW w:w="4536" w:type="dxa"/>
            <w:gridSpan w:val="3"/>
            <w:vMerge w:val="continue"/>
            <w:tcBorders/>
            <w:tcMar>
              <w:top w:w="0" w:type="dxa"/>
              <w:left w:w="0" w:type="dxa"/>
              <w:bottom w:w="0" w:type="dxa"/>
              <w:right w:w="0" w:type="dxa"/>
            </w:tcMar>
            <w:vAlign w:val="center"/>
          </w:tcPr>
          <w:p>
            <w:pPr>
              <w:pStyle w:val="Normal"/>
              <w:bidi w:val="0"/>
              <w:jc w:val="left"/>
              <w:rPr/>
            </w:pPr>
            <w:r>
              <w:rPr/>
            </w:r>
          </w:p>
        </w:tc>
        <w:tc>
          <w:tcPr>
            <w:tcW w:w="377" w:type="dxa"/>
            <w:gridSpan w:val="3"/>
            <w:tcBorders>
              <w:right w:val="single" w:sz="8"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946C8"/>
            </w:tcBorders>
            <w:shd w:fill="1946C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4"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4"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left w:val="single" w:sz="4" w:space="0" w:color="1946C8"/>
            </w:tcBorders>
            <w:tcMar>
              <w:top w:w="0" w:type="dxa"/>
              <w:bottom w:w="0" w:type="dxa"/>
              <w:right w:w="0" w:type="dxa"/>
            </w:tcMar>
            <w:vAlign w:val="center"/>
          </w:tcPr>
          <w:p>
            <w:pPr>
              <w:pStyle w:val="Normal"/>
              <w:bidi w:val="0"/>
              <w:jc w:val="left"/>
              <w:rPr/>
            </w:pPr>
            <w:r>
              <w:rPr/>
            </w:r>
          </w:p>
        </w:tc>
        <w:tc>
          <w:tcPr>
            <w:tcW w:w="4536" w:type="dxa"/>
            <w:gridSpan w:val="3"/>
            <w:vMerge w:val="continue"/>
            <w:tcBorders/>
            <w:tcMar>
              <w:top w:w="0" w:type="dxa"/>
              <w:left w:w="0" w:type="dxa"/>
              <w:bottom w:w="0" w:type="dxa"/>
              <w:right w:w="0" w:type="dxa"/>
            </w:tcMar>
            <w:vAlign w:val="center"/>
          </w:tcPr>
          <w:p>
            <w:pPr>
              <w:pStyle w:val="Normal"/>
              <w:bidi w:val="0"/>
              <w:jc w:val="left"/>
              <w:rPr/>
            </w:pPr>
            <w:r>
              <w:rPr/>
            </w:r>
          </w:p>
        </w:tc>
        <w:tc>
          <w:tcPr>
            <w:tcW w:w="377" w:type="dxa"/>
            <w:gridSpan w:val="3"/>
            <w:tcBorders>
              <w:right w:val="single" w:sz="8"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946C8"/>
            </w:tcBorders>
            <w:shd w:fill="1946C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000000"/>
                <w:sz w:val="18"/>
              </w:rPr>
            </w:pPr>
            <w:r>
              <w:rPr>
                <w:rFonts w:ascii="Roboto;sans-serif" w:hAnsi="Roboto;sans-serif"/>
                <w:b/>
                <w:color w:val="000000"/>
                <w:sz w:val="18"/>
              </w:rPr>
              <w:t xml:space="preserve">Number of meetings </w:t>
            </w:r>
          </w:p>
          <w:p>
            <w:pPr>
              <w:pStyle w:val="TableContents"/>
              <w:bidi w:val="0"/>
              <w:spacing w:lineRule="auto" w:line="312" w:before="0" w:after="0"/>
              <w:jc w:val="left"/>
              <w:rPr/>
            </w:pPr>
            <w:r>
              <w:rPr>
                <w:rFonts w:ascii="Roboto;sans-serif" w:hAnsi="Roboto;sans-serif"/>
                <w:b/>
                <w:color w:val="000000"/>
                <w:sz w:val="18"/>
              </w:rPr>
              <w:t xml:space="preserve">in fiscal 2025: </w:t>
            </w:r>
            <w:r>
              <w:rPr>
                <w:rFonts w:ascii="Roboto;sans-serif" w:hAnsi="Roboto;sans-serif"/>
                <w:b w:val="false"/>
                <w:color w:val="000000"/>
                <w:sz w:val="18"/>
              </w:rPr>
              <w:t>4</w:t>
            </w:r>
          </w:p>
        </w:tc>
        <w:tc>
          <w:tcPr>
            <w:tcW w:w="327" w:type="dxa"/>
            <w:gridSpan w:val="3"/>
            <w:tcBorders>
              <w:right w:val="single" w:sz="4"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left w:val="single" w:sz="4" w:space="0" w:color="1946C8"/>
            </w:tcBorders>
            <w:tcMar>
              <w:top w:w="0" w:type="dxa"/>
              <w:bottom w:w="0" w:type="dxa"/>
              <w:right w:w="0" w:type="dxa"/>
            </w:tcMar>
            <w:vAlign w:val="center"/>
          </w:tcPr>
          <w:p>
            <w:pPr>
              <w:pStyle w:val="Normal"/>
              <w:bidi w:val="0"/>
              <w:jc w:val="left"/>
              <w:rPr/>
            </w:pPr>
            <w:r>
              <w:rPr/>
            </w:r>
          </w:p>
        </w:tc>
        <w:tc>
          <w:tcPr>
            <w:tcW w:w="4536" w:type="dxa"/>
            <w:gridSpan w:val="3"/>
            <w:vMerge w:val="continue"/>
            <w:tcBorders/>
            <w:tcMar>
              <w:top w:w="0" w:type="dxa"/>
              <w:left w:w="0" w:type="dxa"/>
              <w:bottom w:w="0" w:type="dxa"/>
              <w:right w:w="0" w:type="dxa"/>
            </w:tcMar>
            <w:vAlign w:val="center"/>
          </w:tcPr>
          <w:p>
            <w:pPr>
              <w:pStyle w:val="Normal"/>
              <w:bidi w:val="0"/>
              <w:jc w:val="left"/>
              <w:rPr/>
            </w:pPr>
            <w:r>
              <w:rPr/>
            </w:r>
          </w:p>
        </w:tc>
        <w:tc>
          <w:tcPr>
            <w:tcW w:w="377" w:type="dxa"/>
            <w:gridSpan w:val="3"/>
            <w:tcBorders>
              <w:right w:val="single" w:sz="8"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946C8"/>
              <w:bottom w:val="single" w:sz="8" w:space="0" w:color="1946C8"/>
            </w:tcBorders>
            <w:shd w:fill="1946C8" w:val="clear"/>
            <w:tcMar>
              <w:top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bottom w:val="single" w:sz="8" w:space="0" w:color="1946C8"/>
            </w:tcBorders>
            <w:shd w:fill="1946C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1946C8"/>
            </w:tcBorders>
            <w:shd w:fill="1946C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19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bottom w:val="single" w:sz="8" w:space="0" w:color="19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19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19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6" w:type="dxa"/>
            <w:gridSpan w:val="3"/>
            <w:tcBorders>
              <w:bottom w:val="single" w:sz="8" w:space="0" w:color="19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bottom w:val="single" w:sz="8" w:space="0" w:color="1946C8"/>
              <w:right w:val="single" w:sz="8" w:space="0" w:color="1946C8"/>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120"/>
        <w:jc w:val="left"/>
        <w:rPr>
          <w:rFonts w:ascii="Roboto Light;sans-serif" w:hAnsi="Roboto Light;sans-serif"/>
          <w:b w:val="false"/>
          <w:color w:val="000000"/>
          <w:sz w:val="18"/>
        </w:rPr>
      </w:pPr>
      <w:r>
        <w:rPr>
          <w:rFonts w:ascii="Roboto Light;sans-serif" w:hAnsi="Roboto Light;sans-serif"/>
          <w:b w:val="false"/>
          <w:color w:val="000000"/>
          <w:sz w:val="18"/>
        </w:rPr>
        <w:t>Under the Compensation Committee’s charter, which is reviewed by the Compensation Committee annually, the oversight responsibilities of the Compensation Committee involve the following (among others):</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 xml:space="preserve">overseeing, reviewing, and approving the overall compensation philosophy of the Company; </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reviewing and recommending corporate goals and performance objectives of the Chief Executive Officer and approving corporate goals and performance objectives of other executive officers, relevant to their compensation;</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reviewing and evaluating the performance of Chief Executive Officer;</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 xml:space="preserve">reviewing and recommending compensation of directors and the Chief Executive Officer and approving compensation of other executive officers; </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 xml:space="preserve">reviewing and recommending policies and practices concerning executive officer compensation programs, benefit plans, perquisites, and expense accounts; </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 xml:space="preserve">overseeing the Company’s strategies and policies related to human capital management (and working with the Lead Director and the Board’s other committees concerning matters overseen by such other committees), including with respect to responsible leadership related matters such as talent development, retention and workplace environment and culture; </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 xml:space="preserve">administering or overseeing incentive compensation, stock incentive and stock purchase plans, including determining grants of equity awards under the stock-based plans; </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undertaking annual review and risk assessment of compensation policies and practices;</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 xml:space="preserve">overseeing executive officer succession planning; </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reviewing and/or recommending any employment contracts or transactions involving directors or executive officers and any related compensation arrangements;</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 xml:space="preserve">assessing and monitoring the independence of its compensation consultant and legal counsel; </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assessing results of the Company’s most recent stockholder advisory votes on the Company’s named executive officers compensation;</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 xml:space="preserve">pre-approving services to be provided to the Company by its compensation consultant; </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 xml:space="preserve">reviewing and discussing with management the Company’s engagement efforts with stockholders on the subject of executive officer compensation; </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reviewing, approving, and monitoring compliance with stock ownership guidelines for directors and executive officers and overseeing the administration of the Company’s clawback policy; and</w:t>
      </w:r>
    </w:p>
    <w:p>
      <w:pPr>
        <w:pStyle w:val="TextBody"/>
        <w:bidi w:val="0"/>
        <w:spacing w:lineRule="auto" w:line="288" w:before="0" w:after="180"/>
        <w:ind w:left="0" w:right="0" w:hanging="288"/>
        <w:jc w:val="left"/>
        <w:rPr/>
      </w:pPr>
      <w:r>
        <w:rPr>
          <w:color w:val="000000"/>
        </w:rPr>
        <w:t>•</w:t>
      </w:r>
      <w:r>
        <w:rPr>
          <w:rFonts w:ascii="Roboto Light;sans-serif" w:hAnsi="Roboto Light;sans-serif"/>
          <w:b w:val="false"/>
          <w:color w:val="000000"/>
          <w:sz w:val="18"/>
        </w:rPr>
        <w:t>reviewing and approving the Compensation and Discussion Analysis and the Compensation Committee Report for inclusion in the Proxy Statement. For more information, see “Compensation and Discussion Analysis” and “Compensation Committee Report".</w:t>
      </w:r>
    </w:p>
    <w:p>
      <w:pPr>
        <w:pStyle w:val="TextBody"/>
        <w:bidi w:val="0"/>
        <w:spacing w:lineRule="atLeast" w:line="220" w:before="0" w:after="240"/>
        <w:jc w:val="left"/>
        <w:rPr>
          <w:rFonts w:ascii="Roboto Light;sans-serif" w:hAnsi="Roboto Light;sans-serif"/>
          <w:b w:val="false"/>
          <w:color w:val="000000"/>
          <w:sz w:val="18"/>
        </w:rPr>
      </w:pPr>
      <w:r>
        <w:rPr>
          <w:rFonts w:ascii="Roboto Light;sans-serif" w:hAnsi="Roboto Light;sans-serif"/>
          <w:b w:val="false"/>
          <w:color w:val="000000"/>
          <w:sz w:val="18"/>
        </w:rPr>
        <w:t>Along with the Board, the Compensation Committee receives regular reports from management to help ensure its effective and efficient oversight and to assist in its proper risk management and ongoing evaluation of compensation programs. Through its regular meetings with management, including the human resources, compensation, and legal functions and discussions, as appropriate, with its independent compensation consultant, the Compensation Committee reviews and discusses significant areas of our business, including areas of risk and appropriate mitigating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263525"/>
                <wp:effectExtent l="0" t="0" r="0" b="0"/>
                <wp:wrapNone/>
                <wp:docPr id="286" name="Frame37"/>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287"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18" descr=""/>
                                          <pic:cNvPicPr>
                                            <a:picLocks noChangeAspect="1" noChangeArrowheads="1"/>
                                          </pic:cNvPicPr>
                                        </pic:nvPicPr>
                                        <pic:blipFill>
                                          <a:blip r:embed="rId251"/>
                                          <a:stretch>
                                            <a:fillRect/>
                                          </a:stretch>
                                        </pic:blipFill>
                                        <pic:spPr bwMode="auto">
                                          <a:xfrm>
                                            <a:off x="0" y="0"/>
                                            <a:ext cx="266700" cy="200025"/>
                                          </a:xfrm>
                                          <a:prstGeom prst="rect">
                                            <a:avLst/>
                                          </a:prstGeom>
                                        </pic:spPr>
                                      </pic:pic>
                                    </a:graphicData>
                                  </a:graphic>
                                </wp:inline>
                              </w:drawing>
                            </w:r>
                            <w:bookmarkStart w:id="249" w:name="i-218"/>
                            <w:bookmarkEnd w:id="249"/>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288"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18" descr=""/>
                                    <pic:cNvPicPr>
                                      <a:picLocks noChangeAspect="1" noChangeArrowheads="1"/>
                                    </pic:cNvPicPr>
                                  </pic:nvPicPr>
                                  <pic:blipFill>
                                    <a:blip r:embed="rId252"/>
                                    <a:stretch>
                                      <a:fillRect/>
                                    </a:stretch>
                                  </pic:blipFill>
                                  <pic:spPr bwMode="auto">
                                    <a:xfrm>
                                      <a:off x="0" y="0"/>
                                      <a:ext cx="266700" cy="200025"/>
                                    </a:xfrm>
                                    <a:prstGeom prst="rect">
                                      <a:avLst/>
                                    </a:prstGeom>
                                  </pic:spPr>
                                </pic:pic>
                              </a:graphicData>
                            </a:graphic>
                          </wp:inline>
                        </w:drawing>
                      </w:r>
                      <w:bookmarkStart w:id="250" w:name="i-218"/>
                      <w:bookmarkEnd w:id="250"/>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49"/>
        <w:gridCol w:w="949"/>
        <w:gridCol w:w="950"/>
        <w:gridCol w:w="109"/>
        <w:gridCol w:w="109"/>
        <w:gridCol w:w="109"/>
        <w:gridCol w:w="109"/>
        <w:gridCol w:w="109"/>
        <w:gridCol w:w="109"/>
        <w:gridCol w:w="434"/>
        <w:gridCol w:w="422"/>
        <w:gridCol w:w="423"/>
        <w:gridCol w:w="109"/>
        <w:gridCol w:w="109"/>
        <w:gridCol w:w="109"/>
        <w:gridCol w:w="109"/>
        <w:gridCol w:w="109"/>
        <w:gridCol w:w="109"/>
        <w:gridCol w:w="1349"/>
        <w:gridCol w:w="1349"/>
        <w:gridCol w:w="1352"/>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946C8"/>
              <w:left w:val="single" w:sz="8" w:space="0" w:color="1946C8"/>
            </w:tcBorders>
            <w:shd w:fill="1946C8" w:val="clear"/>
            <w:tcMar>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3"/>
            <w:tcBorders>
              <w:top w:val="single" w:sz="8" w:space="0" w:color="1946C8"/>
            </w:tcBorders>
            <w:shd w:fill="1946C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946C8"/>
            </w:tcBorders>
            <w:shd w:fill="1946C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op w:val="single" w:sz="8"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1946C8"/>
              <w:right w:val="single" w:sz="8" w:space="0" w:color="1946C8"/>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946C8"/>
            </w:tcBorders>
            <w:shd w:fill="1946C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3"/>
            <w:vMerge w:val="restart"/>
            <w:tcBorders/>
            <w:shd w:fill="1946C8"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FFFFFF"/>
                <w:sz w:val="28"/>
              </w:rPr>
            </w:pPr>
            <w:r>
              <w:rPr>
                <w:rFonts w:ascii="Roboto;sans-serif" w:hAnsi="Roboto;sans-serif"/>
                <w:b/>
                <w:color w:val="FFFFFF"/>
                <w:sz w:val="28"/>
              </w:rPr>
              <w:t>Nominating and Governance Committee</w:t>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000000"/>
                <w:sz w:val="18"/>
              </w:rPr>
            </w:pPr>
            <w:r>
              <w:rPr>
                <w:rFonts w:ascii="Roboto;sans-serif" w:hAnsi="Roboto;sans-serif"/>
                <w:b/>
                <w:color w:val="000000"/>
                <w:sz w:val="18"/>
              </w:rPr>
              <w:t xml:space="preserve">Members: </w:t>
            </w:r>
          </w:p>
          <w:p>
            <w:pPr>
              <w:pStyle w:val="TableContents"/>
              <w:bidi w:val="0"/>
              <w:spacing w:lineRule="auto" w:line="312" w:before="0" w:after="0"/>
              <w:ind w:left="0" w:right="0" w:hanging="288"/>
              <w:jc w:val="left"/>
              <w:rPr/>
            </w:pPr>
            <w:r>
              <w:rPr>
                <w:color w:val="000000"/>
              </w:rPr>
              <w:t>•</w:t>
            </w:r>
            <w:r>
              <w:rPr>
                <w:rFonts w:ascii="Roboto;sans-serif" w:hAnsi="Roboto;sans-serif"/>
                <w:b w:val="false"/>
                <w:color w:val="000000"/>
                <w:sz w:val="18"/>
              </w:rPr>
              <w:t>Wendy Beck (Chair)</w:t>
            </w:r>
          </w:p>
          <w:p>
            <w:pPr>
              <w:pStyle w:val="TableContents"/>
              <w:bidi w:val="0"/>
              <w:spacing w:lineRule="auto" w:line="312" w:before="0" w:after="0"/>
              <w:ind w:left="0" w:right="0" w:hanging="288"/>
              <w:jc w:val="left"/>
              <w:rPr/>
            </w:pPr>
            <w:r>
              <w:rPr>
                <w:color w:val="000000"/>
              </w:rPr>
              <w:t>•</w:t>
            </w:r>
            <w:r>
              <w:rPr>
                <w:rFonts w:ascii="Roboto;sans-serif" w:hAnsi="Roboto;sans-serif"/>
                <w:b w:val="false"/>
                <w:color w:val="000000"/>
                <w:sz w:val="18"/>
              </w:rPr>
              <w:t>Theresa Palermo</w:t>
            </w:r>
          </w:p>
          <w:p>
            <w:pPr>
              <w:pStyle w:val="TableContents"/>
              <w:bidi w:val="0"/>
              <w:spacing w:lineRule="auto" w:line="312" w:before="0" w:after="0"/>
              <w:ind w:left="0" w:right="0" w:hanging="288"/>
              <w:jc w:val="left"/>
              <w:rPr/>
            </w:pPr>
            <w:r>
              <w:rPr>
                <w:color w:val="000000"/>
              </w:rPr>
              <w:t>•</w:t>
            </w:r>
            <w:r>
              <w:rPr>
                <w:rFonts w:ascii="Roboto;sans-serif" w:hAnsi="Roboto;sans-serif"/>
                <w:b w:val="false"/>
                <w:color w:val="000000"/>
                <w:sz w:val="18"/>
              </w:rPr>
              <w:t>Monique Picou</w:t>
            </w:r>
          </w:p>
          <w:p>
            <w:pPr>
              <w:pStyle w:val="TableContents"/>
              <w:bidi w:val="0"/>
              <w:spacing w:lineRule="auto" w:line="312" w:before="0" w:after="0"/>
              <w:ind w:left="0" w:right="0" w:hanging="288"/>
              <w:jc w:val="left"/>
              <w:rPr/>
            </w:pPr>
            <w:r>
              <w:rPr>
                <w:color w:val="000000"/>
              </w:rPr>
              <w:t>•</w:t>
            </w:r>
            <w:r>
              <w:rPr>
                <w:rFonts w:ascii="Roboto;sans-serif" w:hAnsi="Roboto;sans-serif"/>
                <w:b w:val="false"/>
                <w:color w:val="000000"/>
                <w:sz w:val="18"/>
              </w:rPr>
              <w:t>Jeff Tweedy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left w:val="single" w:sz="4"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color w:val="000000"/>
                <w:sz w:val="18"/>
              </w:rPr>
              <w:t xml:space="preserve">Independence: </w:t>
            </w:r>
            <w:r>
              <w:rPr>
                <w:rFonts w:ascii="Roboto;sans-serif" w:hAnsi="Roboto;sans-serif"/>
                <w:b w:val="false"/>
                <w:color w:val="000000"/>
                <w:sz w:val="16"/>
              </w:rPr>
              <w:t>The Board has determined that each member of the Governance Committee is “independent” as required under the Nasdaq Listing Rules applicable to directors.</w:t>
            </w:r>
          </w:p>
        </w:tc>
        <w:tc>
          <w:tcPr>
            <w:tcW w:w="378" w:type="dxa"/>
            <w:gridSpan w:val="3"/>
            <w:tcBorders>
              <w:right w:val="single" w:sz="8"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946C8"/>
            </w:tcBorders>
            <w:shd w:fill="1946C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4"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left w:val="single" w:sz="4" w:space="0" w:color="1946C8"/>
            </w:tcBorders>
            <w:tcMar>
              <w:top w:w="0" w:type="dxa"/>
              <w:bottom w:w="0" w:type="dxa"/>
              <w:right w:w="0" w:type="dxa"/>
            </w:tcMar>
            <w:vAlign w:val="center"/>
          </w:tcPr>
          <w:p>
            <w:pPr>
              <w:pStyle w:val="Normal"/>
              <w:bidi w:val="0"/>
              <w:jc w:val="left"/>
              <w:rPr/>
            </w:pPr>
            <w:r>
              <w:rPr/>
            </w:r>
          </w:p>
        </w:tc>
        <w:tc>
          <w:tcPr>
            <w:tcW w:w="4050" w:type="dxa"/>
            <w:gridSpan w:val="3"/>
            <w:vMerge w:val="continue"/>
            <w:tcBorders/>
            <w:tcMar>
              <w:top w:w="0" w:type="dxa"/>
              <w:left w:w="0" w:type="dxa"/>
              <w:bottom w:w="0" w:type="dxa"/>
              <w:right w:w="0" w:type="dxa"/>
            </w:tcMar>
            <w:vAlign w:val="center"/>
          </w:tcPr>
          <w:p>
            <w:pPr>
              <w:pStyle w:val="Normal"/>
              <w:bidi w:val="0"/>
              <w:jc w:val="left"/>
              <w:rPr/>
            </w:pPr>
            <w:r>
              <w:rPr/>
            </w:r>
          </w:p>
        </w:tc>
        <w:tc>
          <w:tcPr>
            <w:tcW w:w="378" w:type="dxa"/>
            <w:gridSpan w:val="3"/>
            <w:tcBorders>
              <w:right w:val="single" w:sz="8"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946C8"/>
            </w:tcBorders>
            <w:shd w:fill="1946C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4"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4"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left w:val="single" w:sz="4" w:space="0" w:color="1946C8"/>
            </w:tcBorders>
            <w:tcMar>
              <w:top w:w="0" w:type="dxa"/>
              <w:bottom w:w="0" w:type="dxa"/>
              <w:right w:w="0" w:type="dxa"/>
            </w:tcMar>
            <w:vAlign w:val="center"/>
          </w:tcPr>
          <w:p>
            <w:pPr>
              <w:pStyle w:val="Normal"/>
              <w:bidi w:val="0"/>
              <w:jc w:val="left"/>
              <w:rPr/>
            </w:pPr>
            <w:r>
              <w:rPr/>
            </w:r>
          </w:p>
        </w:tc>
        <w:tc>
          <w:tcPr>
            <w:tcW w:w="4050" w:type="dxa"/>
            <w:gridSpan w:val="3"/>
            <w:vMerge w:val="continue"/>
            <w:tcBorders/>
            <w:tcMar>
              <w:top w:w="0" w:type="dxa"/>
              <w:left w:w="0" w:type="dxa"/>
              <w:bottom w:w="0" w:type="dxa"/>
              <w:right w:w="0" w:type="dxa"/>
            </w:tcMar>
            <w:vAlign w:val="center"/>
          </w:tcPr>
          <w:p>
            <w:pPr>
              <w:pStyle w:val="Normal"/>
              <w:bidi w:val="0"/>
              <w:jc w:val="left"/>
              <w:rPr/>
            </w:pPr>
            <w:r>
              <w:rPr/>
            </w:r>
          </w:p>
        </w:tc>
        <w:tc>
          <w:tcPr>
            <w:tcW w:w="378" w:type="dxa"/>
            <w:gridSpan w:val="3"/>
            <w:tcBorders>
              <w:right w:val="single" w:sz="8"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946C8"/>
            </w:tcBorders>
            <w:shd w:fill="1946C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000000"/>
                <w:sz w:val="18"/>
              </w:rPr>
            </w:pPr>
            <w:r>
              <w:rPr>
                <w:rFonts w:ascii="Roboto;sans-serif" w:hAnsi="Roboto;sans-serif"/>
                <w:b/>
                <w:color w:val="000000"/>
                <w:sz w:val="18"/>
              </w:rPr>
              <w:t xml:space="preserve">Number of meetings </w:t>
            </w:r>
          </w:p>
          <w:p>
            <w:pPr>
              <w:pStyle w:val="TableContents"/>
              <w:bidi w:val="0"/>
              <w:spacing w:lineRule="auto" w:line="312" w:before="0" w:after="0"/>
              <w:jc w:val="left"/>
              <w:rPr/>
            </w:pPr>
            <w:r>
              <w:rPr>
                <w:rFonts w:ascii="Roboto;sans-serif" w:hAnsi="Roboto;sans-serif"/>
                <w:b/>
                <w:color w:val="000000"/>
                <w:sz w:val="18"/>
              </w:rPr>
              <w:t xml:space="preserve">in fiscal 2025: </w:t>
            </w:r>
            <w:r>
              <w:rPr>
                <w:rFonts w:ascii="Roboto;sans-serif" w:hAnsi="Roboto;sans-serif"/>
                <w:b w:val="false"/>
                <w:color w:val="000000"/>
                <w:sz w:val="18"/>
              </w:rPr>
              <w:t>4</w:t>
            </w:r>
          </w:p>
        </w:tc>
        <w:tc>
          <w:tcPr>
            <w:tcW w:w="327" w:type="dxa"/>
            <w:gridSpan w:val="3"/>
            <w:tcBorders>
              <w:right w:val="single" w:sz="4"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left w:val="single" w:sz="4" w:space="0" w:color="1946C8"/>
            </w:tcBorders>
            <w:tcMar>
              <w:top w:w="0" w:type="dxa"/>
              <w:bottom w:w="0" w:type="dxa"/>
              <w:right w:w="0" w:type="dxa"/>
            </w:tcMar>
            <w:vAlign w:val="center"/>
          </w:tcPr>
          <w:p>
            <w:pPr>
              <w:pStyle w:val="Normal"/>
              <w:bidi w:val="0"/>
              <w:jc w:val="left"/>
              <w:rPr/>
            </w:pPr>
            <w:r>
              <w:rPr/>
            </w:r>
          </w:p>
        </w:tc>
        <w:tc>
          <w:tcPr>
            <w:tcW w:w="4050" w:type="dxa"/>
            <w:gridSpan w:val="3"/>
            <w:vMerge w:val="continue"/>
            <w:tcBorders/>
            <w:tcMar>
              <w:top w:w="0" w:type="dxa"/>
              <w:left w:w="0" w:type="dxa"/>
              <w:bottom w:w="0" w:type="dxa"/>
              <w:right w:w="0" w:type="dxa"/>
            </w:tcMar>
            <w:vAlign w:val="center"/>
          </w:tcPr>
          <w:p>
            <w:pPr>
              <w:pStyle w:val="Normal"/>
              <w:bidi w:val="0"/>
              <w:jc w:val="left"/>
              <w:rPr/>
            </w:pPr>
            <w:r>
              <w:rPr/>
            </w:r>
          </w:p>
        </w:tc>
        <w:tc>
          <w:tcPr>
            <w:tcW w:w="378" w:type="dxa"/>
            <w:gridSpan w:val="3"/>
            <w:tcBorders>
              <w:right w:val="single" w:sz="8"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946C8"/>
              <w:bottom w:val="single" w:sz="8" w:space="0" w:color="1946C8"/>
            </w:tcBorders>
            <w:shd w:fill="1946C8" w:val="clear"/>
            <w:tcMar>
              <w:top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3"/>
            <w:tcBorders>
              <w:bottom w:val="single" w:sz="8" w:space="0" w:color="1946C8"/>
            </w:tcBorders>
            <w:shd w:fill="1946C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1946C8"/>
            </w:tcBorders>
            <w:shd w:fill="1946C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19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bottom w:val="single" w:sz="8" w:space="0" w:color="19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19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19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bottom w:val="single" w:sz="8" w:space="0" w:color="19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1946C8"/>
              <w:right w:val="single" w:sz="8" w:space="0" w:color="1946C8"/>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20" w:before="0" w:after="180"/>
        <w:jc w:val="left"/>
        <w:rPr>
          <w:rFonts w:ascii="Roboto Light;sans-serif" w:hAnsi="Roboto Light;sans-serif"/>
          <w:b w:val="false"/>
          <w:color w:val="000000"/>
          <w:sz w:val="18"/>
        </w:rPr>
      </w:pPr>
      <w:r>
        <w:rPr>
          <w:rFonts w:ascii="Roboto Light;sans-serif" w:hAnsi="Roboto Light;sans-serif"/>
          <w:b w:val="false"/>
          <w:color w:val="000000"/>
          <w:sz w:val="18"/>
        </w:rPr>
        <w:t>Under the Governance Committee’s charter, which is reviewed by the Governance Committee annually, the oversight responsibilities of the Governance Committee involve the following (among others):</w:t>
      </w:r>
    </w:p>
    <w:p>
      <w:pPr>
        <w:pStyle w:val="TextBody"/>
        <w:bidi w:val="0"/>
        <w:spacing w:lineRule="auto" w:line="288" w:before="120" w:after="120"/>
        <w:ind w:left="0" w:right="0" w:hanging="288"/>
        <w:jc w:val="left"/>
        <w:rPr/>
      </w:pPr>
      <w:r>
        <w:rPr>
          <w:color w:val="000000"/>
        </w:rPr>
        <w:t>•</w:t>
      </w:r>
      <w:r>
        <w:rPr>
          <w:rFonts w:ascii="Roboto Light;sans-serif" w:hAnsi="Roboto Light;sans-serif"/>
          <w:b w:val="false"/>
          <w:color w:val="000000"/>
          <w:sz w:val="18"/>
        </w:rPr>
        <w:t xml:space="preserve">developing the Company’s corporate governance practices, policies, and documents and overseeing the related risks; </w:t>
      </w:r>
    </w:p>
    <w:p>
      <w:pPr>
        <w:pStyle w:val="TextBody"/>
        <w:bidi w:val="0"/>
        <w:spacing w:lineRule="auto" w:line="288" w:before="120" w:after="120"/>
        <w:ind w:left="0" w:right="0" w:hanging="288"/>
        <w:jc w:val="left"/>
        <w:rPr/>
      </w:pPr>
      <w:r>
        <w:rPr>
          <w:color w:val="000000"/>
        </w:rPr>
        <w:t>•</w:t>
      </w:r>
      <w:r>
        <w:rPr>
          <w:rFonts w:ascii="Roboto Light;sans-serif" w:hAnsi="Roboto Light;sans-serif"/>
          <w:b w:val="false"/>
          <w:color w:val="000000"/>
          <w:sz w:val="18"/>
        </w:rPr>
        <w:t xml:space="preserve">reviewing and monitoring the composition, size, structure, functioning, and performance of the Board and its committees; </w:t>
      </w:r>
    </w:p>
    <w:p>
      <w:pPr>
        <w:pStyle w:val="TextBody"/>
        <w:bidi w:val="0"/>
        <w:spacing w:lineRule="auto" w:line="288" w:before="120" w:after="120"/>
        <w:ind w:left="0" w:right="0" w:hanging="288"/>
        <w:jc w:val="left"/>
        <w:rPr/>
      </w:pPr>
      <w:r>
        <w:rPr>
          <w:color w:val="000000"/>
        </w:rPr>
        <w:t>•</w:t>
      </w:r>
      <w:r>
        <w:rPr>
          <w:rFonts w:ascii="Roboto Light;sans-serif" w:hAnsi="Roboto Light;sans-serif"/>
          <w:b w:val="false"/>
          <w:color w:val="000000"/>
          <w:sz w:val="18"/>
        </w:rPr>
        <w:t xml:space="preserve">establishing criteria for the selection of candidates and nominees for appointment or election as directors to serve on the Board and its committees; </w:t>
      </w:r>
    </w:p>
    <w:p>
      <w:pPr>
        <w:pStyle w:val="TextBody"/>
        <w:bidi w:val="0"/>
        <w:spacing w:lineRule="auto" w:line="288" w:before="120" w:after="120"/>
        <w:ind w:left="0" w:right="0" w:hanging="288"/>
        <w:jc w:val="left"/>
        <w:rPr/>
      </w:pPr>
      <w:r>
        <w:rPr>
          <w:color w:val="000000"/>
        </w:rPr>
        <w:t>•</w:t>
      </w:r>
      <w:r>
        <w:rPr>
          <w:rFonts w:ascii="Roboto Light;sans-serif" w:hAnsi="Roboto Light;sans-serif"/>
          <w:b w:val="false"/>
          <w:color w:val="000000"/>
          <w:sz w:val="18"/>
        </w:rPr>
        <w:t xml:space="preserve">identifying and recommending individuals believed to be qualified as director candidates or nominees, including recommendations as to whether current directors should stand for re-election, and the class of directors in which the candidate or nominee should serve; </w:t>
      </w:r>
    </w:p>
    <w:p>
      <w:pPr>
        <w:pStyle w:val="TextBody"/>
        <w:bidi w:val="0"/>
        <w:spacing w:lineRule="auto" w:line="288" w:before="120" w:after="120"/>
        <w:ind w:left="0" w:right="0" w:hanging="288"/>
        <w:jc w:val="left"/>
        <w:rPr/>
      </w:pPr>
      <w:r>
        <w:rPr>
          <w:color w:val="000000"/>
        </w:rPr>
        <w:t>•</w:t>
      </w:r>
      <w:r>
        <w:rPr>
          <w:rFonts w:ascii="Roboto Light;sans-serif" w:hAnsi="Roboto Light;sans-serif"/>
          <w:b w:val="false"/>
          <w:color w:val="000000"/>
          <w:sz w:val="18"/>
        </w:rPr>
        <w:t xml:space="preserve">evaluating director candidates recommended by stockholders on a substantially similar basis as it considers other nominees; </w:t>
      </w:r>
    </w:p>
    <w:p>
      <w:pPr>
        <w:pStyle w:val="TextBody"/>
        <w:bidi w:val="0"/>
        <w:spacing w:lineRule="auto" w:line="288" w:before="120" w:after="120"/>
        <w:ind w:left="0" w:right="0" w:hanging="288"/>
        <w:jc w:val="left"/>
        <w:rPr/>
      </w:pPr>
      <w:r>
        <w:rPr>
          <w:color w:val="000000"/>
        </w:rPr>
        <w:t>•</w:t>
      </w:r>
      <w:r>
        <w:rPr>
          <w:rFonts w:ascii="Roboto Light;sans-serif" w:hAnsi="Roboto Light;sans-serif"/>
          <w:b w:val="false"/>
          <w:color w:val="000000"/>
          <w:sz w:val="18"/>
        </w:rPr>
        <w:t>recommending directors to serve on the Board’s committees;</w:t>
      </w:r>
    </w:p>
    <w:p>
      <w:pPr>
        <w:pStyle w:val="TextBody"/>
        <w:bidi w:val="0"/>
        <w:spacing w:lineRule="auto" w:line="288" w:before="120" w:after="120"/>
        <w:ind w:left="0" w:right="0" w:hanging="288"/>
        <w:jc w:val="left"/>
        <w:rPr/>
      </w:pPr>
      <w:r>
        <w:rPr>
          <w:color w:val="000000"/>
        </w:rPr>
        <w:t>•</w:t>
      </w:r>
      <w:r>
        <w:rPr>
          <w:rFonts w:ascii="Roboto Light;sans-serif" w:hAnsi="Roboto Light;sans-serif"/>
          <w:b w:val="false"/>
          <w:color w:val="000000"/>
          <w:sz w:val="18"/>
        </w:rPr>
        <w:t xml:space="preserve">reviewing the independence and possible conflicts of interest of directors; </w:t>
      </w:r>
    </w:p>
    <w:p>
      <w:pPr>
        <w:pStyle w:val="TextBody"/>
        <w:bidi w:val="0"/>
        <w:spacing w:lineRule="auto" w:line="288" w:before="120" w:after="120"/>
        <w:ind w:left="0" w:right="0" w:hanging="288"/>
        <w:jc w:val="left"/>
        <w:rPr/>
      </w:pPr>
      <w:r>
        <w:rPr>
          <w:color w:val="000000"/>
        </w:rPr>
        <w:t>•</w:t>
      </w:r>
      <w:r>
        <w:rPr>
          <w:rFonts w:ascii="Roboto Light;sans-serif" w:hAnsi="Roboto Light;sans-serif"/>
          <w:b w:val="false"/>
          <w:color w:val="000000"/>
          <w:sz w:val="18"/>
        </w:rPr>
        <w:t xml:space="preserve">recommending an independent director to serve as Lead Director; </w:t>
      </w:r>
    </w:p>
    <w:p>
      <w:pPr>
        <w:pStyle w:val="TextBody"/>
        <w:bidi w:val="0"/>
        <w:spacing w:lineRule="auto" w:line="288" w:before="120" w:after="120"/>
        <w:ind w:left="0" w:right="0" w:hanging="288"/>
        <w:jc w:val="left"/>
        <w:rPr/>
      </w:pPr>
      <w:r>
        <w:rPr>
          <w:color w:val="000000"/>
        </w:rPr>
        <w:t>•</w:t>
      </w:r>
      <w:r>
        <w:rPr>
          <w:rFonts w:ascii="Roboto Light;sans-serif" w:hAnsi="Roboto Light;sans-serif"/>
          <w:b w:val="false"/>
          <w:color w:val="000000"/>
          <w:sz w:val="18"/>
        </w:rPr>
        <w:t>providing oversight and making recommendations for the Company’s responsible leadership strategy and efforts, including the Company’s progress and public reporting on such initiatives, the long-and short-term impacts to the Company’s business of responsible leadership issues and trends, and political contributions;</w:t>
      </w:r>
    </w:p>
    <w:p>
      <w:pPr>
        <w:pStyle w:val="TextBody"/>
        <w:bidi w:val="0"/>
        <w:spacing w:lineRule="auto" w:line="288" w:before="120" w:after="120"/>
        <w:ind w:left="0" w:right="0" w:hanging="288"/>
        <w:jc w:val="left"/>
        <w:rPr/>
      </w:pPr>
      <w:r>
        <w:rPr>
          <w:color w:val="000000"/>
        </w:rPr>
        <w:t>•</w:t>
      </w:r>
      <w:r>
        <w:rPr>
          <w:rFonts w:ascii="Roboto Light;sans-serif" w:hAnsi="Roboto Light;sans-serif"/>
          <w:b w:val="false"/>
          <w:color w:val="000000"/>
          <w:sz w:val="18"/>
        </w:rPr>
        <w:t xml:space="preserve">periodically assessing directors’ time commitments, and as needed reviewing/approving directorships at other for-profit organizations offered to directors and executive officers; </w:t>
      </w:r>
    </w:p>
    <w:p>
      <w:pPr>
        <w:pStyle w:val="TextBody"/>
        <w:bidi w:val="0"/>
        <w:spacing w:lineRule="auto" w:line="288" w:before="120" w:after="120"/>
        <w:ind w:left="0" w:right="0" w:hanging="288"/>
        <w:jc w:val="left"/>
        <w:rPr/>
      </w:pPr>
      <w:r>
        <w:rPr>
          <w:color w:val="000000"/>
        </w:rPr>
        <w:t>•</w:t>
      </w:r>
      <w:r>
        <w:rPr>
          <w:rFonts w:ascii="Roboto Light;sans-serif" w:hAnsi="Roboto Light;sans-serif"/>
          <w:b w:val="false"/>
          <w:color w:val="000000"/>
          <w:sz w:val="18"/>
        </w:rPr>
        <w:t xml:space="preserve">working with the Lead Director to oversee communications with stockholders, proxy advisory firms and other interested parties concerning governance and other related matters and reviewing stockholder proposals and making recommendations to address them (and work with other committees with respect to matters overseen by them); </w:t>
      </w:r>
    </w:p>
    <w:p>
      <w:pPr>
        <w:pStyle w:val="TextBody"/>
        <w:bidi w:val="0"/>
        <w:spacing w:lineRule="auto" w:line="288" w:before="120" w:after="120"/>
        <w:ind w:left="0" w:right="0" w:hanging="288"/>
        <w:jc w:val="left"/>
        <w:rPr/>
      </w:pPr>
      <w:r>
        <w:rPr>
          <w:color w:val="000000"/>
        </w:rPr>
        <w:t>•</w:t>
      </w:r>
      <w:r>
        <w:rPr>
          <w:rFonts w:ascii="Roboto Light;sans-serif" w:hAnsi="Roboto Light;sans-serif"/>
          <w:b w:val="false"/>
          <w:color w:val="000000"/>
          <w:sz w:val="18"/>
        </w:rPr>
        <w:t xml:space="preserve">overseeing evaluations of the Board and its committees; and </w:t>
      </w:r>
    </w:p>
    <w:p>
      <w:pPr>
        <w:pStyle w:val="TextBody"/>
        <w:bidi w:val="0"/>
        <w:spacing w:lineRule="auto" w:line="288" w:before="60" w:after="240"/>
        <w:ind w:left="0" w:right="0" w:hanging="288"/>
        <w:jc w:val="left"/>
        <w:rPr/>
      </w:pPr>
      <w:r>
        <w:rPr>
          <w:color w:val="000000"/>
        </w:rPr>
        <w:t>•</w:t>
      </w:r>
      <w:r>
        <w:rPr>
          <w:rFonts w:ascii="Roboto Light;sans-serif" w:hAnsi="Roboto Light;sans-serif"/>
          <w:b w:val="false"/>
          <w:color w:val="000000"/>
          <w:sz w:val="18"/>
        </w:rPr>
        <w:t xml:space="preserve">overseeing director engagement, education, and orientation activities. </w:t>
      </w:r>
    </w:p>
    <w:p>
      <w:pPr>
        <w:pStyle w:val="TextBody"/>
        <w:bidi w:val="0"/>
        <w:spacing w:lineRule="atLeast" w:line="220" w:before="0" w:after="240"/>
        <w:jc w:val="left"/>
        <w:rPr>
          <w:rFonts w:ascii="Roboto Light;sans-serif" w:hAnsi="Roboto Light;sans-serif"/>
          <w:b w:val="false"/>
          <w:color w:val="000000"/>
          <w:sz w:val="18"/>
        </w:rPr>
      </w:pPr>
      <w:r>
        <w:rPr>
          <w:rFonts w:ascii="Roboto Light;sans-serif" w:hAnsi="Roboto Light;sans-serif"/>
          <w:b w:val="false"/>
          <w:color w:val="000000"/>
          <w:sz w:val="18"/>
        </w:rPr>
        <w:t>Along with the Board, the Governance Committee receives regular reports from management to help ensure its effective and efficient oversight and to assist in its proper risk management and ongoing evaluation of governance practices and policies. Through its regular meetings with management, including the legal, responsible leadership, and investor relations functions and discussions, as appropriate, with its legal counsel, the Governance Committee reviews and discusses significant areas of our business, including areas of risk and appropriate mitigating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263525"/>
                <wp:effectExtent l="0" t="0" r="0" b="0"/>
                <wp:wrapNone/>
                <wp:docPr id="289" name="Frame38"/>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290"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19" descr=""/>
                                          <pic:cNvPicPr>
                                            <a:picLocks noChangeAspect="1" noChangeArrowheads="1"/>
                                          </pic:cNvPicPr>
                                        </pic:nvPicPr>
                                        <pic:blipFill>
                                          <a:blip r:embed="rId253"/>
                                          <a:stretch>
                                            <a:fillRect/>
                                          </a:stretch>
                                        </pic:blipFill>
                                        <pic:spPr bwMode="auto">
                                          <a:xfrm>
                                            <a:off x="0" y="0"/>
                                            <a:ext cx="266700" cy="200025"/>
                                          </a:xfrm>
                                          <a:prstGeom prst="rect">
                                            <a:avLst/>
                                          </a:prstGeom>
                                        </pic:spPr>
                                      </pic:pic>
                                    </a:graphicData>
                                  </a:graphic>
                                </wp:inline>
                              </w:drawing>
                            </w:r>
                            <w:bookmarkStart w:id="251" w:name="i-219"/>
                            <w:bookmarkEnd w:id="251"/>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291"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19" descr=""/>
                                    <pic:cNvPicPr>
                                      <a:picLocks noChangeAspect="1" noChangeArrowheads="1"/>
                                    </pic:cNvPicPr>
                                  </pic:nvPicPr>
                                  <pic:blipFill>
                                    <a:blip r:embed="rId254"/>
                                    <a:stretch>
                                      <a:fillRect/>
                                    </a:stretch>
                                  </pic:blipFill>
                                  <pic:spPr bwMode="auto">
                                    <a:xfrm>
                                      <a:off x="0" y="0"/>
                                      <a:ext cx="266700" cy="200025"/>
                                    </a:xfrm>
                                    <a:prstGeom prst="rect">
                                      <a:avLst/>
                                    </a:prstGeom>
                                  </pic:spPr>
                                </pic:pic>
                              </a:graphicData>
                            </a:graphic>
                          </wp:inline>
                        </w:drawing>
                      </w:r>
                      <w:bookmarkStart w:id="252" w:name="i-219"/>
                      <w:bookmarkEnd w:id="252"/>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33</w:t>
            </w:r>
          </w:p>
        </w:tc>
      </w:tr>
    </w:tbl>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Board and Committee Meetings and Attendance</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All directors are expected to attend all meetings of the Board, meetings of the committees of which they are members, and the Annual Meeting of Stockholders. During 2025, the Board held five meetings, the Audit Committee held five meetings, the Compensation Committee held four meetings, and the Governance Committee held four meetings. In addition, the Board, the Audit Committee, the Compensation Committee, and the Governance Committee acted by unanimous written consent several times during 2025. In 2025, all of our incumbent directors attended at least 75% of the meetings of the Board of Directors and its committees during the time in which he or she served as a member of the Board or such committee. In addition, all ten of our then-serving directors attended the 2025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Board and Committee Evaluations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In order to assess the functioning and effectiveness of the Board and its committees, the Corporate Governance Guidelines and the charters of each of the Board’s committees require the Board and each committee to conduct a formal performance evaluation annually, generally during the first regularly scheduled meetings of the Board or such committee in the fiscal year. This annual evaluation process is overseen by the Governance Committee in coordination with the Lead Director and the chairs of each committee, and requires that the Board and its committees review and evaluate their respective performance against the requirements of the Corporate Governance Guidelines and the appropriate committee charters, respectively. </w:t>
      </w:r>
    </w:p>
    <w:p>
      <w:pPr>
        <w:pStyle w:val="TextBody"/>
        <w:bidi w:val="0"/>
        <w:spacing w:lineRule="atLeast" w:line="240" w:before="0" w:after="120"/>
        <w:jc w:val="left"/>
        <w:rPr>
          <w:rFonts w:ascii="Roboto Light;sans-serif" w:hAnsi="Roboto Light;sans-serif"/>
          <w:b w:val="false"/>
          <w:color w:val="000000"/>
          <w:sz w:val="18"/>
        </w:rPr>
      </w:pPr>
      <w:r>
        <w:rPr>
          <w:rFonts w:ascii="Roboto Light;sans-serif" w:hAnsi="Roboto Light;sans-serif"/>
          <w:b w:val="false"/>
          <w:color w:val="000000"/>
          <w:sz w:val="18"/>
        </w:rPr>
        <w:t xml:space="preserve">To encourage directors to be candid in their evaluations, evaluation results are aggregated and presented without attribution, covering the following topics (among others): </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Board/committee responsibilities and accountability (including with respect to strategy, operating performance, corporate governance, risk management, succession planning, senior management development, responsible leadership, and corporate culture);</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Board/committee composition and structure (including the mix of director experience, skills, qualifications, viewpoints, and backgrounds);</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Board/committee meeting mechanics and conduct;</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Board/committee meeting information, materials and use of technology;</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 xml:space="preserve">Board/committee members’ conduct and culture; </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 xml:space="preserve">Board/committee engagement, orientation, and continuing education; </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Board/committee interaction/communication with management; and</w:t>
      </w:r>
    </w:p>
    <w:p>
      <w:pPr>
        <w:pStyle w:val="TextBody"/>
        <w:bidi w:val="0"/>
        <w:spacing w:lineRule="auto" w:line="288" w:before="0" w:after="240"/>
        <w:ind w:left="0" w:right="0" w:hanging="288"/>
        <w:jc w:val="left"/>
        <w:rPr/>
      </w:pPr>
      <w:r>
        <w:rPr>
          <w:color w:val="000000"/>
        </w:rPr>
        <w:t>•</w:t>
      </w:r>
      <w:r>
        <w:rPr>
          <w:rFonts w:ascii="Roboto Light;sans-serif" w:hAnsi="Roboto Light;sans-serif"/>
          <w:b w:val="false"/>
          <w:color w:val="000000"/>
          <w:sz w:val="18"/>
        </w:rPr>
        <w:t>Overall performance/effectiveness of the Board/committee and its members.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In addition to the written evaluation, our Lead Director also conducts one-on-one interviews with each of the directors, and the chair of each committee shares the evaluation report with committee members and solicits additional feedback. These interviews address similar topics, with the one-on-one setting permitting more detailed feedback on Board and/or committee operations and individual director performance/contributions, as well as providing opportunities for mentoring newer directors. The results of the evaluations and feedback from these interviews are typically discussed in executive session with the full Board and by each committee.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Outside of these formal annual performance evaluations, our directors share their perspectives, feedback, and suggestions, year-round, both during and outside of Board and committee meetings.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263525"/>
                <wp:effectExtent l="0" t="0" r="0" b="0"/>
                <wp:wrapNone/>
                <wp:docPr id="292" name="Frame39"/>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293"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20" descr=""/>
                                          <pic:cNvPicPr>
                                            <a:picLocks noChangeAspect="1" noChangeArrowheads="1"/>
                                          </pic:cNvPicPr>
                                        </pic:nvPicPr>
                                        <pic:blipFill>
                                          <a:blip r:embed="rId255"/>
                                          <a:stretch>
                                            <a:fillRect/>
                                          </a:stretch>
                                        </pic:blipFill>
                                        <pic:spPr bwMode="auto">
                                          <a:xfrm>
                                            <a:off x="0" y="0"/>
                                            <a:ext cx="266700" cy="200025"/>
                                          </a:xfrm>
                                          <a:prstGeom prst="rect">
                                            <a:avLst/>
                                          </a:prstGeom>
                                        </pic:spPr>
                                      </pic:pic>
                                    </a:graphicData>
                                  </a:graphic>
                                </wp:inline>
                              </w:drawing>
                            </w:r>
                            <w:bookmarkStart w:id="253" w:name="i-220"/>
                            <w:bookmarkEnd w:id="253"/>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294"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20" descr=""/>
                                    <pic:cNvPicPr>
                                      <a:picLocks noChangeAspect="1" noChangeArrowheads="1"/>
                                    </pic:cNvPicPr>
                                  </pic:nvPicPr>
                                  <pic:blipFill>
                                    <a:blip r:embed="rId256"/>
                                    <a:stretch>
                                      <a:fillRect/>
                                    </a:stretch>
                                  </pic:blipFill>
                                  <pic:spPr bwMode="auto">
                                    <a:xfrm>
                                      <a:off x="0" y="0"/>
                                      <a:ext cx="266700" cy="200025"/>
                                    </a:xfrm>
                                    <a:prstGeom prst="rect">
                                      <a:avLst/>
                                    </a:prstGeom>
                                  </pic:spPr>
                                </pic:pic>
                              </a:graphicData>
                            </a:graphic>
                          </wp:inline>
                        </w:drawing>
                      </w:r>
                      <w:bookmarkStart w:id="254" w:name="i-220"/>
                      <w:bookmarkEnd w:id="254"/>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p>
      <w:pPr>
        <w:pStyle w:val="TextBody"/>
        <w:bidi w:val="0"/>
        <w:spacing w:lineRule="auto" w:line="288" w:before="0" w:after="120"/>
        <w:jc w:val="left"/>
        <w:rPr>
          <w:rFonts w:ascii="Roboto;sans-serif" w:hAnsi="Roboto;sans-serif"/>
          <w:b/>
          <w:color w:val="1946C8"/>
          <w:sz w:val="24"/>
        </w:rPr>
      </w:pPr>
      <w:bookmarkStart w:id="255" w:name="ieb4c51f0593e47bf9b1c53e88d8ae031_3333"/>
      <w:bookmarkEnd w:id="255"/>
      <w:r>
        <w:rPr>
          <w:rFonts w:ascii="Roboto;sans-serif" w:hAnsi="Roboto;sans-serif"/>
          <w:b/>
          <w:color w:val="1946C8"/>
          <w:sz w:val="24"/>
        </w:rPr>
        <w:t>Director Nomination Process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The Governance Committee is responsible for recommending director nominees to the Board for annual election by the stockholders. The Board seeks to promote refreshment of its directors, while also balancing the need for institutional knowledge and stability that comes from longer-term service on the Board. As part of the Board’s ongoing refreshment efforts, the Corporate Governance Guidelines prohibit a director from being nominated for re-election at any annual meeting following the later of their 75th birthday or after they achieve 15 years of service on the Board. As of the date of this Proxy Statement, the Board has not waived or made any exceptions to this prohibition. Current members of the Board whose class term is expiring are considered for nomination for re-election unless they have notified the Board that they do not wish to stand for re-election. Nevertheless, the Board believes that directors should not expect to be re-nominated at the end of their term. In determining whether to recommend a current director for re-election, the Governance Committee considers the director’s qualifications, other directorship commitments, participation in and contributions to the activities of the Board, the results of the annual Board evaluation, and past meeting attendance.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The Governance Committee may also consider director candidates identified by other sources, including current and former members of the Board, members of management, external recruiters, search firms, and stockholders. From time to time, the Governance Committee may retain a third-party search firm to assist in the identification of possible Board candidates. Services provided by the search firms include identifying and assessing potential director candidates meeting criteria established by the Governance Committee, verifying information about the prospective candidate’s credentials, and obtaining a preliminary indication of interest and willingness to serve as a Board member.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The Board will consider director candidates recommended by stockholders on a substantially similar basis as it considers other nominees. Any such recommendation should be submitted to the Corporate Secretary in writing at Academy Sports and Outdoors, Inc., 1800 North Mason Road, Katy, Texas 77449 and should include any supporting material the stockholder considers appropriate in support of that recommendation, but must include information that would be required under the rules of the SEC to be included in a proxy statement soliciting proxies for the election of such candidate and a written consent of the candidate to serve as one of our directors if elected. Stockholders wishing to propose a candidate for consideration may do so by submitting the above information to the attention of the Corporate Secretary.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In addition, all recommendations for nomination received by our Corporate Secretary that satisfy the Bylaws’ requirements relating to director nominations under the Bylaws’ advance notice provision will be presented to the Board for its consideration. Stockholders also must satisfy the notification, timeliness, consent, and information requirements set forth in the Bylaws. These requirements are also described in this Proxy Statement under “Stockholder Proposals for the 2027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Director Qualification Criteria</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 Board is responsible for considering the long-term make-up of the Board and monitoring the mix of specific experience, skills, qualifications, and attributes of its directors so that the Board, as a whole, has the necessary tools to perform its oversight function effectively in light of our business and structure. The Governance Committee is responsible for identifying director candidates, evaluating the qualifications of director candidates, and selecting and recommending director candidates to the full Board for initial appointment to the Board and/or nomination for annual election by our stockholders. When considering whether our current directors (including the director nominees) have the experience, skills, qualifications, or attributes, needed by the Board, the Board and the Governance Committee focus on each person’s background, primarily as reflected in the information discussed in each director’s individual biography set forth above. The Board and the Governance Committee believe that our current directors (including the director nominees) provide an appropriate mix of experience, skills, qualifications, attributes and perspectives necessary for the Board, as a whole, to perform its oversight function in light of our business and 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263525"/>
                <wp:effectExtent l="0" t="0" r="0" b="0"/>
                <wp:wrapNone/>
                <wp:docPr id="295" name="Frame40"/>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296"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21" descr=""/>
                                          <pic:cNvPicPr>
                                            <a:picLocks noChangeAspect="1" noChangeArrowheads="1"/>
                                          </pic:cNvPicPr>
                                        </pic:nvPicPr>
                                        <pic:blipFill>
                                          <a:blip r:embed="rId257"/>
                                          <a:stretch>
                                            <a:fillRect/>
                                          </a:stretch>
                                        </pic:blipFill>
                                        <pic:spPr bwMode="auto">
                                          <a:xfrm>
                                            <a:off x="0" y="0"/>
                                            <a:ext cx="266700" cy="200025"/>
                                          </a:xfrm>
                                          <a:prstGeom prst="rect">
                                            <a:avLst/>
                                          </a:prstGeom>
                                        </pic:spPr>
                                      </pic:pic>
                                    </a:graphicData>
                                  </a:graphic>
                                </wp:inline>
                              </w:drawing>
                            </w:r>
                            <w:bookmarkStart w:id="256" w:name="i-221"/>
                            <w:bookmarkEnd w:id="25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297"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21" descr=""/>
                                    <pic:cNvPicPr>
                                      <a:picLocks noChangeAspect="1" noChangeArrowheads="1"/>
                                    </pic:cNvPicPr>
                                  </pic:nvPicPr>
                                  <pic:blipFill>
                                    <a:blip r:embed="rId258"/>
                                    <a:stretch>
                                      <a:fillRect/>
                                    </a:stretch>
                                  </pic:blipFill>
                                  <pic:spPr bwMode="auto">
                                    <a:xfrm>
                                      <a:off x="0" y="0"/>
                                      <a:ext cx="266700" cy="200025"/>
                                    </a:xfrm>
                                    <a:prstGeom prst="rect">
                                      <a:avLst/>
                                    </a:prstGeom>
                                  </pic:spPr>
                                </pic:pic>
                              </a:graphicData>
                            </a:graphic>
                          </wp:inline>
                        </w:drawing>
                      </w:r>
                      <w:bookmarkStart w:id="257" w:name="i-221"/>
                      <w:bookmarkEnd w:id="257"/>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35</w:t>
            </w:r>
          </w:p>
        </w:tc>
      </w:tr>
    </w:tbl>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 Governance Committee evaluates all candidates based on the same criteria, which is established by the Governance Committee and approved by the Board. The Governance Committee evaluates each director candidate on the basis of the length, breadth and quality of the candidate’s business experience, the applicability of the candidate’s skills and expertise to the Company’s business and strategic direction, the perspectives that the candidate will bring to the entire Board, and the personality or fit of the candidate with the existing members of the Board and management. As required by its charter and the Corporate Governance Guidelines, the Governance Committee seeks directors who are independent, have executive officer, consumer retail, and public board experience, and demonstrate strong character, mature judgment, an understanding of Academy’s business and industry, deep business acumen, independence of thought, and collegiality. In addition, the Governance Committee considers all other factors it considers appropriate, which may include the candidate’s personal familiarity with Academy, individual perspectives, backgrounds, and experiences, existing commitments/responsibilities to other businesses/associations, potential conflicts of interest, legal considerations, corporate governance background, career experience, relevant technical skills, governmental acumen, financial sophistication, and executive compensation experience, as well as the size, composition, combined expertise, and needs of the Board. The Board assesses the criteria for director candidates and nominees in connection with its annual evaluation of the Board and its committees.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The Board recognizes the importance of selecting directors from various backgrounds and professions and ultimately makes all director selections based on merit. The Board recognizes the value in cultivating a board composition that reflects a broad range of perspectives and experiences, as this leads to more robust decision-making and improved board performance. The Corporate Governance Guidelines provide that, as part of the search process for each new non-employee director, the Governance Committee endeavors to include a broad pool of highly qualified candidates, seeking representation from a range of backgrounds, perspectives, and experiences to foster robust board decision-making. The Board assesses the effectiveness of these efforts in connection with its annual evaluation of the Board and its committees.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Director Orientation, Engagement, and Continuing Education</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The Governance Committee oversees director orientation, ongoing director engagement, and the Board’s year-round continuing education programs, which include both internal activities and access to external programming. We have a structured director orientation program for new directors during their first year on the Board to accelerate their onboarding. This program includes information sessions with directors and senior management and visits to our stores and other facilities. Our director engagement and continuing education programs include in-depth meetings with management and our outside advisors, covering topics such as Board fiduciary responsibilities, artificial intelligence, macroeconomic trends, legislative/regulatory developments, previews of new or updated product lines, retail media/networks, product sustainability, cybersecurity and data privacy, the responsible sale of firearms, retail theft/shrink, and visits to Company and competitor stores and our distribution facilities to expand their insight into retail business operations and activities. We provide all directors with membership in the National Association of Corporate Directors and relevant educational presentations and board-related periodicals.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Management Succession</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 Board is responsible for the development and retention of senior leadership and for maintaining appropriate succession plans for our Chief Executive Officer and other executive officers. Both the Board and the Compensation Committee are regularly engaged in succession planning, with the Compensation Committee primarily overseeing the development and implementation of succession plans for senior leadership positions. This process includes regular review and discussion of senior leadership performance and development, as well as management’s evaluation and recommendations for senior leadership succession, including both long-term succession plans and emergency succession plans. The Board also regularly reviews succession plans for senior management and for the Chief Executive Officer. To assist the Board, our Chief Executive Officer annually provides his assessment of senior leaders and their potential to succeed at key senior management positions. The Board also meets potential leaders at multiple levels across the organization through formal presentations, informal events, one-on-one meetings, and visits to store and other facilities throughout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263525"/>
                <wp:effectExtent l="0" t="0" r="0" b="0"/>
                <wp:wrapNone/>
                <wp:docPr id="298" name="Frame41"/>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299"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22" descr=""/>
                                          <pic:cNvPicPr>
                                            <a:picLocks noChangeAspect="1" noChangeArrowheads="1"/>
                                          </pic:cNvPicPr>
                                        </pic:nvPicPr>
                                        <pic:blipFill>
                                          <a:blip r:embed="rId259"/>
                                          <a:stretch>
                                            <a:fillRect/>
                                          </a:stretch>
                                        </pic:blipFill>
                                        <pic:spPr bwMode="auto">
                                          <a:xfrm>
                                            <a:off x="0" y="0"/>
                                            <a:ext cx="266700" cy="200025"/>
                                          </a:xfrm>
                                          <a:prstGeom prst="rect">
                                            <a:avLst/>
                                          </a:prstGeom>
                                        </pic:spPr>
                                      </pic:pic>
                                    </a:graphicData>
                                  </a:graphic>
                                </wp:inline>
                              </w:drawing>
                            </w:r>
                            <w:bookmarkStart w:id="258" w:name="i-222"/>
                            <w:bookmarkEnd w:id="25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300"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22" descr=""/>
                                    <pic:cNvPicPr>
                                      <a:picLocks noChangeAspect="1" noChangeArrowheads="1"/>
                                    </pic:cNvPicPr>
                                  </pic:nvPicPr>
                                  <pic:blipFill>
                                    <a:blip r:embed="rId260"/>
                                    <a:stretch>
                                      <a:fillRect/>
                                    </a:stretch>
                                  </pic:blipFill>
                                  <pic:spPr bwMode="auto">
                                    <a:xfrm>
                                      <a:off x="0" y="0"/>
                                      <a:ext cx="266700" cy="200025"/>
                                    </a:xfrm>
                                    <a:prstGeom prst="rect">
                                      <a:avLst/>
                                    </a:prstGeom>
                                  </pic:spPr>
                                </pic:pic>
                              </a:graphicData>
                            </a:graphic>
                          </wp:inline>
                        </w:drawing>
                      </w:r>
                      <w:bookmarkStart w:id="259" w:name="i-222"/>
                      <w:bookmarkEnd w:id="259"/>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Stockholder Engagement</w:t>
      </w:r>
    </w:p>
    <w:p>
      <w:pPr>
        <w:pStyle w:val="TextBody"/>
        <w:bidi w:val="0"/>
        <w:spacing w:lineRule="atLeast" w:line="240" w:before="0" w:after="180"/>
        <w:jc w:val="left"/>
        <w:rPr>
          <w:rFonts w:ascii="Roboto Light;sans-serif" w:hAnsi="Roboto Light;sans-serif"/>
          <w:b w:val="false"/>
          <w:color w:val="000000"/>
          <w:sz w:val="18"/>
        </w:rPr>
      </w:pPr>
      <w:r>
        <w:rPr>
          <w:rFonts w:ascii="Roboto Light;sans-serif" w:hAnsi="Roboto Light;sans-serif"/>
          <w:b w:val="false"/>
          <w:color w:val="000000"/>
          <w:sz w:val="18"/>
        </w:rPr>
        <w:t>Our Board and management value and rely upon our stockholders’ perspectives. Understanding the topics that are important to our stockholders is critical to enable us to consider their feedback in a meaningful way.</w:t>
      </w:r>
    </w:p>
    <w:p>
      <w:pPr>
        <w:pStyle w:val="TextBody"/>
        <w:bidi w:val="0"/>
        <w:spacing w:lineRule="atLeast" w:line="240" w:before="0" w:after="180"/>
        <w:jc w:val="left"/>
        <w:rPr>
          <w:rFonts w:ascii="Roboto Light;sans-serif" w:hAnsi="Roboto Light;sans-serif"/>
          <w:b w:val="false"/>
          <w:color w:val="000000"/>
          <w:sz w:val="18"/>
        </w:rPr>
      </w:pPr>
      <w:r>
        <w:rPr>
          <w:rFonts w:ascii="Roboto Light;sans-serif" w:hAnsi="Roboto Light;sans-serif"/>
          <w:b w:val="false"/>
          <w:color w:val="000000"/>
          <w:sz w:val="18"/>
        </w:rPr>
        <w:t xml:space="preserve">Throughout the year, our Chief Executive Officer, Chief Financial Officer, and investor relations team engage with our top institutional stockholders quarterly regarding the Company’s performance, outlook, and strategic initiatives. In addition, during the proxy season, we and our third-party proxy solicitor may engage with our stockholders regarding the stockholder proposals presented in our proxy statement. </w:t>
      </w:r>
    </w:p>
    <w:p>
      <w:pPr>
        <w:pStyle w:val="TextBody"/>
        <w:bidi w:val="0"/>
        <w:spacing w:lineRule="atLeast" w:line="240" w:before="0" w:after="360"/>
        <w:jc w:val="left"/>
        <w:rPr>
          <w:rFonts w:ascii="Roboto Light;sans-serif" w:hAnsi="Roboto Light;sans-serif"/>
          <w:b w:val="false"/>
          <w:color w:val="000000"/>
          <w:sz w:val="18"/>
        </w:rPr>
      </w:pPr>
      <w:r>
        <w:rPr>
          <w:rFonts w:ascii="Roboto Light;sans-serif" w:hAnsi="Roboto Light;sans-serif"/>
          <w:b w:val="false"/>
          <w:color w:val="000000"/>
          <w:sz w:val="18"/>
        </w:rPr>
        <w:t>In 2024, we established a cross-functional stockholder engagement team, which included the Chair of the Governance Committee, our Chief Legal Officer, and members of our investor relations, legal, and compensation teams, to conduct additional stockholder engagement outside of our regular quarterly engagement and our traditional proxy season, which we refer to as our off-season stockholder engagement program. The objective of our off-season stockholder engagement program is to establish and maintain annual stockholder engagement (typically during the fall of each year) with our top stockholders to gather their feedback and perspectives regarding our corporate governance, executive compensation, and other responsible leadership practices, and to identify opportunities for potential improvement. Going forward, we expect to conduct our off-season stockholder engagement each year in the fall, in addition to our regular engagement efforts throughout the year with our stockholders about the Company’s performance, outlook, strategic initiatives, and proxy proposals.</w:t>
      </w:r>
    </w:p>
    <w:tbl>
      <w:tblPr>
        <w:tblW w:w="10205" w:type="dxa"/>
        <w:jc w:val="center"/>
        <w:tblInd w:w="0" w:type="dxa"/>
        <w:tblLayout w:type="fixed"/>
        <w:tblCellMar>
          <w:top w:w="28" w:type="dxa"/>
          <w:left w:w="28" w:type="dxa"/>
          <w:bottom w:w="28" w:type="dxa"/>
          <w:right w:w="28" w:type="dxa"/>
        </w:tblCellMar>
      </w:tblPr>
      <w:tblGrid>
        <w:gridCol w:w="1287"/>
        <w:gridCol w:w="1018"/>
        <w:gridCol w:w="1021"/>
        <w:gridCol w:w="1348"/>
        <w:gridCol w:w="1348"/>
        <w:gridCol w:w="1350"/>
        <w:gridCol w:w="829"/>
        <w:gridCol w:w="829"/>
        <w:gridCol w:w="1175"/>
      </w:tblGrid>
      <w:tr>
        <w:trPr/>
        <w:tc>
          <w:tcPr>
            <w:tcW w:w="128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3326"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Roboto;sans-serif" w:hAnsi="Roboto;sans-serif"/>
                <w:b/>
                <w:color w:val="E81111"/>
                <w:sz w:val="18"/>
              </w:rPr>
            </w:pPr>
            <w:r>
              <w:rPr>
                <w:rFonts w:ascii="Roboto;sans-serif" w:hAnsi="Roboto;sans-serif"/>
                <w:b/>
                <w:color w:val="E81111"/>
                <w:sz w:val="18"/>
              </w:rPr>
              <w:t>Spring</w:t>
            </w:r>
          </w:p>
          <w:p>
            <w:pPr>
              <w:pStyle w:val="TableContents"/>
              <w:bidi w:val="0"/>
              <w:spacing w:lineRule="auto" w:line="312" w:before="0" w:after="60"/>
              <w:ind w:left="0" w:right="0" w:hanging="288"/>
              <w:jc w:val="left"/>
              <w:rPr/>
            </w:pPr>
            <w:r>
              <w:rPr>
                <w:color w:val="000000"/>
              </w:rPr>
              <w:t>•</w:t>
            </w:r>
            <w:r>
              <w:rPr>
                <w:rFonts w:ascii="Roboto;sans-serif" w:hAnsi="Roboto;sans-serif"/>
                <w:b w:val="false"/>
                <w:color w:val="000000"/>
                <w:sz w:val="16"/>
              </w:rPr>
              <w:t>File annual report and proxy statement</w:t>
            </w:r>
          </w:p>
          <w:p>
            <w:pPr>
              <w:pStyle w:val="TableContents"/>
              <w:bidi w:val="0"/>
              <w:spacing w:lineRule="auto" w:line="312" w:before="0" w:after="60"/>
              <w:ind w:left="0" w:right="0" w:hanging="288"/>
              <w:jc w:val="left"/>
              <w:rPr/>
            </w:pPr>
            <w:r>
              <w:rPr>
                <w:color w:val="000000"/>
              </w:rPr>
              <w:t>•</w:t>
            </w:r>
            <w:r>
              <w:rPr>
                <w:rFonts w:ascii="Roboto;sans-serif" w:hAnsi="Roboto;sans-serif"/>
                <w:b w:val="false"/>
                <w:color w:val="000000"/>
                <w:sz w:val="16"/>
              </w:rPr>
              <w:t>Engage with stockholders to address questions related to the proxy statement</w:t>
            </w:r>
          </w:p>
          <w:p>
            <w:pPr>
              <w:pStyle w:val="TableContents"/>
              <w:bidi w:val="0"/>
              <w:spacing w:lineRule="auto" w:line="312" w:before="0" w:after="60"/>
              <w:ind w:left="0" w:right="0" w:hanging="288"/>
              <w:jc w:val="left"/>
              <w:rPr/>
            </w:pPr>
            <w:r>
              <w:rPr>
                <w:color w:val="000000"/>
              </w:rPr>
              <w:t>•</w:t>
            </w:r>
            <w:r>
              <w:rPr>
                <w:rFonts w:ascii="Roboto;sans-serif" w:hAnsi="Roboto;sans-serif"/>
                <w:b w:val="false"/>
                <w:color w:val="000000"/>
                <w:sz w:val="16"/>
              </w:rPr>
              <w:t>Host annual meeting of stockholders</w:t>
            </w:r>
          </w:p>
        </w:tc>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Roboto;sans-serif" w:hAnsi="Roboto;sans-serif"/>
                <w:b/>
                <w:color w:val="1946C8"/>
                <w:sz w:val="18"/>
              </w:rPr>
            </w:pPr>
            <w:r>
              <w:rPr>
                <w:rFonts w:ascii="Roboto;sans-serif" w:hAnsi="Roboto;sans-serif"/>
                <w:b/>
                <w:color w:val="1946C8"/>
                <w:sz w:val="18"/>
              </w:rPr>
              <w:t>Summer</w:t>
            </w:r>
          </w:p>
          <w:p>
            <w:pPr>
              <w:pStyle w:val="TableContents"/>
              <w:bidi w:val="0"/>
              <w:spacing w:lineRule="auto" w:line="312" w:before="0" w:after="60"/>
              <w:ind w:left="0" w:right="0" w:hanging="288"/>
              <w:jc w:val="left"/>
              <w:rPr/>
            </w:pPr>
            <w:r>
              <w:rPr>
                <w:color w:val="000000"/>
              </w:rPr>
              <w:t>•</w:t>
            </w:r>
            <w:r>
              <w:rPr>
                <w:rFonts w:ascii="Roboto;sans-serif" w:hAnsi="Roboto;sans-serif"/>
                <w:b w:val="false"/>
                <w:color w:val="000000"/>
                <w:sz w:val="16"/>
              </w:rPr>
              <w:t>Review annual stockholder meeting vote results and feedback</w:t>
            </w:r>
          </w:p>
          <w:p>
            <w:pPr>
              <w:pStyle w:val="TableContents"/>
              <w:bidi w:val="0"/>
              <w:spacing w:lineRule="auto" w:line="312" w:before="0" w:after="60"/>
              <w:ind w:left="0" w:right="0" w:hanging="288"/>
              <w:jc w:val="left"/>
              <w:rPr/>
            </w:pPr>
            <w:r>
              <w:rPr>
                <w:color w:val="000000"/>
              </w:rPr>
              <w:t>•</w:t>
            </w:r>
            <w:r>
              <w:rPr>
                <w:rFonts w:ascii="Roboto;sans-serif" w:hAnsi="Roboto;sans-serif"/>
                <w:b w:val="false"/>
                <w:color w:val="000000"/>
                <w:sz w:val="16"/>
              </w:rPr>
              <w:t>Analyze governance trends &amp; potential areas for improvement</w:t>
            </w:r>
          </w:p>
        </w:tc>
      </w:tr>
      <w:tr>
        <w:trPr/>
        <w:tc>
          <w:tcPr>
            <w:tcW w:w="3326" w:type="dxa"/>
            <w:gridSpan w:val="3"/>
            <w:vMerge w:val="continue"/>
            <w:tcBorders/>
            <w:tcMar>
              <w:top w:w="0" w:type="dxa"/>
              <w:left w:w="0" w:type="dxa"/>
              <w:bottom w:w="0" w:type="dxa"/>
              <w:right w:w="0" w:type="dxa"/>
            </w:tcMar>
            <w:vAlign w:val="center"/>
          </w:tcPr>
          <w:p>
            <w:pPr>
              <w:pStyle w:val="Normal"/>
              <w:bidi w:val="0"/>
              <w:jc w:val="left"/>
              <w:rPr/>
            </w:pPr>
            <w:r>
              <w:rPr/>
            </w:r>
          </w:p>
        </w:tc>
        <w:tc>
          <w:tcPr>
            <w:tcW w:w="404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514600" cy="2514600"/>
                  <wp:effectExtent l="0" t="0" r="0" b="0"/>
                  <wp:docPr id="301"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23" descr=""/>
                          <pic:cNvPicPr>
                            <a:picLocks noChangeAspect="1" noChangeArrowheads="1"/>
                          </pic:cNvPicPr>
                        </pic:nvPicPr>
                        <pic:blipFill>
                          <a:blip r:embed="rId261"/>
                          <a:stretch>
                            <a:fillRect/>
                          </a:stretch>
                        </pic:blipFill>
                        <pic:spPr bwMode="auto">
                          <a:xfrm>
                            <a:off x="0" y="0"/>
                            <a:ext cx="2514600" cy="2514600"/>
                          </a:xfrm>
                          <a:prstGeom prst="rect">
                            <a:avLst/>
                          </a:prstGeom>
                        </pic:spPr>
                      </pic:pic>
                    </a:graphicData>
                  </a:graphic>
                </wp:inline>
              </w:drawing>
            </w:r>
            <w:bookmarkStart w:id="260" w:name="i-223"/>
            <w:bookmarkEnd w:id="260"/>
          </w:p>
        </w:tc>
        <w:tc>
          <w:tcPr>
            <w:tcW w:w="283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3"/>
            <w:vMerge w:val="continue"/>
            <w:tcBorders/>
            <w:tcMar>
              <w:top w:w="0" w:type="dxa"/>
              <w:left w:w="0" w:type="dxa"/>
              <w:bottom w:w="0" w:type="dxa"/>
              <w:right w:w="0" w:type="dxa"/>
            </w:tcMar>
            <w:vAlign w:val="center"/>
          </w:tcPr>
          <w:p>
            <w:pPr>
              <w:pStyle w:val="Normal"/>
              <w:bidi w:val="0"/>
              <w:jc w:val="left"/>
              <w:rPr/>
            </w:pPr>
            <w:r>
              <w:rPr/>
            </w:r>
          </w:p>
        </w:tc>
        <w:tc>
          <w:tcPr>
            <w:tcW w:w="2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6"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Roboto;sans-serif" w:hAnsi="Roboto;sans-serif"/>
                <w:b/>
                <w:color w:val="01024A"/>
                <w:sz w:val="18"/>
              </w:rPr>
            </w:pPr>
            <w:r>
              <w:rPr>
                <w:rFonts w:ascii="Roboto;sans-serif" w:hAnsi="Roboto;sans-serif"/>
                <w:b/>
                <w:color w:val="01024A"/>
                <w:sz w:val="18"/>
              </w:rPr>
              <w:t>Winter</w:t>
            </w:r>
          </w:p>
          <w:p>
            <w:pPr>
              <w:pStyle w:val="TableContents"/>
              <w:bidi w:val="0"/>
              <w:spacing w:lineRule="auto" w:line="312" w:before="0" w:after="60"/>
              <w:ind w:left="0" w:right="0" w:hanging="288"/>
              <w:jc w:val="left"/>
              <w:rPr/>
            </w:pPr>
            <w:r>
              <w:rPr>
                <w:color w:val="000000"/>
              </w:rPr>
              <w:t>•</w:t>
            </w:r>
            <w:r>
              <w:rPr>
                <w:rFonts w:ascii="Roboto;sans-serif" w:hAnsi="Roboto;sans-serif"/>
                <w:b w:val="false"/>
                <w:color w:val="000000"/>
                <w:sz w:val="16"/>
              </w:rPr>
              <w:t>Prepare any changes to Company practices driven by stockholder feedback</w:t>
            </w:r>
          </w:p>
          <w:p>
            <w:pPr>
              <w:pStyle w:val="TableContents"/>
              <w:bidi w:val="0"/>
              <w:spacing w:lineRule="auto" w:line="312" w:before="0" w:after="60"/>
              <w:ind w:left="0" w:right="0" w:hanging="288"/>
              <w:jc w:val="left"/>
              <w:rPr/>
            </w:pPr>
            <w:r>
              <w:rPr>
                <w:color w:val="000000"/>
              </w:rPr>
              <w:t>•</w:t>
            </w:r>
            <w:r>
              <w:rPr>
                <w:rFonts w:ascii="Roboto;sans-serif" w:hAnsi="Roboto;sans-serif"/>
                <w:b w:val="false"/>
                <w:color w:val="000000"/>
                <w:sz w:val="16"/>
              </w:rPr>
              <w:t xml:space="preserve">Prepare annual report and proxy statement disclosures with enhancements based on stockholder feedback </w:t>
            </w:r>
          </w:p>
        </w:tc>
        <w:tc>
          <w:tcPr>
            <w:tcW w:w="4046" w:type="dxa"/>
            <w:gridSpan w:val="3"/>
            <w:vMerge w:val="continue"/>
            <w:tcBorders/>
            <w:tcMar>
              <w:top w:w="0" w:type="dxa"/>
              <w:left w:w="0" w:type="dxa"/>
              <w:bottom w:w="0" w:type="dxa"/>
              <w:right w:w="0" w:type="dxa"/>
            </w:tcMar>
            <w:vAlign w:val="center"/>
          </w:tcPr>
          <w:p>
            <w:pPr>
              <w:pStyle w:val="Normal"/>
              <w:bidi w:val="0"/>
              <w:jc w:val="left"/>
              <w:rPr/>
            </w:pPr>
            <w:r>
              <w:rPr/>
            </w:r>
          </w:p>
        </w:tc>
        <w:tc>
          <w:tcPr>
            <w:tcW w:w="2833"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Roboto;sans-serif" w:hAnsi="Roboto;sans-serif"/>
                <w:b/>
                <w:color w:val="96D0FF"/>
                <w:sz w:val="18"/>
              </w:rPr>
            </w:pPr>
            <w:r>
              <w:rPr>
                <w:rFonts w:ascii="Roboto;sans-serif" w:hAnsi="Roboto;sans-serif"/>
                <w:b/>
                <w:color w:val="96D0FF"/>
                <w:sz w:val="18"/>
              </w:rPr>
              <w:t>Fall</w:t>
            </w:r>
          </w:p>
          <w:p>
            <w:pPr>
              <w:pStyle w:val="TableContents"/>
              <w:bidi w:val="0"/>
              <w:spacing w:lineRule="auto" w:line="312" w:before="0" w:after="60"/>
              <w:ind w:left="0" w:right="0" w:hanging="288"/>
              <w:jc w:val="left"/>
              <w:rPr/>
            </w:pPr>
            <w:r>
              <w:rPr>
                <w:color w:val="000000"/>
              </w:rPr>
              <w:t>•</w:t>
            </w:r>
            <w:r>
              <w:rPr>
                <w:rFonts w:ascii="Roboto;sans-serif" w:hAnsi="Roboto;sans-serif"/>
                <w:b w:val="false"/>
                <w:color w:val="000000"/>
                <w:sz w:val="16"/>
              </w:rPr>
              <w:t>Conduct pro-active off-season stockholder engagement</w:t>
            </w:r>
          </w:p>
          <w:p>
            <w:pPr>
              <w:pStyle w:val="TableContents"/>
              <w:bidi w:val="0"/>
              <w:spacing w:lineRule="auto" w:line="312" w:before="0" w:after="60"/>
              <w:ind w:left="0" w:right="0" w:hanging="288"/>
              <w:jc w:val="left"/>
              <w:rPr/>
            </w:pPr>
            <w:r>
              <w:rPr>
                <w:color w:val="000000"/>
              </w:rPr>
              <w:t>•</w:t>
            </w:r>
            <w:r>
              <w:rPr>
                <w:rFonts w:ascii="Roboto;sans-serif" w:hAnsi="Roboto;sans-serif"/>
                <w:b w:val="false"/>
                <w:color w:val="000000"/>
                <w:sz w:val="16"/>
              </w:rPr>
              <w:t>Share stockholder feedback and discuss with the Governance Committee and the Board</w:t>
            </w:r>
          </w:p>
        </w:tc>
      </w:tr>
      <w:tr>
        <w:trPr/>
        <w:tc>
          <w:tcPr>
            <w:tcW w:w="3326" w:type="dxa"/>
            <w:gridSpan w:val="3"/>
            <w:vMerge w:val="continue"/>
            <w:tcBorders/>
            <w:tcMar>
              <w:top w:w="0" w:type="dxa"/>
              <w:left w:w="0" w:type="dxa"/>
              <w:bottom w:w="0" w:type="dxa"/>
              <w:right w:w="0" w:type="dxa"/>
            </w:tcMar>
            <w:vAlign w:val="center"/>
          </w:tcPr>
          <w:p>
            <w:pPr>
              <w:pStyle w:val="Normal"/>
              <w:bidi w:val="0"/>
              <w:jc w:val="left"/>
              <w:rPr/>
            </w:pPr>
            <w:r>
              <w:rPr/>
            </w:r>
          </w:p>
        </w:tc>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263525"/>
                <wp:effectExtent l="0" t="0" r="0" b="0"/>
                <wp:wrapNone/>
                <wp:docPr id="302" name="Frame42"/>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303"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24" descr=""/>
                                          <pic:cNvPicPr>
                                            <a:picLocks noChangeAspect="1" noChangeArrowheads="1"/>
                                          </pic:cNvPicPr>
                                        </pic:nvPicPr>
                                        <pic:blipFill>
                                          <a:blip r:embed="rId262"/>
                                          <a:stretch>
                                            <a:fillRect/>
                                          </a:stretch>
                                        </pic:blipFill>
                                        <pic:spPr bwMode="auto">
                                          <a:xfrm>
                                            <a:off x="0" y="0"/>
                                            <a:ext cx="266700" cy="200025"/>
                                          </a:xfrm>
                                          <a:prstGeom prst="rect">
                                            <a:avLst/>
                                          </a:prstGeom>
                                        </pic:spPr>
                                      </pic:pic>
                                    </a:graphicData>
                                  </a:graphic>
                                </wp:inline>
                              </w:drawing>
                            </w:r>
                            <w:bookmarkStart w:id="261" w:name="i-224"/>
                            <w:bookmarkEnd w:id="261"/>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304"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24" descr=""/>
                                    <pic:cNvPicPr>
                                      <a:picLocks noChangeAspect="1" noChangeArrowheads="1"/>
                                    </pic:cNvPicPr>
                                  </pic:nvPicPr>
                                  <pic:blipFill>
                                    <a:blip r:embed="rId263"/>
                                    <a:stretch>
                                      <a:fillRect/>
                                    </a:stretch>
                                  </pic:blipFill>
                                  <pic:spPr bwMode="auto">
                                    <a:xfrm>
                                      <a:off x="0" y="0"/>
                                      <a:ext cx="266700" cy="200025"/>
                                    </a:xfrm>
                                    <a:prstGeom prst="rect">
                                      <a:avLst/>
                                    </a:prstGeom>
                                  </pic:spPr>
                                </pic:pic>
                              </a:graphicData>
                            </a:graphic>
                          </wp:inline>
                        </w:drawing>
                      </w:r>
                      <w:bookmarkStart w:id="262" w:name="i-224"/>
                      <w:bookmarkEnd w:id="262"/>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37</w:t>
            </w:r>
          </w:p>
        </w:tc>
      </w:tr>
    </w:tbl>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2025 Stockholder Engagement</w:t>
      </w:r>
    </w:p>
    <w:p>
      <w:pPr>
        <w:pStyle w:val="TextBody"/>
        <w:bidi w:val="0"/>
        <w:spacing w:lineRule="atLeast" w:line="240" w:before="0" w:after="120"/>
        <w:jc w:val="left"/>
        <w:rPr>
          <w:rFonts w:ascii="Roboto Light;sans-serif" w:hAnsi="Roboto Light;sans-serif"/>
          <w:b w:val="false"/>
          <w:color w:val="000000"/>
          <w:sz w:val="18"/>
        </w:rPr>
      </w:pPr>
      <w:r>
        <w:rPr>
          <w:rFonts w:ascii="Roboto Light;sans-serif" w:hAnsi="Roboto Light;sans-serif"/>
          <w:b w:val="false"/>
          <w:color w:val="000000"/>
          <w:sz w:val="18"/>
        </w:rPr>
        <w:t>In the fall 2025, we invited 30 of our top institutional stockholders, who represented approximately 80% of our outstanding shares as of September 29, 2025, to engage with us during our off-season stockholder engagement program. Five of the invited stockholders accepted, and our stockholder engagement team and the Chair of our Governance Committee held meetings with them to discuss and gather their feedback on topics such as board composition, structure, and oversight, board and corporate governance, executive compensation, and responsible leadership.</w:t>
      </w:r>
    </w:p>
    <w:tbl>
      <w:tblPr>
        <w:tblW w:w="6156" w:type="dxa"/>
        <w:jc w:val="center"/>
        <w:tblInd w:w="0" w:type="dxa"/>
        <w:tblLayout w:type="fixed"/>
        <w:tblCellMar>
          <w:top w:w="28" w:type="dxa"/>
          <w:left w:w="28" w:type="dxa"/>
          <w:bottom w:w="28" w:type="dxa"/>
          <w:right w:w="28" w:type="dxa"/>
        </w:tblCellMar>
      </w:tblPr>
      <w:tblGrid>
        <w:gridCol w:w="124"/>
        <w:gridCol w:w="109"/>
        <w:gridCol w:w="109"/>
        <w:gridCol w:w="205"/>
        <w:gridCol w:w="205"/>
        <w:gridCol w:w="206"/>
        <w:gridCol w:w="109"/>
        <w:gridCol w:w="109"/>
        <w:gridCol w:w="109"/>
        <w:gridCol w:w="1498"/>
        <w:gridCol w:w="1498"/>
        <w:gridCol w:w="150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1946C8" w:val="clear"/>
            <w:tcMar>
              <w:top w:w="0" w:type="dxa"/>
              <w:left w:w="0" w:type="dxa"/>
              <w:bottom w:w="0" w:type="dxa"/>
              <w:right w:w="0" w:type="dxa"/>
            </w:tcMar>
            <w:vAlign w:val="center"/>
          </w:tcPr>
          <w:p>
            <w:pPr>
              <w:pStyle w:val="TableContents"/>
              <w:bidi w:val="0"/>
              <w:spacing w:lineRule="auto" w:line="240" w:before="0" w:after="283"/>
              <w:jc w:val="center"/>
              <w:rPr>
                <w:rFonts w:ascii="Roboto Slab Bold;sans-serif" w:hAnsi="Roboto Slab Bold;sans-serif"/>
                <w:b/>
                <w:color w:val="FFFFFF"/>
                <w:sz w:val="38"/>
              </w:rPr>
            </w:pPr>
            <w:r>
              <w:rPr>
                <w:rFonts w:ascii="Roboto Slab Bold;sans-serif" w:hAnsi="Roboto Slab Bold;sans-serif"/>
                <w:b/>
                <w:color w:val="FFFFFF"/>
                <w:sz w:val="38"/>
              </w:rPr>
              <w:t>30</w:t>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shd w:fill="1946C8" w:val="clear"/>
            <w:tcMar>
              <w:top w:w="0" w:type="dxa"/>
              <w:left w:w="0" w:type="dxa"/>
              <w:bottom w:w="0" w:type="dxa"/>
              <w:right w:w="0" w:type="dxa"/>
            </w:tcMar>
            <w:vAlign w:val="center"/>
          </w:tcPr>
          <w:p>
            <w:pPr>
              <w:pStyle w:val="TableContents"/>
              <w:bidi w:val="0"/>
              <w:spacing w:lineRule="atLeast" w:line="220" w:before="0" w:after="283"/>
              <w:jc w:val="left"/>
              <w:rPr>
                <w:rFonts w:ascii="Helvetica;sans-serif" w:hAnsi="Helvetica;sans-serif"/>
                <w:b w:val="false"/>
                <w:color w:val="FFFFFF"/>
                <w:sz w:val="16"/>
              </w:rPr>
            </w:pPr>
            <w:r>
              <w:rPr>
                <w:rFonts w:ascii="Helvetica;sans-serif" w:hAnsi="Helvetica;sans-serif"/>
                <w:b w:val="false"/>
                <w:color w:val="FFFFFF"/>
                <w:sz w:val="16"/>
              </w:rPr>
              <w:t># of top stockholders invited to engage during the off-season</w:t>
            </w:r>
          </w:p>
        </w:tc>
        <w:tc>
          <w:tcPr>
            <w:tcW w:w="37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180" w:type="dxa"/>
        <w:jc w:val="center"/>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09"/>
        <w:gridCol w:w="1943"/>
        <w:gridCol w:w="1943"/>
        <w:gridCol w:w="194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1946C8" w:val="clear"/>
            <w:tcMar>
              <w:top w:w="0" w:type="dxa"/>
              <w:left w:w="0" w:type="dxa"/>
              <w:bottom w:w="0" w:type="dxa"/>
              <w:right w:w="0" w:type="dxa"/>
            </w:tcMar>
            <w:vAlign w:val="center"/>
          </w:tcPr>
          <w:p>
            <w:pPr>
              <w:pStyle w:val="TableContents"/>
              <w:bidi w:val="0"/>
              <w:spacing w:lineRule="auto" w:line="240" w:before="0" w:after="283"/>
              <w:jc w:val="center"/>
              <w:rPr>
                <w:rFonts w:ascii="Roboto Slab Bold;sans-serif" w:hAnsi="Roboto Slab Bold;sans-serif"/>
                <w:b/>
                <w:color w:val="FFFFFF"/>
                <w:sz w:val="38"/>
              </w:rPr>
            </w:pPr>
            <w:r>
              <w:rPr>
                <w:rFonts w:ascii="Roboto Slab Bold;sans-serif" w:hAnsi="Roboto Slab Bold;sans-serif"/>
                <w:b/>
                <w:color w:val="FFFFFF"/>
                <w:sz w:val="38"/>
              </w:rPr>
              <w:t>~80%</w:t>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shd w:fill="1946C8" w:val="clear"/>
            <w:tcMar>
              <w:top w:w="0" w:type="dxa"/>
              <w:left w:w="0" w:type="dxa"/>
              <w:bottom w:w="0" w:type="dxa"/>
              <w:right w:w="0" w:type="dxa"/>
            </w:tcMar>
            <w:vAlign w:val="center"/>
          </w:tcPr>
          <w:p>
            <w:pPr>
              <w:pStyle w:val="TableContents"/>
              <w:bidi w:val="0"/>
              <w:spacing w:lineRule="atLeast" w:line="220" w:before="0" w:after="0"/>
              <w:jc w:val="left"/>
              <w:rPr>
                <w:rFonts w:ascii="Helvetica;sans-serif" w:hAnsi="Helvetica;sans-serif"/>
                <w:b w:val="false"/>
                <w:color w:val="FFFFFF"/>
                <w:sz w:val="16"/>
              </w:rPr>
            </w:pPr>
            <w:r>
              <w:rPr>
                <w:rFonts w:ascii="Helvetica;sans-serif" w:hAnsi="Helvetica;sans-serif"/>
                <w:b w:val="false"/>
                <w:color w:val="FFFFFF"/>
                <w:sz w:val="16"/>
              </w:rPr>
              <w:t>% of outstanding shares held by top invited stockholders (as of Sept. 29, 2025)</w:t>
            </w:r>
          </w:p>
        </w:tc>
        <w:tc>
          <w:tcPr>
            <w:tcW w:w="37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557" w:type="dxa"/>
        <w:jc w:val="center"/>
        <w:tblInd w:w="0" w:type="dxa"/>
        <w:tblLayout w:type="fixed"/>
        <w:tblCellMar>
          <w:top w:w="28" w:type="dxa"/>
          <w:left w:w="28" w:type="dxa"/>
          <w:bottom w:w="28" w:type="dxa"/>
          <w:right w:w="28" w:type="dxa"/>
        </w:tblCellMar>
      </w:tblPr>
      <w:tblGrid>
        <w:gridCol w:w="124"/>
        <w:gridCol w:w="109"/>
        <w:gridCol w:w="109"/>
        <w:gridCol w:w="120"/>
        <w:gridCol w:w="120"/>
        <w:gridCol w:w="121"/>
        <w:gridCol w:w="109"/>
        <w:gridCol w:w="109"/>
        <w:gridCol w:w="109"/>
        <w:gridCol w:w="1384"/>
        <w:gridCol w:w="1384"/>
        <w:gridCol w:w="138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1946C8" w:val="clear"/>
            <w:tcMar>
              <w:top w:w="0" w:type="dxa"/>
              <w:left w:w="0" w:type="dxa"/>
              <w:bottom w:w="0" w:type="dxa"/>
              <w:right w:w="0" w:type="dxa"/>
            </w:tcMar>
            <w:vAlign w:val="center"/>
          </w:tcPr>
          <w:p>
            <w:pPr>
              <w:pStyle w:val="TableContents"/>
              <w:bidi w:val="0"/>
              <w:spacing w:lineRule="auto" w:line="240" w:before="0" w:after="283"/>
              <w:jc w:val="center"/>
              <w:rPr>
                <w:rFonts w:ascii="Roboto Slab Bold;sans-serif" w:hAnsi="Roboto Slab Bold;sans-serif"/>
                <w:b/>
                <w:color w:val="FFFFFF"/>
                <w:sz w:val="38"/>
              </w:rPr>
            </w:pPr>
            <w:r>
              <w:rPr>
                <w:rFonts w:ascii="Roboto Slab Bold;sans-serif" w:hAnsi="Roboto Slab Bold;sans-serif"/>
                <w:b/>
                <w:color w:val="FFFFFF"/>
                <w:sz w:val="38"/>
              </w:rPr>
              <w:t>5</w:t>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shd w:fill="1946C8" w:val="clear"/>
            <w:tcMar>
              <w:top w:w="0" w:type="dxa"/>
              <w:left w:w="0" w:type="dxa"/>
              <w:bottom w:w="0" w:type="dxa"/>
              <w:right w:w="0" w:type="dxa"/>
            </w:tcMar>
            <w:vAlign w:val="center"/>
          </w:tcPr>
          <w:p>
            <w:pPr>
              <w:pStyle w:val="TableContents"/>
              <w:bidi w:val="0"/>
              <w:spacing w:lineRule="atLeast" w:line="220" w:before="0" w:after="283"/>
              <w:jc w:val="left"/>
              <w:rPr>
                <w:rFonts w:ascii="Helvetica;sans-serif" w:hAnsi="Helvetica;sans-serif"/>
                <w:b w:val="false"/>
                <w:color w:val="FFFFFF"/>
                <w:sz w:val="16"/>
              </w:rPr>
            </w:pPr>
            <w:r>
              <w:rPr>
                <w:rFonts w:ascii="Helvetica;sans-serif" w:hAnsi="Helvetica;sans-serif"/>
                <w:b w:val="false"/>
                <w:color w:val="FFFFFF"/>
                <w:sz w:val="16"/>
              </w:rPr>
              <w:t>engagement meetings held with top invited stockholders</w:t>
            </w:r>
          </w:p>
        </w:tc>
        <w:tc>
          <w:tcPr>
            <w:tcW w:w="37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643" w:type="dxa"/>
        <w:jc w:val="left"/>
        <w:tblInd w:w="0" w:type="dxa"/>
        <w:tblLayout w:type="fixed"/>
        <w:tblCellMar>
          <w:top w:w="28" w:type="dxa"/>
          <w:left w:w="28" w:type="dxa"/>
          <w:bottom w:w="28" w:type="dxa"/>
          <w:right w:w="28" w:type="dxa"/>
        </w:tblCellMar>
      </w:tblPr>
      <w:tblGrid>
        <w:gridCol w:w="1388"/>
        <w:gridCol w:w="1218"/>
        <w:gridCol w:w="1218"/>
        <w:gridCol w:w="821"/>
        <w:gridCol w:w="821"/>
        <w:gridCol w:w="1177"/>
      </w:tblGrid>
      <w:tr>
        <w:trPr/>
        <w:tc>
          <w:tcPr>
            <w:tcW w:w="138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6643" w:type="dxa"/>
            <w:gridSpan w:val="6"/>
            <w:tcBorders>
              <w:top w:val="single" w:sz="4" w:space="0" w:color="1946C8"/>
              <w:left w:val="single" w:sz="4" w:space="0" w:color="1946C8"/>
              <w:right w:val="single" w:sz="4" w:space="0" w:color="1946C8"/>
            </w:tcBorders>
            <w:shd w:fill="1946C8" w:val="clear"/>
            <w:tcMar>
              <w:top w:w="30" w:type="dxa"/>
              <w:bottom w:w="0" w:type="dxa"/>
            </w:tcMar>
            <w:vAlign w:val="center"/>
          </w:tcPr>
          <w:p>
            <w:pPr>
              <w:pStyle w:val="TableContents"/>
              <w:bidi w:val="0"/>
              <w:spacing w:lineRule="auto" w:line="312" w:before="60" w:after="60"/>
              <w:jc w:val="center"/>
              <w:rPr>
                <w:rFonts w:ascii="Roboto;sans-serif" w:hAnsi="Roboto;sans-serif"/>
                <w:b/>
                <w:color w:val="FFFFFF"/>
                <w:sz w:val="16"/>
              </w:rPr>
            </w:pPr>
            <w:r>
              <w:rPr>
                <w:rFonts w:ascii="Roboto;sans-serif" w:hAnsi="Roboto;sans-serif"/>
                <w:b/>
                <w:color w:val="FFFFFF"/>
                <w:sz w:val="16"/>
              </w:rPr>
              <w:t>2025 Stockholder Engagement Topics</w:t>
            </w:r>
          </w:p>
        </w:tc>
      </w:tr>
      <w:tr>
        <w:trPr/>
        <w:tc>
          <w:tcPr>
            <w:tcW w:w="3824" w:type="dxa"/>
            <w:gridSpan w:val="3"/>
            <w:tcBorders>
              <w:top w:val="single" w:sz="4" w:space="0" w:color="1946C8"/>
              <w:left w:val="single" w:sz="4" w:space="0" w:color="1946C8"/>
            </w:tcBorders>
            <w:tcMar>
              <w:top w:w="30" w:type="dxa"/>
              <w:bottom w:w="0" w:type="dxa"/>
              <w:right w:w="0" w:type="dxa"/>
            </w:tcMar>
            <w:vAlign w:val="center"/>
          </w:tcPr>
          <w:p>
            <w:pPr>
              <w:pStyle w:val="TableContents"/>
              <w:bidi w:val="0"/>
              <w:spacing w:lineRule="auto" w:line="312" w:before="60" w:after="60"/>
              <w:jc w:val="center"/>
              <w:rPr>
                <w:rFonts w:ascii="Roboto;sans-serif" w:hAnsi="Roboto;sans-serif"/>
                <w:b w:val="false"/>
                <w:color w:val="000000"/>
                <w:sz w:val="16"/>
              </w:rPr>
            </w:pPr>
            <w:r>
              <w:rPr>
                <w:rFonts w:ascii="Roboto;sans-serif" w:hAnsi="Roboto;sans-serif"/>
                <w:b w:val="false"/>
                <w:color w:val="000000"/>
                <w:sz w:val="16"/>
              </w:rPr>
              <w:t>Board Composition, Structure and Oversight</w:t>
            </w:r>
          </w:p>
        </w:tc>
        <w:tc>
          <w:tcPr>
            <w:tcW w:w="2819" w:type="dxa"/>
            <w:gridSpan w:val="3"/>
            <w:tcBorders>
              <w:top w:val="single" w:sz="4" w:space="0" w:color="1946C8"/>
              <w:left w:val="single" w:sz="4" w:space="0" w:color="1946C8"/>
              <w:right w:val="single" w:sz="4" w:space="0" w:color="1946C8"/>
            </w:tcBorders>
            <w:tcMar>
              <w:top w:w="30" w:type="dxa"/>
              <w:bottom w:w="0" w:type="dxa"/>
            </w:tcMar>
            <w:vAlign w:val="center"/>
          </w:tcPr>
          <w:p>
            <w:pPr>
              <w:pStyle w:val="TableContents"/>
              <w:bidi w:val="0"/>
              <w:spacing w:lineRule="auto" w:line="312" w:before="60" w:after="60"/>
              <w:jc w:val="center"/>
              <w:rPr>
                <w:rFonts w:ascii="Roboto;sans-serif" w:hAnsi="Roboto;sans-serif"/>
                <w:b w:val="false"/>
                <w:color w:val="000000"/>
                <w:sz w:val="16"/>
              </w:rPr>
            </w:pPr>
            <w:r>
              <w:rPr>
                <w:rFonts w:ascii="Roboto;sans-serif" w:hAnsi="Roboto;sans-serif"/>
                <w:b w:val="false"/>
                <w:color w:val="000000"/>
                <w:sz w:val="16"/>
              </w:rPr>
              <w:t>Board &amp; Corporate Governance</w:t>
            </w:r>
          </w:p>
        </w:tc>
      </w:tr>
      <w:tr>
        <w:trPr/>
        <w:tc>
          <w:tcPr>
            <w:tcW w:w="3824" w:type="dxa"/>
            <w:gridSpan w:val="3"/>
            <w:tcBorders>
              <w:top w:val="single" w:sz="4" w:space="0" w:color="1946C8"/>
              <w:left w:val="single" w:sz="4" w:space="0" w:color="1946C8"/>
              <w:bottom w:val="single" w:sz="4" w:space="0" w:color="1946C8"/>
            </w:tcBorders>
            <w:tcMar>
              <w:top w:w="30" w:type="dxa"/>
              <w:bottom w:w="30" w:type="dxa"/>
              <w:right w:w="0" w:type="dxa"/>
            </w:tcMar>
            <w:vAlign w:val="center"/>
          </w:tcPr>
          <w:p>
            <w:pPr>
              <w:pStyle w:val="TableContents"/>
              <w:bidi w:val="0"/>
              <w:spacing w:lineRule="auto" w:line="312" w:before="60" w:after="60"/>
              <w:jc w:val="center"/>
              <w:rPr>
                <w:rFonts w:ascii="Roboto;sans-serif" w:hAnsi="Roboto;sans-serif"/>
                <w:b w:val="false"/>
                <w:color w:val="000000"/>
                <w:sz w:val="16"/>
              </w:rPr>
            </w:pPr>
            <w:r>
              <w:rPr>
                <w:rFonts w:ascii="Roboto;sans-serif" w:hAnsi="Roboto;sans-serif"/>
                <w:b w:val="false"/>
                <w:color w:val="000000"/>
                <w:sz w:val="16"/>
              </w:rPr>
              <w:t>Executive Compensation</w:t>
            </w:r>
          </w:p>
        </w:tc>
        <w:tc>
          <w:tcPr>
            <w:tcW w:w="2819" w:type="dxa"/>
            <w:gridSpan w:val="3"/>
            <w:tcBorders>
              <w:top w:val="single" w:sz="4" w:space="0" w:color="1946C8"/>
              <w:left w:val="single" w:sz="4" w:space="0" w:color="1946C8"/>
              <w:bottom w:val="single" w:sz="4" w:space="0" w:color="1946C8"/>
              <w:right w:val="single" w:sz="4" w:space="0" w:color="1946C8"/>
            </w:tcBorders>
            <w:tcMar>
              <w:top w:w="30" w:type="dxa"/>
              <w:bottom w:w="30" w:type="dxa"/>
            </w:tcMar>
            <w:vAlign w:val="center"/>
          </w:tcPr>
          <w:p>
            <w:pPr>
              <w:pStyle w:val="TableContents"/>
              <w:bidi w:val="0"/>
              <w:spacing w:lineRule="auto" w:line="312" w:before="60" w:after="60"/>
              <w:jc w:val="center"/>
              <w:rPr>
                <w:rFonts w:ascii="Roboto;sans-serif" w:hAnsi="Roboto;sans-serif"/>
                <w:b w:val="false"/>
                <w:color w:val="000000"/>
                <w:sz w:val="16"/>
              </w:rPr>
            </w:pPr>
            <w:r>
              <w:rPr>
                <w:rFonts w:ascii="Roboto;sans-serif" w:hAnsi="Roboto;sans-serif"/>
                <w:b w:val="false"/>
                <w:color w:val="000000"/>
                <w:sz w:val="16"/>
              </w:rPr>
              <w:t>Responsible Leadership</w:t>
            </w:r>
          </w:p>
        </w:tc>
      </w:tr>
    </w:tbl>
    <w:p>
      <w:pPr>
        <w:pStyle w:val="TextBody"/>
        <w:bidi w:val="0"/>
        <w:spacing w:lineRule="auto" w:line="312" w:before="240" w:after="60"/>
        <w:ind w:left="0" w:right="0" w:firstLine="90"/>
        <w:jc w:val="left"/>
        <w:rPr>
          <w:rFonts w:ascii="Roboto;sans-serif" w:hAnsi="Roboto;sans-serif"/>
          <w:b/>
          <w:color w:val="01024A"/>
          <w:sz w:val="20"/>
        </w:rPr>
      </w:pPr>
      <w:r>
        <w:rPr>
          <w:rFonts w:ascii="Roboto;sans-serif" w:hAnsi="Roboto;sans-serif"/>
          <w:b/>
          <w:color w:val="01024A"/>
          <w:sz w:val="20"/>
        </w:rPr>
        <w:t>Actions Taken by the Company based on 2025 Stockholder Engagement Feedback</w:t>
      </w:r>
    </w:p>
    <w:p>
      <w:pPr>
        <w:pStyle w:val="TextBody"/>
        <w:bidi w:val="0"/>
        <w:spacing w:lineRule="atLeast" w:line="240" w:before="0" w:after="60"/>
        <w:jc w:val="left"/>
        <w:rPr>
          <w:rFonts w:ascii="Roboto Light;sans-serif" w:hAnsi="Roboto Light;sans-serif"/>
          <w:b w:val="false"/>
          <w:color w:val="000000"/>
          <w:sz w:val="18"/>
        </w:rPr>
      </w:pPr>
      <w:r>
        <w:rPr>
          <w:rFonts w:ascii="Roboto Light;sans-serif" w:hAnsi="Roboto Light;sans-serif"/>
          <w:b w:val="false"/>
          <w:color w:val="000000"/>
          <w:sz w:val="18"/>
        </w:rPr>
        <w:t>Following the 2025 off-season stockholder engagement meetings, management reported to and discussed the feedback received from stockholders regarding board composition, structure and oversight, board and corporate governance, and responsible leadership with the Governance Committee, and discussed feedback regarding executive compensation with the Compensation Committee. Management also shared and discussed this feedback with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120"/>
        <w:jc w:val="left"/>
        <w:rPr>
          <w:rFonts w:ascii="Roboto;sans-serif" w:hAnsi="Roboto;sans-serif"/>
          <w:b/>
          <w:color w:val="1946C8"/>
          <w:sz w:val="24"/>
        </w:rPr>
      </w:pPr>
      <w:r>
        <w:rPr>
          <w:rFonts w:ascii="Roboto;sans-serif" w:hAnsi="Roboto;sans-serif"/>
          <w:b/>
          <w:color w:val="1946C8"/>
          <w:sz w:val="24"/>
        </w:rPr>
        <w:t>Responsible Leadership</w:t>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Purpose Statement</w:t>
      </w:r>
    </w:p>
    <w:p>
      <w:pPr>
        <w:pStyle w:val="TextBody"/>
        <w:bidi w:val="0"/>
        <w:spacing w:lineRule="atLeast" w:line="240" w:before="0" w:after="180"/>
        <w:jc w:val="left"/>
        <w:rPr>
          <w:rFonts w:ascii="Roboto Light;sans-serif" w:hAnsi="Roboto Light;sans-serif"/>
          <w:b w:val="false"/>
          <w:color w:val="000000"/>
          <w:sz w:val="18"/>
        </w:rPr>
      </w:pPr>
      <w:r>
        <w:rPr>
          <w:rFonts w:ascii="Roboto Light;sans-serif" w:hAnsi="Roboto Light;sans-serif"/>
          <w:b w:val="false"/>
          <w:color w:val="000000"/>
          <w:sz w:val="18"/>
        </w:rPr>
        <w:t xml:space="preserve">At Academy, responsible leadership and integrity are values that are fundamental to the way we conduct our business. We believe that practicing responsible leadership strengthens the accountability and performance of the Board and executive management team, supports the long-term interests of our stockholders and other stakeholders (including our team members, our customers, and their communities), and furthers the achievement of Our Vision to be the best sports + outdoors retailer in the country. We engage in responsible leadership by relying on our Responsible Leadership Pillars: Empowering our Team Members, Operating with Integrity, and Supporting Our Communities. This approach guides operations at all levels, including our strategies, investments, internal and external engagement, and reporting. </w:t>
      </w:r>
    </w:p>
    <w:p>
      <w:pPr>
        <w:pStyle w:val="TextBody"/>
        <w:bidi w:val="0"/>
        <w:spacing w:lineRule="atLeast" w:line="240" w:before="180" w:after="120"/>
        <w:jc w:val="left"/>
        <w:rPr/>
      </w:pPr>
      <w:r>
        <w:rPr>
          <w:rFonts w:ascii="Roboto;sans-serif" w:hAnsi="Roboto;sans-serif"/>
          <w:b/>
          <w:color w:val="000000"/>
          <w:sz w:val="18"/>
        </w:rPr>
        <w:t xml:space="preserve">Empowering Our Team Members: </w:t>
      </w:r>
      <w:r>
        <w:rPr>
          <w:rFonts w:ascii="Roboto Light;sans-serif" w:hAnsi="Roboto Light;sans-serif"/>
          <w:b w:val="false"/>
          <w:color w:val="000000"/>
          <w:sz w:val="18"/>
        </w:rPr>
        <w:t>At Academy, it’s our Mission to provide fun for all – which includes anyone and everyone who wants to enjoy sports and outdoors activities. We strive to create safer and stronger workplaces for our Team Members, and shopping experiences and communities for our customers, and to create a sense of belonging for all those that engage with Academy. This includes:</w:t>
      </w:r>
    </w:p>
    <w:p>
      <w:pPr>
        <w:pStyle w:val="TextBody"/>
        <w:bidi w:val="0"/>
        <w:spacing w:lineRule="atLeast" w:line="240" w:before="0" w:after="0"/>
        <w:ind w:left="0" w:right="0" w:hanging="288"/>
        <w:jc w:val="left"/>
        <w:rPr/>
      </w:pPr>
      <w:r>
        <w:rPr>
          <w:color w:val="000000"/>
        </w:rPr>
        <w:t>•</w:t>
      </w:r>
      <w:r>
        <w:rPr>
          <w:rFonts w:ascii="Roboto Light;sans-serif" w:hAnsi="Roboto Light;sans-serif"/>
          <w:b w:val="false"/>
          <w:color w:val="000000"/>
          <w:sz w:val="18"/>
        </w:rPr>
        <w:t>Welcoming Stores</w:t>
      </w:r>
    </w:p>
    <w:p>
      <w:pPr>
        <w:pStyle w:val="TextBody"/>
        <w:bidi w:val="0"/>
        <w:spacing w:lineRule="atLeast" w:line="240" w:before="0" w:after="0"/>
        <w:ind w:left="0" w:right="0" w:hanging="288"/>
        <w:jc w:val="left"/>
        <w:rPr/>
      </w:pPr>
      <w:r>
        <w:rPr>
          <w:color w:val="000000"/>
        </w:rPr>
        <w:t>•</w:t>
      </w:r>
      <w:r>
        <w:rPr>
          <w:rFonts w:ascii="Roboto Light;sans-serif" w:hAnsi="Roboto Light;sans-serif"/>
          <w:b w:val="false"/>
          <w:color w:val="000000"/>
          <w:sz w:val="18"/>
        </w:rPr>
        <w:t>Talent Management</w:t>
      </w:r>
    </w:p>
    <w:p>
      <w:pPr>
        <w:pStyle w:val="TextBody"/>
        <w:bidi w:val="0"/>
        <w:spacing w:lineRule="atLeast" w:line="240" w:before="0" w:after="0"/>
        <w:ind w:left="0" w:right="0" w:hanging="288"/>
        <w:jc w:val="left"/>
        <w:rPr/>
      </w:pPr>
      <w:r>
        <w:rPr>
          <w:color w:val="000000"/>
        </w:rPr>
        <w:t>•</w:t>
      </w:r>
      <w:r>
        <w:rPr>
          <w:rFonts w:ascii="Roboto Light;sans-serif" w:hAnsi="Roboto Light;sans-serif"/>
          <w:b w:val="false"/>
          <w:color w:val="000000"/>
          <w:sz w:val="18"/>
        </w:rPr>
        <w:t>Benefits</w:t>
      </w:r>
    </w:p>
    <w:p>
      <w:pPr>
        <w:pStyle w:val="TextBody"/>
        <w:bidi w:val="0"/>
        <w:spacing w:lineRule="atLeast" w:line="240" w:before="0" w:after="0"/>
        <w:ind w:left="0" w:right="0" w:hanging="288"/>
        <w:jc w:val="left"/>
        <w:rPr/>
      </w:pPr>
      <w:r>
        <w:rPr>
          <w:color w:val="000000"/>
        </w:rPr>
        <w:t>•</w:t>
      </w:r>
      <w:r>
        <w:rPr>
          <w:rFonts w:ascii="Roboto Light;sans-serif" w:hAnsi="Roboto Light;sans-serif"/>
          <w:b w:val="false"/>
          <w:color w:val="000000"/>
          <w:sz w:val="18"/>
        </w:rPr>
        <w:t>Team Member Engagement</w:t>
      </w:r>
    </w:p>
    <w:p>
      <w:pPr>
        <w:pStyle w:val="TextBody"/>
        <w:bidi w:val="0"/>
        <w:spacing w:lineRule="atLeast" w:line="240" w:before="0" w:after="0"/>
        <w:ind w:left="0" w:right="0" w:hanging="288"/>
        <w:jc w:val="left"/>
        <w:rPr/>
      </w:pPr>
      <w:r>
        <w:rPr>
          <w:color w:val="000000"/>
        </w:rPr>
        <w:t>•</w:t>
      </w:r>
      <w:r>
        <w:rPr>
          <w:rFonts w:ascii="Roboto Light;sans-serif" w:hAnsi="Roboto Light;sans-serif"/>
          <w:b w:val="false"/>
          <w:color w:val="000000"/>
          <w:sz w:val="18"/>
        </w:rPr>
        <w:t>Training &amp; Job Opportunities</w:t>
      </w:r>
    </w:p>
    <w:p>
      <w:pPr>
        <w:pStyle w:val="TextBody"/>
        <w:bidi w:val="0"/>
        <w:spacing w:lineRule="atLeast" w:line="240" w:before="0" w:after="60"/>
        <w:ind w:left="0" w:right="0" w:hanging="288"/>
        <w:jc w:val="left"/>
        <w:rPr/>
      </w:pPr>
      <w:r>
        <w:rPr>
          <w:color w:val="000000"/>
        </w:rPr>
        <w:t>•</w:t>
      </w:r>
      <w:r>
        <w:rPr>
          <w:rFonts w:ascii="Roboto Light;sans-serif" w:hAnsi="Roboto Light;sans-serif"/>
          <w:b w:val="false"/>
          <w:color w:val="000000"/>
          <w:sz w:val="18"/>
        </w:rPr>
        <w:t>Workplace Health &amp; Safety</w:t>
      </w:r>
    </w:p>
    <w:p>
      <w:pPr>
        <w:pStyle w:val="TextBody"/>
        <w:bidi w:val="0"/>
        <w:spacing w:lineRule="atLeast" w:line="240" w:before="180" w:after="120"/>
        <w:jc w:val="left"/>
        <w:rPr/>
      </w:pPr>
      <w:r>
        <w:rPr>
          <w:rFonts w:ascii="Roboto;sans-serif" w:hAnsi="Roboto;sans-serif"/>
          <w:b/>
          <w:color w:val="000000"/>
          <w:sz w:val="18"/>
        </w:rPr>
        <w:t xml:space="preserve">Operating with Integrity: </w:t>
      </w:r>
      <w:r>
        <w:rPr>
          <w:rFonts w:ascii="Roboto Light;sans-serif" w:hAnsi="Roboto Light;sans-serif"/>
          <w:b w:val="false"/>
          <w:color w:val="000000"/>
          <w:sz w:val="18"/>
        </w:rPr>
        <w:t>Responsible leadership and integrity are important values at Academy that guide the operations of our Company and instill trust among our customers, Team Members, communities, and other stakeholders. This includes:</w:t>
      </w:r>
    </w:p>
    <w:p>
      <w:pPr>
        <w:pStyle w:val="TextBody"/>
        <w:bidi w:val="0"/>
        <w:spacing w:lineRule="atLeast" w:line="240" w:before="0" w:after="0"/>
        <w:ind w:left="0" w:right="0" w:hanging="288"/>
        <w:jc w:val="left"/>
        <w:rPr/>
      </w:pPr>
      <w:r>
        <w:rPr>
          <w:color w:val="000000"/>
        </w:rPr>
        <w:t>•</w:t>
      </w:r>
      <w:r>
        <w:rPr>
          <w:rFonts w:ascii="Roboto Light;sans-serif" w:hAnsi="Roboto Light;sans-serif"/>
          <w:b w:val="false"/>
          <w:color w:val="000000"/>
          <w:sz w:val="18"/>
        </w:rPr>
        <w:t>Corporate Governance</w:t>
      </w:r>
    </w:p>
    <w:p>
      <w:pPr>
        <w:pStyle w:val="TextBody"/>
        <w:bidi w:val="0"/>
        <w:spacing w:lineRule="atLeast" w:line="240" w:before="0" w:after="60"/>
        <w:ind w:left="0" w:right="0" w:hanging="288"/>
        <w:jc w:val="left"/>
        <w:rPr/>
      </w:pPr>
      <w:r>
        <w:rPr>
          <w:color w:val="000000"/>
        </w:rPr>
        <w:t>•</w:t>
      </w:r>
      <w:r>
        <w:rPr>
          <w:rFonts w:ascii="Roboto Light;sans-serif" w:hAnsi="Roboto Light;sans-serif"/>
          <w:b w:val="false"/>
          <w:color w:val="000000"/>
          <w:sz w:val="18"/>
        </w:rPr>
        <w:t>Stockholder Engagement</w:t>
      </w:r>
    </w:p>
    <w:p>
      <w:pPr>
        <w:pStyle w:val="TextBody"/>
        <w:bidi w:val="0"/>
        <w:spacing w:lineRule="atLeast" w:line="240" w:before="0" w:after="60"/>
        <w:ind w:left="0" w:right="0" w:hanging="288"/>
        <w:jc w:val="left"/>
        <w:rPr/>
      </w:pPr>
      <w:r>
        <w:rPr>
          <w:color w:val="000000"/>
        </w:rPr>
        <w:t>•</w:t>
      </w:r>
      <w:r>
        <w:rPr>
          <w:rFonts w:ascii="Roboto Light;sans-serif" w:hAnsi="Roboto Light;sans-serif"/>
          <w:b w:val="false"/>
          <w:color w:val="000000"/>
          <w:sz w:val="18"/>
        </w:rPr>
        <w:t>Ethics &amp; Compliance, including Vendor Management</w:t>
      </w:r>
    </w:p>
    <w:p>
      <w:pPr>
        <w:pStyle w:val="TextBody"/>
        <w:bidi w:val="0"/>
        <w:spacing w:lineRule="atLeast" w:line="240" w:before="0" w:after="0"/>
        <w:ind w:left="0" w:right="0" w:hanging="288"/>
        <w:jc w:val="left"/>
        <w:rPr/>
      </w:pPr>
      <w:r>
        <w:rPr>
          <w:color w:val="000000"/>
        </w:rPr>
        <w:t>•</w:t>
      </w:r>
      <w:r>
        <w:rPr>
          <w:rFonts w:ascii="Roboto Light;sans-serif" w:hAnsi="Roboto Light;sans-serif"/>
          <w:b w:val="false"/>
          <w:color w:val="000000"/>
          <w:sz w:val="18"/>
        </w:rPr>
        <w:t>Firearm Responsibility</w:t>
      </w:r>
    </w:p>
    <w:p>
      <w:pPr>
        <w:pStyle w:val="TextBody"/>
        <w:bidi w:val="0"/>
        <w:spacing w:lineRule="atLeast" w:line="240" w:before="0" w:after="0"/>
        <w:ind w:left="0" w:right="0" w:hanging="288"/>
        <w:jc w:val="left"/>
        <w:rPr/>
      </w:pPr>
      <w:r>
        <w:rPr>
          <w:color w:val="000000"/>
        </w:rPr>
        <w:t>•</w:t>
      </w:r>
      <w:r>
        <w:rPr>
          <w:rFonts w:ascii="Roboto Light;sans-serif" w:hAnsi="Roboto Light;sans-serif"/>
          <w:b w:val="false"/>
          <w:color w:val="000000"/>
          <w:sz w:val="18"/>
        </w:rPr>
        <w:t>Product Quality &amp; Safety</w:t>
      </w:r>
    </w:p>
    <w:p>
      <w:pPr>
        <w:pStyle w:val="TextBody"/>
        <w:bidi w:val="0"/>
        <w:spacing w:lineRule="atLeast" w:line="240" w:before="0" w:after="60"/>
        <w:ind w:left="0" w:right="0" w:hanging="288"/>
        <w:jc w:val="left"/>
        <w:rPr/>
      </w:pPr>
      <w:r>
        <w:rPr>
          <w:color w:val="000000"/>
        </w:rPr>
        <w:t>•</w:t>
      </w:r>
      <w:r>
        <w:rPr>
          <w:rFonts w:ascii="Roboto Light;sans-serif" w:hAnsi="Roboto Light;sans-serif"/>
          <w:b w:val="false"/>
          <w:color w:val="000000"/>
          <w:sz w:val="18"/>
        </w:rPr>
        <w:t>Data Security &amp; Privacy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263525"/>
                <wp:effectExtent l="0" t="0" r="0" b="0"/>
                <wp:wrapNone/>
                <wp:docPr id="305" name="Frame43"/>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306"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25" descr=""/>
                                          <pic:cNvPicPr>
                                            <a:picLocks noChangeAspect="1" noChangeArrowheads="1"/>
                                          </pic:cNvPicPr>
                                        </pic:nvPicPr>
                                        <pic:blipFill>
                                          <a:blip r:embed="rId264"/>
                                          <a:stretch>
                                            <a:fillRect/>
                                          </a:stretch>
                                        </pic:blipFill>
                                        <pic:spPr bwMode="auto">
                                          <a:xfrm>
                                            <a:off x="0" y="0"/>
                                            <a:ext cx="266700" cy="200025"/>
                                          </a:xfrm>
                                          <a:prstGeom prst="rect">
                                            <a:avLst/>
                                          </a:prstGeom>
                                        </pic:spPr>
                                      </pic:pic>
                                    </a:graphicData>
                                  </a:graphic>
                                </wp:inline>
                              </w:drawing>
                            </w:r>
                            <w:bookmarkStart w:id="263" w:name="i-225"/>
                            <w:bookmarkEnd w:id="263"/>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307"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25" descr=""/>
                                    <pic:cNvPicPr>
                                      <a:picLocks noChangeAspect="1" noChangeArrowheads="1"/>
                                    </pic:cNvPicPr>
                                  </pic:nvPicPr>
                                  <pic:blipFill>
                                    <a:blip r:embed="rId265"/>
                                    <a:stretch>
                                      <a:fillRect/>
                                    </a:stretch>
                                  </pic:blipFill>
                                  <pic:spPr bwMode="auto">
                                    <a:xfrm>
                                      <a:off x="0" y="0"/>
                                      <a:ext cx="266700" cy="200025"/>
                                    </a:xfrm>
                                    <a:prstGeom prst="rect">
                                      <a:avLst/>
                                    </a:prstGeom>
                                  </pic:spPr>
                                </pic:pic>
                              </a:graphicData>
                            </a:graphic>
                          </wp:inline>
                        </w:drawing>
                      </w:r>
                      <w:bookmarkStart w:id="264" w:name="i-225"/>
                      <w:bookmarkEnd w:id="264"/>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p>
      <w:pPr>
        <w:pStyle w:val="TextBody"/>
        <w:bidi w:val="0"/>
        <w:spacing w:lineRule="atLeast" w:line="240" w:before="180" w:after="120"/>
        <w:jc w:val="left"/>
        <w:rPr/>
      </w:pPr>
      <w:r>
        <w:rPr>
          <w:rFonts w:ascii="Roboto;sans-serif" w:hAnsi="Roboto;sans-serif"/>
          <w:b/>
          <w:color w:val="000000"/>
          <w:sz w:val="18"/>
        </w:rPr>
        <w:t xml:space="preserve">Supporting Our Communities: </w:t>
      </w:r>
      <w:r>
        <w:rPr>
          <w:rFonts w:ascii="Roboto Light;sans-serif" w:hAnsi="Roboto Light;sans-serif"/>
          <w:b w:val="false"/>
          <w:color w:val="000000"/>
          <w:sz w:val="18"/>
        </w:rPr>
        <w:t xml:space="preserve">We’re committed to keeping the outdoors fun for generations to come. That’s why we take a thoughtful approach to our community impact — so you can feel good about gearing up for the great outdoors. This includes: </w:t>
      </w:r>
    </w:p>
    <w:p>
      <w:pPr>
        <w:pStyle w:val="TextBody"/>
        <w:bidi w:val="0"/>
        <w:spacing w:lineRule="atLeast" w:line="240" w:before="0" w:after="0"/>
        <w:ind w:left="0" w:right="0" w:hanging="288"/>
        <w:jc w:val="left"/>
        <w:rPr/>
      </w:pPr>
      <w:r>
        <w:rPr>
          <w:color w:val="000000"/>
        </w:rPr>
        <w:t>•</w:t>
      </w:r>
      <w:r>
        <w:rPr>
          <w:rFonts w:ascii="Roboto Light;sans-serif" w:hAnsi="Roboto Light;sans-serif"/>
          <w:b w:val="false"/>
          <w:color w:val="000000"/>
          <w:sz w:val="18"/>
        </w:rPr>
        <w:t>Charitable Donations</w:t>
      </w:r>
    </w:p>
    <w:p>
      <w:pPr>
        <w:pStyle w:val="TextBody"/>
        <w:bidi w:val="0"/>
        <w:spacing w:lineRule="atLeast" w:line="240" w:before="0" w:after="0"/>
        <w:ind w:left="0" w:right="0" w:hanging="288"/>
        <w:jc w:val="left"/>
        <w:rPr/>
      </w:pPr>
      <w:r>
        <w:rPr>
          <w:color w:val="000000"/>
        </w:rPr>
        <w:t>•</w:t>
      </w:r>
      <w:r>
        <w:rPr>
          <w:rFonts w:ascii="Roboto Light;sans-serif" w:hAnsi="Roboto Light;sans-serif"/>
          <w:b w:val="false"/>
          <w:color w:val="000000"/>
          <w:sz w:val="18"/>
        </w:rPr>
        <w:t>Community Giving Events</w:t>
      </w:r>
    </w:p>
    <w:p>
      <w:pPr>
        <w:pStyle w:val="TextBody"/>
        <w:bidi w:val="0"/>
        <w:spacing w:lineRule="atLeast" w:line="240" w:before="0" w:after="0"/>
        <w:ind w:left="0" w:right="0" w:hanging="288"/>
        <w:jc w:val="left"/>
        <w:rPr/>
      </w:pPr>
      <w:r>
        <w:rPr>
          <w:color w:val="000000"/>
        </w:rPr>
        <w:t>•</w:t>
      </w:r>
      <w:r>
        <w:rPr>
          <w:rFonts w:ascii="Roboto Light;sans-serif" w:hAnsi="Roboto Light;sans-serif"/>
          <w:b w:val="false"/>
          <w:color w:val="000000"/>
          <w:sz w:val="18"/>
        </w:rPr>
        <w:t>Non-profit Partnerships</w:t>
      </w:r>
    </w:p>
    <w:p>
      <w:pPr>
        <w:pStyle w:val="TextBody"/>
        <w:bidi w:val="0"/>
        <w:spacing w:lineRule="atLeast" w:line="240" w:before="0" w:after="0"/>
        <w:ind w:left="0" w:right="0" w:hanging="288"/>
        <w:jc w:val="left"/>
        <w:rPr/>
      </w:pPr>
      <w:r>
        <w:rPr>
          <w:color w:val="000000"/>
        </w:rPr>
        <w:t>•</w:t>
      </w:r>
      <w:r>
        <w:rPr>
          <w:rFonts w:ascii="Roboto Light;sans-serif" w:hAnsi="Roboto Light;sans-serif"/>
          <w:b w:val="false"/>
          <w:color w:val="000000"/>
          <w:sz w:val="18"/>
        </w:rPr>
        <w:t>Local Job Creation</w:t>
      </w:r>
    </w:p>
    <w:p>
      <w:pPr>
        <w:pStyle w:val="TextBody"/>
        <w:bidi w:val="0"/>
        <w:spacing w:lineRule="atLeast" w:line="240" w:before="0" w:after="0"/>
        <w:ind w:left="0" w:right="0" w:hanging="288"/>
        <w:jc w:val="left"/>
        <w:rPr/>
      </w:pPr>
      <w:r>
        <w:rPr>
          <w:color w:val="000000"/>
        </w:rPr>
        <w:t>•</w:t>
      </w:r>
      <w:r>
        <w:rPr>
          <w:rFonts w:ascii="Roboto Light;sans-serif" w:hAnsi="Roboto Light;sans-serif"/>
          <w:b w:val="false"/>
          <w:color w:val="000000"/>
          <w:sz w:val="18"/>
        </w:rPr>
        <w:t>Climate &amp; Carbon Footprint</w:t>
      </w:r>
    </w:p>
    <w:p>
      <w:pPr>
        <w:pStyle w:val="TextBody"/>
        <w:bidi w:val="0"/>
        <w:spacing w:lineRule="atLeast" w:line="240" w:before="0" w:after="0"/>
        <w:ind w:left="0" w:right="0" w:hanging="288"/>
        <w:jc w:val="left"/>
        <w:rPr/>
      </w:pPr>
      <w:r>
        <w:rPr>
          <w:color w:val="000000"/>
        </w:rPr>
        <w:t>•</w:t>
      </w:r>
      <w:r>
        <w:rPr>
          <w:rFonts w:ascii="Roboto Light;sans-serif" w:hAnsi="Roboto Light;sans-serif"/>
          <w:b w:val="false"/>
          <w:color w:val="000000"/>
          <w:sz w:val="18"/>
        </w:rPr>
        <w:t>Sustainable Products &amp; Packaging</w:t>
      </w:r>
    </w:p>
    <w:p>
      <w:pPr>
        <w:pStyle w:val="TextBody"/>
        <w:bidi w:val="0"/>
        <w:spacing w:lineRule="atLeast" w:line="240" w:before="0" w:after="0"/>
        <w:ind w:left="0" w:right="0" w:hanging="288"/>
        <w:jc w:val="left"/>
        <w:rPr/>
      </w:pPr>
      <w:r>
        <w:rPr>
          <w:color w:val="000000"/>
        </w:rPr>
        <w:t>•</w:t>
      </w:r>
      <w:r>
        <w:rPr>
          <w:rFonts w:ascii="Roboto Light;sans-serif" w:hAnsi="Roboto Light;sans-serif"/>
          <w:b w:val="false"/>
          <w:color w:val="000000"/>
          <w:sz w:val="18"/>
        </w:rPr>
        <w:t>Construction Efficiency, Recycling &amp; Waste Management</w:t>
      </w:r>
    </w:p>
    <w:p>
      <w:pPr>
        <w:pStyle w:val="TextBody"/>
        <w:bidi w:val="0"/>
        <w:spacing w:lineRule="atLeast" w:line="240" w:before="0" w:after="0"/>
        <w:ind w:left="0" w:right="0" w:hanging="288"/>
        <w:jc w:val="left"/>
        <w:rPr/>
      </w:pPr>
      <w:r>
        <w:rPr>
          <w:color w:val="000000"/>
        </w:rPr>
        <w:t>•</w:t>
      </w:r>
      <w:r>
        <w:rPr>
          <w:rFonts w:ascii="Roboto Light;sans-serif" w:hAnsi="Roboto Light;sans-serif"/>
          <w:b w:val="false"/>
          <w:color w:val="000000"/>
          <w:sz w:val="18"/>
        </w:rPr>
        <w:t>Environmental Conservation</w:t>
      </w:r>
    </w:p>
    <w:p>
      <w:pPr>
        <w:pStyle w:val="TextBody"/>
        <w:bidi w:val="0"/>
        <w:spacing w:lineRule="atLeast" w:line="240" w:before="24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Responsible leadership oversight is performed by the Board and its committees. The Governance Committee is primarily responsible for monitoring our responsible leadership strategy and initiatives. This includes management’s review of, and reporting on, the Company's progress to the Board on a periodic basis and public reports related to such strategy and initiatives and the potential long-and short-term impacts to the Company’s business of responsible leadership issues and trends. Additionally, the Governance Committee shares the feedback and perspectives of our stakeholders and makes recommendations to the Board, its other committees, and our executive leadership regarding our responsible leadership strategy. The Governance Committee manages its oversight of our responsible leadership strategy by having regular discussions with management and receiving quarterly updates on our responsible leadership initiatives and progress during committee meetings. The Governance Committee is also responsible for overseeing responsible leadership matters related to Board and corporate governance, investor relations, and political contributions. The Compensation Committee oversees responsible leadership matters related to our team members, including belonging, compensation, benefits, and wellness, engagement and training/talent development, and succession planning. The Audit Committee oversees responsible leadership matters related to compliance (including ethics, whistleblower hotline, firearms, and safety), cybersecurity, data privacy, and enterprise risk management. The Board oversees responsible leadership as part of its oversight of our business and strategy. Each committee provides an update to the Board on matters discussed and actions taken or recommended in its meeting held, including with respect to responsible leadership matters. Each year, the Board receives a report on our responsible leadership initiatives and progress, including a discussion of our responsible leadership reporting and communications.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At the management level, senior leaders comprise a cross-functional team that drives our responsible leadership efforts. The responsible leadership team focuses on identifying key responsible leadership matters that are important to our business and stakeholders, developing initiatives that advance our responsible leadership efforts, and reporting and communicating our responsible leadership progress. The responsible leadership team works with the major functions of the Company, including executive management, merchandising, global sourcing, supply and logistics, community relations, communications, human resources, legal and compliance, safety, information technology, store and distribution center operations, facilities management, and internal audit to align our efforts with responsible leadership trends and the views of our stakeholders and to report and communicate our progress using leading industry frameworks and standards.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Our responsible leadership efforts primarily relate to keeping our customers active and connected with experiences, investing in our team members, providing quality and safe products, workplaces and retail experience, supporting and giving to our communities, enhancing our governance practices, strengthening our compliance programs, augmenting our cybersecurity and data privacy programs, and being thoughtful about our environmental impact. We periodically review and consider enhancements to the scope of our responsible leadership efforts as they evolve.</w:t>
      </w:r>
    </w:p>
    <w:p>
      <w:pPr>
        <w:pStyle w:val="TextBody"/>
        <w:bidi w:val="0"/>
        <w:spacing w:lineRule="atLeast" w:line="240" w:before="0" w:after="240"/>
        <w:jc w:val="left"/>
        <w:rPr/>
      </w:pPr>
      <w:r>
        <w:rPr>
          <w:rFonts w:ascii="Roboto Light;sans-serif" w:hAnsi="Roboto Light;sans-serif"/>
          <w:b w:val="false"/>
          <w:color w:val="000000"/>
          <w:sz w:val="18"/>
        </w:rPr>
        <w:t xml:space="preserve">On a periodic basis, we may issue updates describing our responsible leadership initiatives and progress. In May 2025, we launched our Responsible Leadership 2024 Tear Sheets (the “2024 Tear Sheets”). The 2024 Tear Sheets seek to provide transparent and quantitative disclosures, reporting informed by the Sustainability Accounting Standards Board (“SASB”) standard and in reference to the Global Reporting Initiative (“GRI”) standard, including disclosures of certain standard metrics intended to improve the accessibility of information regarding our progress. The 2024 Tear Sheets (which includes data for 2024 and 2023) are currently available on our investor relations website at investors.academy.com. Later this spring, we expect to publish the Responsible Leadership 2025 Tear Sheets, which will also be available on our investor relations website at investors.academy.com. </w:t>
      </w:r>
      <w:r>
        <w:rPr>
          <w:rFonts w:ascii="Roboto Light;sans-serif" w:hAnsi="Roboto Light;sans-serif"/>
          <w:b w:val="false"/>
          <w:color w:val="000000"/>
          <w:sz w:val="18"/>
          <w:shd w:fill="FFFFFF" w:val="clear"/>
        </w:rPr>
        <w:t>T</w:t>
      </w:r>
      <w:r>
        <w:rPr>
          <w:rFonts w:ascii="Roboto Light;sans-serif" w:hAnsi="Roboto Light;sans-serif"/>
          <w:b w:val="false"/>
          <w:color w:val="000000"/>
          <w:sz w:val="18"/>
        </w:rPr>
        <w:t>he distribution of information about our responsible leadership efforts should not be construed as a characterization of the materiality or financial impact of the information with respect to us or for purposes of any of our SEC filings.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263525"/>
                <wp:effectExtent l="0" t="0" r="0" b="0"/>
                <wp:wrapNone/>
                <wp:docPr id="308" name="Frame44"/>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309"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26" descr=""/>
                                          <pic:cNvPicPr>
                                            <a:picLocks noChangeAspect="1" noChangeArrowheads="1"/>
                                          </pic:cNvPicPr>
                                        </pic:nvPicPr>
                                        <pic:blipFill>
                                          <a:blip r:embed="rId266"/>
                                          <a:stretch>
                                            <a:fillRect/>
                                          </a:stretch>
                                        </pic:blipFill>
                                        <pic:spPr bwMode="auto">
                                          <a:xfrm>
                                            <a:off x="0" y="0"/>
                                            <a:ext cx="266700" cy="200025"/>
                                          </a:xfrm>
                                          <a:prstGeom prst="rect">
                                            <a:avLst/>
                                          </a:prstGeom>
                                        </pic:spPr>
                                      </pic:pic>
                                    </a:graphicData>
                                  </a:graphic>
                                </wp:inline>
                              </w:drawing>
                            </w:r>
                            <w:bookmarkStart w:id="265" w:name="i-226"/>
                            <w:bookmarkEnd w:id="265"/>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310"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26" descr=""/>
                                    <pic:cNvPicPr>
                                      <a:picLocks noChangeAspect="1" noChangeArrowheads="1"/>
                                    </pic:cNvPicPr>
                                  </pic:nvPicPr>
                                  <pic:blipFill>
                                    <a:blip r:embed="rId267"/>
                                    <a:stretch>
                                      <a:fillRect/>
                                    </a:stretch>
                                  </pic:blipFill>
                                  <pic:spPr bwMode="auto">
                                    <a:xfrm>
                                      <a:off x="0" y="0"/>
                                      <a:ext cx="266700" cy="200025"/>
                                    </a:xfrm>
                                    <a:prstGeom prst="rect">
                                      <a:avLst/>
                                    </a:prstGeom>
                                  </pic:spPr>
                                </pic:pic>
                              </a:graphicData>
                            </a:graphic>
                          </wp:inline>
                        </w:drawing>
                      </w:r>
                      <w:bookmarkStart w:id="266" w:name="i-226"/>
                      <w:bookmarkEnd w:id="266"/>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39</w:t>
            </w:r>
          </w:p>
        </w:tc>
      </w:tr>
    </w:tbl>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Board Oversight of Risk Management</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Management is responsible for the day-to-day management of risk, while the Board is primarily responsible for risk management oversight and delegates oversight of certain risk management matters to its committees. The Board oversees our long-range strategic and financial planning and execution, annual budget and capital plans, stockholder return principles, and financing risks. The Audit Committee oversees the administration of our enterprise risk management (“ERM”) program and risk management of financial exposures, statements, controls, systems and reporting; regulatory and compliance, including ethics, anti-corruption, firearms, safety, and whistleblower programs; information technology, including artificial intelligence, cybersecurity and data privacy; internal audit and related matters; shrink; and related-party transactions. The Compensation Committee oversees risk management of our compensation policies and practices; talent recruitment, management, and retention; succession planning; and non-employee director compensation. The Governance Committee oversees risk management of our corporate governance; Board composition, structure, and oversight; director succession planning; responsible leadership strategy; and political contributions. Each committee submits reports and recommendations to the Board regarding risk-related matters.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The Board and its committees receive regular reports from management and/or independent third-party advisors regarding specific risks and trends to help ensure effective and efficient oversight of our activities and to assist in proper risk management and the ongoing evaluation of management controls. The Board and its committees discuss selected risks in greater detail throughout the year with management and in executive sessions of the Board and/or the independent directors.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The ERM program evaluates both risks that can have a catastrophic effect on Academy and risks that can impede Academy’s ability to execute its long-range plan and strategic objectives. Risks facing the Company include macroeconomic, global trade, supply chain, legal, regulatory and compliance, operational, information technology (including infrastructure, data, artificial intelligence, cybersecurity, and data privacy), climate, labor, business continuity, competitive, financial, safety, reputational, and other business risk exposures. For more information on the risks that affect our business, please see “Part I, Item 1A. Risk Factors” of the Annual Report.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Leaders from our Risk Management and Internal Audit functions (the “ERM Team”) administer our ERM program, which is designed to identify, assess and manage our top enterprise risks. Responsibility for managing each of the top exposures driving our enterprise risks is assigned to one or more members of management, who we refer to as “risk owners.” The ERM Team’s responsibility is to regularly identify our top enterprise risks (including emerging risks); assess the likelihood of their occurrence, the significance of their potential impact, and the effectiveness of our existing strategies to mitigate such risk; and develop plans with risk owners to monitor, manage and mitigate these risks. The ERM Team holds regular risk discussions with enterprise risk owners and senior management, which inform the development, updating, and mitigation of the top enterprise risks. In addition, the ERM Team holds regular meetings to discuss key risks and their mitigation.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The Company also maintains an Enterprise Risk Management Committee (or “ERM Committee”), composed of senior leaders from certain principal functional areas of the Company and charged with appropriately identifying short-term (within twelve months) and long-term (beyond twelve months) key risks the Company faces in a timely manner. The ERM Committee meets monthly to discuss and address the Company’s enterprise risk profile and any new or emerging risks with our ERM Team and risk owners. The Company’s enterprise risks are assessed and ranked annually by the ERM Committee through leadership interviews, surveys, and calibrations based on risk management reviews conducted by the ERM Team.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In its oversight of our ERM program, the Audit Committee reviews the Company’s processes governing management’s assessment and management of the Company’s exposure to risk, including the implementation of strategies management takes to monitor and control such exposures. The Audit Committee stays apprised of significant actual and potential risks in part through their review of quarterly reports of the Company’s top enterprise risks prepared and presented by management, including the Chief Legal Officer and the heads of Risk Management and/or Internal Audit.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263525"/>
                <wp:effectExtent l="0" t="0" r="0" b="0"/>
                <wp:wrapNone/>
                <wp:docPr id="311" name="Frame45"/>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312"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27" descr=""/>
                                          <pic:cNvPicPr>
                                            <a:picLocks noChangeAspect="1" noChangeArrowheads="1"/>
                                          </pic:cNvPicPr>
                                        </pic:nvPicPr>
                                        <pic:blipFill>
                                          <a:blip r:embed="rId268"/>
                                          <a:stretch>
                                            <a:fillRect/>
                                          </a:stretch>
                                        </pic:blipFill>
                                        <pic:spPr bwMode="auto">
                                          <a:xfrm>
                                            <a:off x="0" y="0"/>
                                            <a:ext cx="266700" cy="200025"/>
                                          </a:xfrm>
                                          <a:prstGeom prst="rect">
                                            <a:avLst/>
                                          </a:prstGeom>
                                        </pic:spPr>
                                      </pic:pic>
                                    </a:graphicData>
                                  </a:graphic>
                                </wp:inline>
                              </w:drawing>
                            </w:r>
                            <w:bookmarkStart w:id="267" w:name="i-227"/>
                            <w:bookmarkEnd w:id="267"/>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313"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27" descr=""/>
                                    <pic:cNvPicPr>
                                      <a:picLocks noChangeAspect="1" noChangeArrowheads="1"/>
                                    </pic:cNvPicPr>
                                  </pic:nvPicPr>
                                  <pic:blipFill>
                                    <a:blip r:embed="rId269"/>
                                    <a:stretch>
                                      <a:fillRect/>
                                    </a:stretch>
                                  </pic:blipFill>
                                  <pic:spPr bwMode="auto">
                                    <a:xfrm>
                                      <a:off x="0" y="0"/>
                                      <a:ext cx="266700" cy="200025"/>
                                    </a:xfrm>
                                    <a:prstGeom prst="rect">
                                      <a:avLst/>
                                    </a:prstGeom>
                                  </pic:spPr>
                                </pic:pic>
                              </a:graphicData>
                            </a:graphic>
                          </wp:inline>
                        </w:drawing>
                      </w:r>
                      <w:bookmarkStart w:id="268" w:name="i-227"/>
                      <w:bookmarkEnd w:id="268"/>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 Audit Committee has primary responsibility for overseeing risks related to cybersecurity, although the full Board retains ultimate oversight over these risks. Cybersecurity is a standing agenda item of the Audit Committee’s regular quarterly meetings, where the Audit Committee reviews and discusses cybersecurity risks along with the Company’s cybersecurity programs and strategy with management. The Audit Committee receives reports and presentations from our Chief Information Officer and our Chief Legal Officer at its quarterly meetings on a range of topics, including our cybersecurity and data privacy programs and processes, our information systems, risk identification and mitigation strategies, the evolving cybersecurity threat landscape, regulatory developments, board education, and notable incidents or threats affecting the Company. From time to time between quarterly meetings, our Chief Information Officer and Chief Legal Officer or other members of management may hold additional cybersecurity-related discussions with the Audit Committee. The Audit Committee regularly reports on its cybersecurity program oversight to the Board. In addition, our Internal Audit team performs audits on various aspects of cybersecurity and reports the results of these audits in its quarterly reports to the Audit Committee. For more information on our cybersecurity risk management, strategy and governance, see “Part I, Item 1C. Cybersecurity” of the Annual Report.</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The Audit Committee also has primary responsibility for overseeing risks related to compliance with regulations, policies, and our Ethics and Code of Conduct Policy, and Vendor Code of Conduct, including risks and concerns relating to ethics, gifts &amp; entertainment, conflicts of interest, fraud, corruption, violations, theft, misuse of assets, discrimination, harassment, retaliation, and safety, although the full Board also exercises oversight over these risks. On a quarterly basis or more frequently as needed, the Audit Committee and/or full Board receive detailed reports on these risks and on concerns reported through the Company’s whistleblower hotline from our Chief Legal Officer (who is our chief compliance officer).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We believe that the leadership structure of the Board, along with the allocation of risk management responsibilities described above, provides appropriate risk oversight of our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Code of Ethics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We maintain a written code of ethics (our “Ethics and Code of Conduct Policy”) that applies to our directors, officers and team members, including our principal executive officer, principal financial officer, principal accounting officer, controller, or persons performing similar functions. The Ethics and Code of Conduct Policy covers the following topics, among others: respectful work &amp; shopping environments, belonging, safety and health, discrimination and harassment, vendor expectations, bribes and improper payments, conflicts of interest, insider trading, antitrust and competition, political activity and contributions, and reporting ethical concerns.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Our Ethics and Code of Conduct Policy is a “code of ethics,” as defined in Item 406(b) of Regulation S-K under the Securities Act, and can be viewed on our investor relations website at investors.academy.com. We intend to make any legally required disclosure regarding amendments to, or waivers of, provisions of our Ethics and Code of Conduct Policy on our investor relations website at investors.academy.com.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263525"/>
                <wp:effectExtent l="0" t="0" r="0" b="0"/>
                <wp:wrapNone/>
                <wp:docPr id="314" name="Frame46"/>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315"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28" descr=""/>
                                          <pic:cNvPicPr>
                                            <a:picLocks noChangeAspect="1" noChangeArrowheads="1"/>
                                          </pic:cNvPicPr>
                                        </pic:nvPicPr>
                                        <pic:blipFill>
                                          <a:blip r:embed="rId270"/>
                                          <a:stretch>
                                            <a:fillRect/>
                                          </a:stretch>
                                        </pic:blipFill>
                                        <pic:spPr bwMode="auto">
                                          <a:xfrm>
                                            <a:off x="0" y="0"/>
                                            <a:ext cx="266700" cy="200025"/>
                                          </a:xfrm>
                                          <a:prstGeom prst="rect">
                                            <a:avLst/>
                                          </a:prstGeom>
                                        </pic:spPr>
                                      </pic:pic>
                                    </a:graphicData>
                                  </a:graphic>
                                </wp:inline>
                              </w:drawing>
                            </w:r>
                            <w:bookmarkStart w:id="269" w:name="i-228"/>
                            <w:bookmarkEnd w:id="269"/>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316"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28" descr=""/>
                                    <pic:cNvPicPr>
                                      <a:picLocks noChangeAspect="1" noChangeArrowheads="1"/>
                                    </pic:cNvPicPr>
                                  </pic:nvPicPr>
                                  <pic:blipFill>
                                    <a:blip r:embed="rId271"/>
                                    <a:stretch>
                                      <a:fillRect/>
                                    </a:stretch>
                                  </pic:blipFill>
                                  <pic:spPr bwMode="auto">
                                    <a:xfrm>
                                      <a:off x="0" y="0"/>
                                      <a:ext cx="266700" cy="200025"/>
                                    </a:xfrm>
                                    <a:prstGeom prst="rect">
                                      <a:avLst/>
                                    </a:prstGeom>
                                  </pic:spPr>
                                </pic:pic>
                              </a:graphicData>
                            </a:graphic>
                          </wp:inline>
                        </w:drawing>
                      </w:r>
                      <w:bookmarkStart w:id="270" w:name="i-228"/>
                      <w:bookmarkEnd w:id="270"/>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41</w:t>
            </w:r>
          </w:p>
        </w:tc>
      </w:tr>
    </w:tbl>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Insider Trading Policy</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We have adopted an Insider Trading Policy governing the purchase, sale, and/or other dispositions of our securities by our directors, officers (including our executive officers), and team members, or by the Company itself, that we believe is reasonably designed to promote compliance with insider trading laws, rules and regulations, and the exchange listing standards applicable to us. Among other things, our Insider Trading Policy specifies our open quarterly window periods during which our directors, executive officers, and certain team members are permitted to trade, subject to receiving pre-clearance from our Legal Department prior to engaging in transactions involving the Company’s securities. In addition, under the Insider Trading Policy, directors, officers, and team members are prohibited from hedging or monetization transactions including, but not limited to, variable forward contracts, equity swaps, collars and exchange funds, or from trading in options, warrants, puts and calls or similar instruments on the Company’s securities or establishing a short position in the Company’s securities. Our Insider Trading Policy also prohibits our directors, officers and team members from purchasing the Company’s securities on margin, or borrowing against any account in which the Company’s securities are held, or pledging the Company’s securities as collateral for a loan. Our Insider Trading Policy also prohibits our directors, officers, and team members from hedging and pledging the Company’s securities, as described in more detail in the section titled “Compensation Discussion and Analysis - Prohibition on Hedging and Pledging of Company Stock” below. A copy of our Insider Trading Policy is filed as Exhibit 19.1 to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Communications with the Board</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As described in the Corporate Governance Guidelines, anyone, including stockholders and any other interested parties, who would like to communicate with, or otherwise make his or her concerns known directly to the Chairman of the Board or the chairperson of the Audit, Governance, and/or Compensation Committees, any then-serving Lead Director or, if there is no Lead Director, the director designated by the non-management or independent directors as the presiding director, or to the non-management or independent directors as a group, may do so by addressing such communications or concerns to the attention of our Corporate Secretary at Academy Sports and Outdoors, Inc., 1800 North Mason Road, Katy, Texas 77449, who will forward such communications to the appropriate party, except that the Corporate Secretary reserves the right not to forward advertisements or solicitations, obscene or offensive items, communications unrelated to the Company’s affairs, business or governance, or otherwise inappropriate materials.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Compensation of Directors</w:t>
      </w:r>
    </w:p>
    <w:p>
      <w:pPr>
        <w:pStyle w:val="TextBody"/>
        <w:bidi w:val="0"/>
        <w:spacing w:lineRule="atLeast" w:line="240" w:before="0" w:after="120"/>
        <w:jc w:val="left"/>
        <w:rPr>
          <w:rFonts w:ascii="Roboto Light;sans-serif" w:hAnsi="Roboto Light;sans-serif"/>
          <w:b w:val="false"/>
          <w:color w:val="000000"/>
          <w:sz w:val="18"/>
        </w:rPr>
      </w:pPr>
      <w:r>
        <w:rPr>
          <w:rFonts w:ascii="Roboto Light;sans-serif" w:hAnsi="Roboto Light;sans-serif"/>
          <w:b w:val="false"/>
          <w:color w:val="000000"/>
          <w:sz w:val="18"/>
        </w:rPr>
        <w:t>Under the Company’s Non-Employee Director Compensation Policy, a copy of which is filed as Exhibit 10.47 to the Annual Report (the “Non-Employee Director Compensation Policy”), non-employee directors receive the following compensation (note: references to non-employee directors mean our directors who are not currently employed by the Company).</w:t>
      </w:r>
    </w:p>
    <w:p>
      <w:pPr>
        <w:pStyle w:val="TextBody"/>
        <w:bidi w:val="0"/>
        <w:spacing w:lineRule="auto" w:line="288" w:before="0" w:after="120"/>
        <w:ind w:left="0" w:right="0" w:hanging="288"/>
        <w:jc w:val="left"/>
        <w:rPr/>
      </w:pPr>
      <w:r>
        <w:rPr>
          <w:color w:val="000000"/>
        </w:rPr>
        <w:t>•</w:t>
      </w:r>
      <w:r>
        <w:rPr>
          <w:rFonts w:ascii="Roboto Light;sans-serif" w:hAnsi="Roboto Light;sans-serif"/>
          <w:b w:val="false"/>
          <w:color w:val="000000"/>
          <w:sz w:val="18"/>
        </w:rPr>
        <w:t xml:space="preserve">an annual cash retainer of $100,000, which is payable each fiscal quarter in arrears in installments of $25,000. </w:t>
      </w:r>
    </w:p>
    <w:p>
      <w:pPr>
        <w:pStyle w:val="TextBody"/>
        <w:bidi w:val="0"/>
        <w:spacing w:lineRule="auto" w:line="288" w:before="0" w:after="120"/>
        <w:ind w:left="0" w:right="0" w:hanging="288"/>
        <w:jc w:val="left"/>
        <w:rPr/>
      </w:pPr>
      <w:r>
        <w:rPr>
          <w:color w:val="000000"/>
        </w:rPr>
        <w:t>•</w:t>
      </w:r>
      <w:r>
        <w:rPr>
          <w:rFonts w:ascii="Roboto Light;sans-serif" w:hAnsi="Roboto Light;sans-serif"/>
          <w:b w:val="false"/>
          <w:color w:val="000000"/>
          <w:sz w:val="18"/>
        </w:rPr>
        <w:t xml:space="preserve">each non-employee director serving in the following positions on the Board will receive the following additional annual cash retainers, each of which is also payable each fiscal quarter in arrears in installments: </w:t>
      </w:r>
    </w:p>
    <w:p>
      <w:pPr>
        <w:pStyle w:val="TextBody"/>
        <w:bidi w:val="0"/>
        <w:spacing w:lineRule="auto" w:line="288" w:before="0" w:after="60"/>
        <w:ind w:left="0" w:right="0" w:hanging="270"/>
        <w:jc w:val="left"/>
        <w:rPr/>
      </w:pPr>
      <w:r>
        <w:rPr>
          <w:color w:val="000000"/>
        </w:rPr>
        <w:t>◦</w:t>
      </w:r>
      <w:r>
        <w:rPr>
          <w:rFonts w:ascii="Roboto Light;sans-serif" w:hAnsi="Roboto Light;sans-serif"/>
          <w:b w:val="false"/>
          <w:color w:val="000000"/>
          <w:sz w:val="18"/>
        </w:rPr>
        <w:t>Chairman of the Board: $75,000;</w:t>
      </w:r>
    </w:p>
    <w:p>
      <w:pPr>
        <w:pStyle w:val="TextBody"/>
        <w:bidi w:val="0"/>
        <w:spacing w:lineRule="auto" w:line="288" w:before="0" w:after="60"/>
        <w:ind w:left="0" w:right="0" w:hanging="270"/>
        <w:jc w:val="left"/>
        <w:rPr/>
      </w:pPr>
      <w:r>
        <w:rPr>
          <w:color w:val="000000"/>
        </w:rPr>
        <w:t>◦</w:t>
      </w:r>
      <w:r>
        <w:rPr>
          <w:rFonts w:ascii="Roboto Light;sans-serif" w:hAnsi="Roboto Light;sans-serif"/>
          <w:b w:val="false"/>
          <w:color w:val="000000"/>
          <w:sz w:val="18"/>
        </w:rPr>
        <w:t>Lead (Independent) Director: $45,000;</w:t>
      </w:r>
    </w:p>
    <w:p>
      <w:pPr>
        <w:pStyle w:val="TextBody"/>
        <w:bidi w:val="0"/>
        <w:spacing w:lineRule="auto" w:line="288" w:before="0" w:after="60"/>
        <w:ind w:left="0" w:right="0" w:hanging="270"/>
        <w:jc w:val="left"/>
        <w:rPr/>
      </w:pPr>
      <w:r>
        <w:rPr>
          <w:color w:val="000000"/>
        </w:rPr>
        <w:t>◦</w:t>
      </w:r>
      <w:r>
        <w:rPr>
          <w:rFonts w:ascii="Roboto Light;sans-serif" w:hAnsi="Roboto Light;sans-serif"/>
          <w:b w:val="false"/>
          <w:color w:val="000000"/>
          <w:sz w:val="18"/>
        </w:rPr>
        <w:t>Audit Committee Chair: $35,000;</w:t>
      </w:r>
    </w:p>
    <w:p>
      <w:pPr>
        <w:pStyle w:val="TextBody"/>
        <w:bidi w:val="0"/>
        <w:spacing w:lineRule="auto" w:line="288" w:before="0" w:after="60"/>
        <w:ind w:left="0" w:right="0" w:hanging="270"/>
        <w:jc w:val="left"/>
        <w:rPr/>
      </w:pPr>
      <w:r>
        <w:rPr>
          <w:color w:val="000000"/>
        </w:rPr>
        <w:t>◦</w:t>
      </w:r>
      <w:r>
        <w:rPr>
          <w:rFonts w:ascii="Roboto Light;sans-serif" w:hAnsi="Roboto Light;sans-serif"/>
          <w:b w:val="false"/>
          <w:color w:val="000000"/>
          <w:sz w:val="18"/>
        </w:rPr>
        <w:t>Compensation Committee Chair: $30,000; and</w:t>
      </w:r>
    </w:p>
    <w:p>
      <w:pPr>
        <w:pStyle w:val="TextBody"/>
        <w:bidi w:val="0"/>
        <w:spacing w:lineRule="auto" w:line="288" w:before="0" w:after="60"/>
        <w:ind w:left="0" w:right="0" w:hanging="270"/>
        <w:jc w:val="left"/>
        <w:rPr/>
      </w:pPr>
      <w:r>
        <w:rPr>
          <w:color w:val="000000"/>
        </w:rPr>
        <w:t>◦</w:t>
      </w:r>
      <w:r>
        <w:rPr>
          <w:rFonts w:ascii="Roboto Light;sans-serif" w:hAnsi="Roboto Light;sans-serif"/>
          <w:b w:val="false"/>
          <w:color w:val="000000"/>
          <w:sz w:val="18"/>
        </w:rPr>
        <w:t>Nominating and Governance Committee Chair: $25,000.</w:t>
      </w:r>
    </w:p>
    <w:p>
      <w:pPr>
        <w:pStyle w:val="TextBody"/>
        <w:bidi w:val="0"/>
        <w:spacing w:lineRule="auto" w:line="288" w:before="0" w:after="120"/>
        <w:jc w:val="left"/>
        <w:rPr>
          <w:rFonts w:ascii="Roboto Light;sans-serif" w:hAnsi="Roboto Light;sans-serif"/>
          <w:b w:val="false"/>
          <w:color w:val="000000"/>
          <w:sz w:val="18"/>
        </w:rPr>
      </w:pPr>
      <w:r>
        <w:rPr>
          <w:rFonts w:ascii="Roboto Light;sans-serif" w:hAnsi="Roboto Light;sans-serif"/>
          <w:b w:val="false"/>
          <w:color w:val="000000"/>
          <w:sz w:val="18"/>
        </w:rPr>
        <w:t>A non-employee director who commences or terminates service during a fiscal quarter will receive a pro-rated retainer based on the number of calendar days of service provided in the fiscal quarter.</w:t>
      </w:r>
    </w:p>
    <w:p>
      <w:pPr>
        <w:pStyle w:val="TextBody"/>
        <w:bidi w:val="0"/>
        <w:spacing w:lineRule="auto" w:line="288" w:before="0" w:after="240"/>
        <w:ind w:left="0" w:right="0" w:hanging="288"/>
        <w:jc w:val="left"/>
        <w:rPr/>
      </w:pPr>
      <w:r>
        <w:rPr>
          <w:color w:val="000000"/>
        </w:rPr>
        <w:t>•</w:t>
      </w:r>
      <w:r>
        <w:rPr>
          <w:rFonts w:ascii="Roboto Light;sans-serif" w:hAnsi="Roboto Light;sans-serif"/>
          <w:b w:val="false"/>
          <w:color w:val="000000"/>
          <w:sz w:val="18"/>
        </w:rPr>
        <w:t xml:space="preserve">an annual grant of Restricted Stock Units, or “RSUs,” valued at $170,000 (or, for the Chairman of the Board an annualized grant value totaling $295,000) to be granted on the first business day of the Company’s first open trading window following our annual meeting of stockholders and which is converted into the number of RSUs to be granted based on the prior 30 calendar day average closing price of our common stock as of the grant date. These RSUs vest 100%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263525"/>
                <wp:effectExtent l="0" t="0" r="0" b="0"/>
                <wp:wrapNone/>
                <wp:docPr id="317" name="Frame47"/>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318"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29" descr=""/>
                                          <pic:cNvPicPr>
                                            <a:picLocks noChangeAspect="1" noChangeArrowheads="1"/>
                                          </pic:cNvPicPr>
                                        </pic:nvPicPr>
                                        <pic:blipFill>
                                          <a:blip r:embed="rId272"/>
                                          <a:stretch>
                                            <a:fillRect/>
                                          </a:stretch>
                                        </pic:blipFill>
                                        <pic:spPr bwMode="auto">
                                          <a:xfrm>
                                            <a:off x="0" y="0"/>
                                            <a:ext cx="266700" cy="200025"/>
                                          </a:xfrm>
                                          <a:prstGeom prst="rect">
                                            <a:avLst/>
                                          </a:prstGeom>
                                        </pic:spPr>
                                      </pic:pic>
                                    </a:graphicData>
                                  </a:graphic>
                                </wp:inline>
                              </w:drawing>
                            </w:r>
                            <w:bookmarkStart w:id="271" w:name="i-229"/>
                            <w:bookmarkEnd w:id="271"/>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319"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29" descr=""/>
                                    <pic:cNvPicPr>
                                      <a:picLocks noChangeAspect="1" noChangeArrowheads="1"/>
                                    </pic:cNvPicPr>
                                  </pic:nvPicPr>
                                  <pic:blipFill>
                                    <a:blip r:embed="rId273"/>
                                    <a:stretch>
                                      <a:fillRect/>
                                    </a:stretch>
                                  </pic:blipFill>
                                  <pic:spPr bwMode="auto">
                                    <a:xfrm>
                                      <a:off x="0" y="0"/>
                                      <a:ext cx="266700" cy="200025"/>
                                    </a:xfrm>
                                    <a:prstGeom prst="rect">
                                      <a:avLst/>
                                    </a:prstGeom>
                                  </pic:spPr>
                                </pic:pic>
                              </a:graphicData>
                            </a:graphic>
                          </wp:inline>
                        </w:drawing>
                      </w:r>
                      <w:bookmarkStart w:id="272" w:name="i-229"/>
                      <w:bookmarkEnd w:id="272"/>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p>
      <w:pPr>
        <w:pStyle w:val="TextBody"/>
        <w:bidi w:val="0"/>
        <w:spacing w:lineRule="auto" w:line="288"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earliest of (i) the first anniversary of the date of grant or, if earlier, the date which is the business day immediately preceding the date of the next Annual Meeting of Stockholders, (ii) the director’s termination due to death or Disability (as defined in the Company’s 2020 Omnibus Incentive Plan as amended and restated (the “2020 Omnibus Incentive Plan”), a copy of which is filed as Exhibit 10.1 to the Current Report on Form 8-K filed on June 1, 2023), or (iii) a Change of Control (as defined in the 2020 Omnibus Incentive Plan).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If a non-employee director is appointed to the Board after the first business day following an Annual Meeting of Stockholders but more than 60 days prior to the next Annual Meeting of Stockholders, such non-employee director will be granted a pro-rated portion of the above-described annual RSU grant. Such grant value will be determined based on the number of calendar days remaining before (a) the next annual meeting of stockholders, if scheduled, or (b) the date of the first anniversary of the last annual meeting of stockholders, if the next annual meeting of stockholders is not scheduled, divided by (x) the number of calendar days between the last and next scheduled annual meeting of stockholders, or (y) 365, if either the last or the next annual meeting of stockholders date does not exist and ending on the vesting date for such prorated grant (which vesting date will be the same vesting date on which the corresponding annual grant that was made to the other non-employee directors will vest). A non-employee director appointed within 60 days of the next annual meeting of stockholders will not receive any such pro-rated equity grant.</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Our directors will also be reimbursed for reasonable out-of-pocket travel and lodging expenses associated with attendance at Board or committee meetings. Additionally, all directors are eligible to receive a discount of 20% on most of our merchandise, which is the same discount we offer to all our team members.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 following table contains information concerning the compensation of our non-employee directors in 2025; specifically, Mses. Beck, Hennessy, Palermo, Picou, Raff, and Messrs. Hicks, Boatwright, Dastugue, Johnson, Marley, Nealon, Turner and Tweedy. Mr. Lawrence, our Chief Executive Officer, does not receive any additional compensation for his services as a director, and his compensation is disclosed in the Compensation Discussion and Analysis and related executive compensation tables.</w:t>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Director Compensation Table for 2025</w:t>
      </w:r>
    </w:p>
    <w:tbl>
      <w:tblPr>
        <w:tblW w:w="7315" w:type="dxa"/>
        <w:jc w:val="left"/>
        <w:tblInd w:w="0" w:type="dxa"/>
        <w:tblLayout w:type="fixed"/>
        <w:tblCellMar>
          <w:top w:w="28" w:type="dxa"/>
          <w:left w:w="28" w:type="dxa"/>
          <w:bottom w:w="28" w:type="dxa"/>
          <w:right w:w="28" w:type="dxa"/>
        </w:tblCellMar>
      </w:tblPr>
      <w:tblGrid>
        <w:gridCol w:w="747"/>
        <w:gridCol w:w="659"/>
        <w:gridCol w:w="663"/>
        <w:gridCol w:w="904"/>
        <w:gridCol w:w="904"/>
        <w:gridCol w:w="906"/>
        <w:gridCol w:w="459"/>
        <w:gridCol w:w="459"/>
        <w:gridCol w:w="461"/>
        <w:gridCol w:w="259"/>
        <w:gridCol w:w="259"/>
        <w:gridCol w:w="263"/>
        <w:gridCol w:w="109"/>
        <w:gridCol w:w="109"/>
        <w:gridCol w:w="154"/>
      </w:tblGrid>
      <w:tr>
        <w:trPr/>
        <w:tc>
          <w:tcPr>
            <w:tcW w:w="74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FFFFFF"/>
                <w:sz w:val="16"/>
              </w:rPr>
            </w:pPr>
            <w:r>
              <w:rPr>
                <w:rFonts w:ascii="Roboto;sans-serif" w:hAnsi="Roboto;sans-serif"/>
                <w:b/>
                <w:color w:val="FFFFFF"/>
                <w:sz w:val="16"/>
              </w:rPr>
              <w:t>Name</w:t>
            </w:r>
          </w:p>
        </w:tc>
        <w:tc>
          <w:tcPr>
            <w:tcW w:w="2714"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Fees Earned or Paid in Cash</w:t>
            </w:r>
          </w:p>
          <w:p>
            <w:pPr>
              <w:pStyle w:val="TableContents"/>
              <w:bidi w:val="0"/>
              <w:spacing w:lineRule="auto" w:line="312" w:before="0" w:after="0"/>
              <w:jc w:val="right"/>
              <w:rPr/>
            </w:pPr>
            <w:r>
              <w:rPr>
                <w:rFonts w:ascii="Roboto;sans-serif" w:hAnsi="Roboto;sans-serif"/>
                <w:b/>
                <w:color w:val="FFFFFF"/>
                <w:sz w:val="16"/>
              </w:rPr>
              <w:t>($)</w:t>
            </w:r>
            <w:r>
              <w:rPr>
                <w:rFonts w:ascii="Roboto;sans-serif" w:hAnsi="Roboto;sans-serif"/>
                <w:b/>
                <w:color w:val="FFFFFF"/>
                <w:sz w:val="10"/>
              </w:rPr>
              <w:t>(1)</w:t>
            </w:r>
          </w:p>
        </w:tc>
        <w:tc>
          <w:tcPr>
            <w:tcW w:w="1379"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Stock Awards</w:t>
            </w:r>
          </w:p>
          <w:p>
            <w:pPr>
              <w:pStyle w:val="TableContents"/>
              <w:bidi w:val="0"/>
              <w:spacing w:lineRule="auto" w:line="312" w:before="0" w:after="0"/>
              <w:jc w:val="right"/>
              <w:rPr/>
            </w:pPr>
            <w:r>
              <w:rPr>
                <w:rFonts w:ascii="Roboto;sans-serif" w:hAnsi="Roboto;sans-serif"/>
                <w:b/>
                <w:color w:val="FFFFFF"/>
                <w:sz w:val="16"/>
              </w:rPr>
              <w:t>($)</w:t>
            </w:r>
            <w:r>
              <w:rPr>
                <w:rFonts w:ascii="Roboto;sans-serif" w:hAnsi="Roboto;sans-serif"/>
                <w:b/>
                <w:color w:val="FFFFFF"/>
                <w:sz w:val="10"/>
              </w:rPr>
              <w:t>(2)(3)</w:t>
            </w:r>
          </w:p>
        </w:tc>
        <w:tc>
          <w:tcPr>
            <w:tcW w:w="781"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Total</w:t>
            </w:r>
          </w:p>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w:t>
            </w:r>
          </w:p>
        </w:tc>
        <w:tc>
          <w:tcPr>
            <w:tcW w:w="37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00000"/>
                <w:sz w:val="16"/>
              </w:rPr>
            </w:pPr>
            <w:r>
              <w:rPr>
                <w:rFonts w:ascii="Roboto;sans-serif" w:hAnsi="Roboto;sans-serif"/>
                <w:b/>
                <w:color w:val="000000"/>
                <w:sz w:val="16"/>
              </w:rPr>
              <w:t>Wendy Beck</w:t>
            </w:r>
          </w:p>
        </w:tc>
        <w:tc>
          <w:tcPr>
            <w:tcW w:w="2714"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123,310</w:t>
            </w:r>
          </w:p>
        </w:tc>
        <w:tc>
          <w:tcPr>
            <w:tcW w:w="1379"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169,988</w:t>
            </w:r>
          </w:p>
        </w:tc>
        <w:tc>
          <w:tcPr>
            <w:tcW w:w="78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293,298</w:t>
            </w:r>
          </w:p>
        </w:tc>
        <w:tc>
          <w:tcPr>
            <w:tcW w:w="37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color w:val="000000"/>
                <w:sz w:val="16"/>
              </w:rPr>
              <w:t>Scott Boatwright</w:t>
            </w:r>
            <w:r>
              <w:rPr>
                <w:rFonts w:ascii="Roboto;sans-serif" w:hAnsi="Roboto;sans-serif"/>
                <w:b/>
                <w:color w:val="000000"/>
                <w:sz w:val="10"/>
              </w:rPr>
              <w:t>(4)</w:t>
            </w:r>
          </w:p>
        </w:tc>
        <w:tc>
          <w:tcPr>
            <w:tcW w:w="271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25,549</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169,988</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195,537</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color w:val="000000"/>
                <w:sz w:val="16"/>
              </w:rPr>
              <w:t>Michael Dastugue</w:t>
            </w:r>
            <w:r>
              <w:rPr>
                <w:rFonts w:ascii="Roboto;sans-serif" w:hAnsi="Roboto;sans-serif"/>
                <w:b/>
                <w:color w:val="000000"/>
                <w:sz w:val="10"/>
              </w:rPr>
              <w:t>(6)</w:t>
            </w:r>
          </w:p>
        </w:tc>
        <w:tc>
          <w:tcPr>
            <w:tcW w:w="2714"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17,033</w:t>
            </w:r>
          </w:p>
        </w:tc>
        <w:tc>
          <w:tcPr>
            <w:tcW w:w="1379"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86,626</w:t>
            </w:r>
          </w:p>
        </w:tc>
        <w:tc>
          <w:tcPr>
            <w:tcW w:w="78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103,659</w:t>
            </w:r>
          </w:p>
        </w:tc>
        <w:tc>
          <w:tcPr>
            <w:tcW w:w="37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color w:val="000000"/>
                <w:sz w:val="16"/>
              </w:rPr>
              <w:t>Shannon Hennessy</w:t>
            </w:r>
            <w:r>
              <w:rPr>
                <w:rFonts w:ascii="Roboto;sans-serif" w:hAnsi="Roboto;sans-serif"/>
                <w:b/>
                <w:color w:val="000000"/>
                <w:sz w:val="10"/>
              </w:rPr>
              <w:t>(6)</w:t>
            </w:r>
          </w:p>
        </w:tc>
        <w:tc>
          <w:tcPr>
            <w:tcW w:w="271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17,033</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86,626</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103,659</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00000"/>
                <w:sz w:val="16"/>
              </w:rPr>
            </w:pPr>
            <w:r>
              <w:rPr>
                <w:rFonts w:ascii="Roboto;sans-serif" w:hAnsi="Roboto;sans-serif"/>
                <w:b/>
                <w:color w:val="000000"/>
                <w:sz w:val="16"/>
              </w:rPr>
              <w:t>Ken Hicks</w:t>
            </w:r>
          </w:p>
        </w:tc>
        <w:tc>
          <w:tcPr>
            <w:tcW w:w="2714"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175,000</w:t>
            </w:r>
          </w:p>
        </w:tc>
        <w:tc>
          <w:tcPr>
            <w:tcW w:w="1379"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294,971</w:t>
            </w:r>
          </w:p>
        </w:tc>
        <w:tc>
          <w:tcPr>
            <w:tcW w:w="78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469,971</w:t>
            </w:r>
          </w:p>
        </w:tc>
        <w:tc>
          <w:tcPr>
            <w:tcW w:w="37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color w:val="000000"/>
                <w:sz w:val="16"/>
              </w:rPr>
              <w:t>Clay Johnson</w:t>
            </w:r>
            <w:r>
              <w:rPr>
                <w:rFonts w:ascii="Roboto;sans-serif" w:hAnsi="Roboto;sans-serif"/>
                <w:b/>
                <w:color w:val="000000"/>
                <w:sz w:val="10"/>
              </w:rPr>
              <w:t>(6)</w:t>
            </w:r>
          </w:p>
        </w:tc>
        <w:tc>
          <w:tcPr>
            <w:tcW w:w="271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17,033</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86,626</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103,659</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00000"/>
                <w:sz w:val="16"/>
              </w:rPr>
            </w:pPr>
            <w:r>
              <w:rPr>
                <w:rFonts w:ascii="Roboto;sans-serif" w:hAnsi="Roboto;sans-serif"/>
                <w:b/>
                <w:color w:val="000000"/>
                <w:sz w:val="16"/>
              </w:rPr>
              <w:t>Brian Marley</w:t>
            </w:r>
          </w:p>
        </w:tc>
        <w:tc>
          <w:tcPr>
            <w:tcW w:w="2714"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133,310</w:t>
            </w:r>
          </w:p>
        </w:tc>
        <w:tc>
          <w:tcPr>
            <w:tcW w:w="1379"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169,988</w:t>
            </w:r>
          </w:p>
        </w:tc>
        <w:tc>
          <w:tcPr>
            <w:tcW w:w="78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303,298</w:t>
            </w:r>
          </w:p>
        </w:tc>
        <w:tc>
          <w:tcPr>
            <w:tcW w:w="37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00000"/>
                <w:sz w:val="16"/>
              </w:rPr>
            </w:pPr>
            <w:r>
              <w:rPr>
                <w:rFonts w:ascii="Roboto;sans-serif" w:hAnsi="Roboto;sans-serif"/>
                <w:b/>
                <w:color w:val="000000"/>
                <w:sz w:val="16"/>
              </w:rPr>
              <w:t>Tom Nealon</w:t>
            </w:r>
          </w:p>
        </w:tc>
        <w:tc>
          <w:tcPr>
            <w:tcW w:w="271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143,310</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169,988</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313,298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00000"/>
                <w:sz w:val="16"/>
              </w:rPr>
            </w:pPr>
            <w:r>
              <w:rPr>
                <w:rFonts w:ascii="Roboto;sans-serif" w:hAnsi="Roboto;sans-serif"/>
                <w:b/>
                <w:color w:val="000000"/>
                <w:sz w:val="16"/>
              </w:rPr>
              <w:t>Theresa Palermo</w:t>
            </w:r>
          </w:p>
        </w:tc>
        <w:tc>
          <w:tcPr>
            <w:tcW w:w="2714"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100,000</w:t>
            </w:r>
          </w:p>
        </w:tc>
        <w:tc>
          <w:tcPr>
            <w:tcW w:w="1379"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169,988</w:t>
            </w:r>
          </w:p>
        </w:tc>
        <w:tc>
          <w:tcPr>
            <w:tcW w:w="78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269,988</w:t>
            </w:r>
          </w:p>
        </w:tc>
        <w:tc>
          <w:tcPr>
            <w:tcW w:w="37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00000"/>
                <w:sz w:val="16"/>
              </w:rPr>
            </w:pPr>
            <w:r>
              <w:rPr>
                <w:rFonts w:ascii="Roboto;sans-serif" w:hAnsi="Roboto;sans-serif"/>
                <w:b/>
                <w:color w:val="000000"/>
                <w:sz w:val="16"/>
              </w:rPr>
              <w:t>Monique Picou</w:t>
            </w:r>
          </w:p>
        </w:tc>
        <w:tc>
          <w:tcPr>
            <w:tcW w:w="271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100,000</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169,988</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269,988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00000"/>
                <w:sz w:val="16"/>
              </w:rPr>
            </w:pPr>
            <w:r>
              <w:rPr>
                <w:rFonts w:ascii="Roboto;sans-serif" w:hAnsi="Roboto;sans-serif"/>
                <w:b/>
                <w:color w:val="000000"/>
                <w:sz w:val="16"/>
              </w:rPr>
              <w:t>Beryl Raff</w:t>
            </w:r>
          </w:p>
        </w:tc>
        <w:tc>
          <w:tcPr>
            <w:tcW w:w="2714"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128,310</w:t>
            </w:r>
          </w:p>
        </w:tc>
        <w:tc>
          <w:tcPr>
            <w:tcW w:w="1379"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169,988</w:t>
            </w:r>
          </w:p>
        </w:tc>
        <w:tc>
          <w:tcPr>
            <w:tcW w:w="78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298,298</w:t>
            </w:r>
          </w:p>
        </w:tc>
        <w:tc>
          <w:tcPr>
            <w:tcW w:w="37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color w:val="000000"/>
                <w:sz w:val="16"/>
              </w:rPr>
              <w:t>Chris Turner</w:t>
            </w:r>
            <w:r>
              <w:rPr>
                <w:rFonts w:ascii="Roboto;sans-serif" w:hAnsi="Roboto;sans-serif"/>
                <w:b/>
                <w:color w:val="000000"/>
                <w:sz w:val="10"/>
              </w:rPr>
              <w:t>(5)</w:t>
            </w:r>
          </w:p>
        </w:tc>
        <w:tc>
          <w:tcPr>
            <w:tcW w:w="271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62,088</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169,988</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232,076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bottom w:val="single" w:sz="12" w:space="0" w:color="E81111"/>
            </w:tcBorders>
            <w:shd w:fill="ECF8FE" w:val="clear"/>
            <w:tcMar>
              <w:top w:w="0" w:type="dxa"/>
              <w:left w:w="0" w:type="dxa"/>
              <w:bottom w:w="30" w:type="dxa"/>
              <w:right w:w="0" w:type="dxa"/>
            </w:tcMar>
            <w:vAlign w:val="center"/>
          </w:tcPr>
          <w:p>
            <w:pPr>
              <w:pStyle w:val="TableContents"/>
              <w:bidi w:val="0"/>
              <w:spacing w:lineRule="auto" w:line="312" w:before="0" w:after="283"/>
              <w:jc w:val="left"/>
              <w:rPr>
                <w:rFonts w:ascii="Roboto;sans-serif" w:hAnsi="Roboto;sans-serif"/>
                <w:b/>
                <w:color w:val="000000"/>
                <w:sz w:val="16"/>
              </w:rPr>
            </w:pPr>
            <w:r>
              <w:rPr>
                <w:rFonts w:ascii="Roboto;sans-serif" w:hAnsi="Roboto;sans-serif"/>
                <w:b/>
                <w:color w:val="000000"/>
                <w:sz w:val="16"/>
              </w:rPr>
              <w:t>Jeff Tweedy</w:t>
            </w:r>
          </w:p>
        </w:tc>
        <w:tc>
          <w:tcPr>
            <w:tcW w:w="2714" w:type="dxa"/>
            <w:gridSpan w:val="3"/>
            <w:tcBorders>
              <w:bottom w:val="single" w:sz="12" w:space="0" w:color="E81111"/>
            </w:tcBorders>
            <w:shd w:fill="ECF8FE" w:val="clear"/>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100,000</w:t>
            </w:r>
          </w:p>
        </w:tc>
        <w:tc>
          <w:tcPr>
            <w:tcW w:w="1379" w:type="dxa"/>
            <w:gridSpan w:val="3"/>
            <w:tcBorders>
              <w:bottom w:val="single" w:sz="12" w:space="0" w:color="E81111"/>
            </w:tcBorders>
            <w:shd w:fill="ECF8FE" w:val="clear"/>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169,988</w:t>
            </w:r>
          </w:p>
        </w:tc>
        <w:tc>
          <w:tcPr>
            <w:tcW w:w="781" w:type="dxa"/>
            <w:gridSpan w:val="3"/>
            <w:tcBorders>
              <w:bottom w:val="single" w:sz="12" w:space="0" w:color="E81111"/>
            </w:tcBorders>
            <w:shd w:fill="ECF8FE" w:val="clear"/>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269,988</w:t>
            </w:r>
          </w:p>
        </w:tc>
        <w:tc>
          <w:tcPr>
            <w:tcW w:w="372" w:type="dxa"/>
            <w:gridSpan w:val="3"/>
            <w:tcBorders>
              <w:bottom w:val="single" w:sz="12" w:space="0" w:color="E81111"/>
            </w:tcBorders>
            <w:shd w:fill="ECF8F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6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 xml:space="preserve">1.Amounts reflect the aggregate amount of cash retainers earned during 2025. The amounts for Ms. Hennessy and Messrs. Boatwright, Dastugue, Johnson, and Turner reflect a prorated amount since their service as a director was for a partial fiscal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263525"/>
                <wp:effectExtent l="0" t="0" r="0" b="0"/>
                <wp:wrapNone/>
                <wp:docPr id="320" name="Frame48"/>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321"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230" descr=""/>
                                          <pic:cNvPicPr>
                                            <a:picLocks noChangeAspect="1" noChangeArrowheads="1"/>
                                          </pic:cNvPicPr>
                                        </pic:nvPicPr>
                                        <pic:blipFill>
                                          <a:blip r:embed="rId274"/>
                                          <a:stretch>
                                            <a:fillRect/>
                                          </a:stretch>
                                        </pic:blipFill>
                                        <pic:spPr bwMode="auto">
                                          <a:xfrm>
                                            <a:off x="0" y="0"/>
                                            <a:ext cx="266700" cy="200025"/>
                                          </a:xfrm>
                                          <a:prstGeom prst="rect">
                                            <a:avLst/>
                                          </a:prstGeom>
                                        </pic:spPr>
                                      </pic:pic>
                                    </a:graphicData>
                                  </a:graphic>
                                </wp:inline>
                              </w:drawing>
                            </w:r>
                            <w:bookmarkStart w:id="273" w:name="i-230"/>
                            <w:bookmarkEnd w:id="273"/>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322"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230" descr=""/>
                                    <pic:cNvPicPr>
                                      <a:picLocks noChangeAspect="1" noChangeArrowheads="1"/>
                                    </pic:cNvPicPr>
                                  </pic:nvPicPr>
                                  <pic:blipFill>
                                    <a:blip r:embed="rId275"/>
                                    <a:stretch>
                                      <a:fillRect/>
                                    </a:stretch>
                                  </pic:blipFill>
                                  <pic:spPr bwMode="auto">
                                    <a:xfrm>
                                      <a:off x="0" y="0"/>
                                      <a:ext cx="266700" cy="200025"/>
                                    </a:xfrm>
                                    <a:prstGeom prst="rect">
                                      <a:avLst/>
                                    </a:prstGeom>
                                  </pic:spPr>
                                </pic:pic>
                              </a:graphicData>
                            </a:graphic>
                          </wp:inline>
                        </w:drawing>
                      </w:r>
                      <w:bookmarkStart w:id="274" w:name="i-230"/>
                      <w:bookmarkEnd w:id="274"/>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43</w:t>
            </w:r>
          </w:p>
        </w:tc>
      </w:tr>
    </w:tbl>
    <w:p>
      <w:pPr>
        <w:pStyle w:val="TextBody"/>
        <w:bidi w:val="0"/>
        <w:spacing w:lineRule="auto" w:line="312" w:before="0" w:after="6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2.Amounts reflect the full grant-date fair value of RSUs granted during 2025 computed in accordance with ASC Topic 718, excluding the effect of estimated forfeitures. See Notes 2, Summary of Significant Accounting Policies, and 8, Share-Based Compensation to our consolidated financial statements included in the Annual Report for the assumptions used in calculating these values.</w:t>
      </w:r>
    </w:p>
    <w:p>
      <w:pPr>
        <w:pStyle w:val="TextBody"/>
        <w:bidi w:val="0"/>
        <w:spacing w:lineRule="auto" w:line="312" w:before="0" w:after="6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3.Amounts reflect RSUs granted in 2025 under the 2020 Omnibus Incentive Plan. Grants under the 2020 Omnibus Incentive Plan contain the vesting terms described above under the Board compensation program.</w:t>
      </w:r>
    </w:p>
    <w:p>
      <w:pPr>
        <w:pStyle w:val="TextBody"/>
        <w:bidi w:val="0"/>
        <w:spacing w:lineRule="auto" w:line="312" w:before="0" w:after="6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4.Mr. Boatwright resigned from the Board, effective May 5, 2025.</w:t>
      </w:r>
    </w:p>
    <w:p>
      <w:pPr>
        <w:pStyle w:val="TextBody"/>
        <w:bidi w:val="0"/>
        <w:spacing w:lineRule="auto" w:line="312" w:before="0" w:after="6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5.Mr. Turner resigned from the Board, effective September 16, 2025.</w:t>
      </w:r>
    </w:p>
    <w:p>
      <w:pPr>
        <w:pStyle w:val="TextBody"/>
        <w:bidi w:val="0"/>
        <w:spacing w:lineRule="auto" w:line="312" w:before="0" w:after="36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6.Ms. Hennessy and Messrs. Dastugue and Johnson joined the Board effective December 1, 2025.</w:t>
      </w:r>
    </w:p>
    <w:p>
      <w:pPr>
        <w:pStyle w:val="TextBody"/>
        <w:bidi w:val="0"/>
        <w:spacing w:lineRule="atLeast" w:line="240" w:before="0" w:after="60"/>
        <w:jc w:val="left"/>
        <w:rPr>
          <w:rFonts w:ascii="Roboto Light;sans-serif" w:hAnsi="Roboto Light;sans-serif"/>
          <w:b w:val="false"/>
          <w:color w:val="000000"/>
          <w:sz w:val="18"/>
        </w:rPr>
      </w:pPr>
      <w:r>
        <w:rPr>
          <w:rFonts w:ascii="Roboto Light;sans-serif" w:hAnsi="Roboto Light;sans-serif"/>
          <w:b w:val="false"/>
          <w:color w:val="000000"/>
          <w:sz w:val="18"/>
        </w:rPr>
        <w:t>As of January 31, 2026, each of the above-named individuals held the following number of RSUs:</w:t>
      </w:r>
    </w:p>
    <w:tbl>
      <w:tblPr>
        <w:tblW w:w="5275" w:type="dxa"/>
        <w:jc w:val="left"/>
        <w:tblInd w:w="0" w:type="dxa"/>
        <w:tblLayout w:type="fixed"/>
        <w:tblCellMar>
          <w:top w:w="28" w:type="dxa"/>
          <w:left w:w="28" w:type="dxa"/>
          <w:bottom w:w="28" w:type="dxa"/>
          <w:right w:w="28" w:type="dxa"/>
        </w:tblCellMar>
      </w:tblPr>
      <w:tblGrid>
        <w:gridCol w:w="747"/>
        <w:gridCol w:w="659"/>
        <w:gridCol w:w="663"/>
        <w:gridCol w:w="944"/>
        <w:gridCol w:w="944"/>
        <w:gridCol w:w="946"/>
        <w:gridCol w:w="109"/>
        <w:gridCol w:w="109"/>
        <w:gridCol w:w="154"/>
      </w:tblGrid>
      <w:tr>
        <w:trPr/>
        <w:tc>
          <w:tcPr>
            <w:tcW w:w="74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FFFFFF"/>
                <w:sz w:val="16"/>
              </w:rPr>
            </w:pPr>
            <w:r>
              <w:rPr>
                <w:rFonts w:ascii="Roboto;sans-serif" w:hAnsi="Roboto;sans-serif"/>
                <w:b/>
                <w:color w:val="FFFFFF"/>
                <w:sz w:val="16"/>
              </w:rPr>
              <w:t>Name</w:t>
            </w:r>
          </w:p>
        </w:tc>
        <w:tc>
          <w:tcPr>
            <w:tcW w:w="2834"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Number of RSUs Outstanding</w:t>
            </w:r>
          </w:p>
        </w:tc>
        <w:tc>
          <w:tcPr>
            <w:tcW w:w="37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00000"/>
                <w:sz w:val="16"/>
              </w:rPr>
            </w:pPr>
            <w:r>
              <w:rPr>
                <w:rFonts w:ascii="Roboto;sans-serif" w:hAnsi="Roboto;sans-serif"/>
                <w:b/>
                <w:color w:val="000000"/>
                <w:sz w:val="16"/>
              </w:rPr>
              <w:t>Wendy Beck</w:t>
            </w:r>
          </w:p>
        </w:tc>
        <w:tc>
          <w:tcPr>
            <w:tcW w:w="2834"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3,932</w:t>
            </w:r>
          </w:p>
        </w:tc>
        <w:tc>
          <w:tcPr>
            <w:tcW w:w="37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color w:val="000000"/>
                <w:sz w:val="16"/>
              </w:rPr>
              <w:t>Scott Boatwright</w:t>
            </w:r>
            <w:r>
              <w:rPr>
                <w:rFonts w:ascii="Roboto;sans-serif" w:hAnsi="Roboto;sans-serif"/>
                <w:b/>
                <w:color w:val="000000"/>
                <w:sz w:val="10"/>
              </w:rPr>
              <w:t>(1)</w:t>
            </w:r>
          </w:p>
        </w:tc>
        <w:tc>
          <w:tcPr>
            <w:tcW w:w="283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color w:val="000000"/>
                <w:sz w:val="16"/>
              </w:rPr>
              <w:t>Michael Dastugue</w:t>
            </w:r>
            <w:r>
              <w:rPr>
                <w:rFonts w:ascii="Roboto;sans-serif" w:hAnsi="Roboto;sans-serif"/>
                <w:b/>
                <w:color w:val="000000"/>
                <w:sz w:val="10"/>
              </w:rPr>
              <w:t>(3)</w:t>
            </w:r>
          </w:p>
        </w:tc>
        <w:tc>
          <w:tcPr>
            <w:tcW w:w="2834"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1,825</w:t>
            </w:r>
          </w:p>
        </w:tc>
        <w:tc>
          <w:tcPr>
            <w:tcW w:w="37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color w:val="000000"/>
                <w:sz w:val="16"/>
              </w:rPr>
              <w:t>Shannon Hennessy</w:t>
            </w:r>
            <w:r>
              <w:rPr>
                <w:rFonts w:ascii="Roboto;sans-serif" w:hAnsi="Roboto;sans-serif"/>
                <w:b/>
                <w:color w:val="000000"/>
                <w:sz w:val="10"/>
              </w:rPr>
              <w:t>(3)</w:t>
            </w:r>
          </w:p>
        </w:tc>
        <w:tc>
          <w:tcPr>
            <w:tcW w:w="283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Roboto;sans-serif" w:hAnsi="Roboto;sans-serif"/>
                <w:b w:val="false"/>
                <w:color w:val="000000"/>
                <w:sz w:val="16"/>
              </w:rPr>
            </w:pPr>
            <w:r>
              <w:rPr>
                <w:rFonts w:ascii="Roboto;sans-serif" w:hAnsi="Roboto;sans-serif"/>
                <w:b w:val="false"/>
                <w:color w:val="000000"/>
                <w:sz w:val="16"/>
              </w:rPr>
              <w:t>1,825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00000"/>
                <w:sz w:val="16"/>
              </w:rPr>
            </w:pPr>
            <w:r>
              <w:rPr>
                <w:rFonts w:ascii="Roboto;sans-serif" w:hAnsi="Roboto;sans-serif"/>
                <w:b/>
                <w:color w:val="000000"/>
                <w:sz w:val="16"/>
              </w:rPr>
              <w:t>Ken Hicks</w:t>
            </w:r>
          </w:p>
        </w:tc>
        <w:tc>
          <w:tcPr>
            <w:tcW w:w="2834"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6,823</w:t>
            </w:r>
          </w:p>
        </w:tc>
        <w:tc>
          <w:tcPr>
            <w:tcW w:w="37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color w:val="000000"/>
                <w:sz w:val="16"/>
              </w:rPr>
              <w:t>Clay Johnson</w:t>
            </w:r>
            <w:r>
              <w:rPr>
                <w:rFonts w:ascii="Roboto;sans-serif" w:hAnsi="Roboto;sans-serif"/>
                <w:b/>
                <w:color w:val="000000"/>
                <w:sz w:val="10"/>
              </w:rPr>
              <w:t>(3)</w:t>
            </w:r>
          </w:p>
        </w:tc>
        <w:tc>
          <w:tcPr>
            <w:tcW w:w="283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1,825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00000"/>
                <w:sz w:val="16"/>
              </w:rPr>
            </w:pPr>
            <w:r>
              <w:rPr>
                <w:rFonts w:ascii="Roboto;sans-serif" w:hAnsi="Roboto;sans-serif"/>
                <w:b/>
                <w:color w:val="000000"/>
                <w:sz w:val="16"/>
              </w:rPr>
              <w:t>Brian Marley</w:t>
            </w:r>
          </w:p>
        </w:tc>
        <w:tc>
          <w:tcPr>
            <w:tcW w:w="2834"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3,932</w:t>
            </w:r>
          </w:p>
        </w:tc>
        <w:tc>
          <w:tcPr>
            <w:tcW w:w="37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00000"/>
                <w:sz w:val="16"/>
              </w:rPr>
            </w:pPr>
            <w:r>
              <w:rPr>
                <w:rFonts w:ascii="Roboto;sans-serif" w:hAnsi="Roboto;sans-serif"/>
                <w:b/>
                <w:color w:val="000000"/>
                <w:sz w:val="16"/>
              </w:rPr>
              <w:t>Tom Nealon</w:t>
            </w:r>
          </w:p>
        </w:tc>
        <w:tc>
          <w:tcPr>
            <w:tcW w:w="283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3,932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00000"/>
                <w:sz w:val="16"/>
              </w:rPr>
            </w:pPr>
            <w:r>
              <w:rPr>
                <w:rFonts w:ascii="Roboto;sans-serif" w:hAnsi="Roboto;sans-serif"/>
                <w:b/>
                <w:color w:val="000000"/>
                <w:sz w:val="16"/>
              </w:rPr>
              <w:t>Theresa Palermo</w:t>
            </w:r>
          </w:p>
        </w:tc>
        <w:tc>
          <w:tcPr>
            <w:tcW w:w="2834"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3,932</w:t>
            </w:r>
          </w:p>
        </w:tc>
        <w:tc>
          <w:tcPr>
            <w:tcW w:w="37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00000"/>
                <w:sz w:val="16"/>
              </w:rPr>
            </w:pPr>
            <w:r>
              <w:rPr>
                <w:rFonts w:ascii="Roboto;sans-serif" w:hAnsi="Roboto;sans-serif"/>
                <w:b/>
                <w:color w:val="000000"/>
                <w:sz w:val="16"/>
              </w:rPr>
              <w:t>Monique Picou</w:t>
            </w:r>
          </w:p>
        </w:tc>
        <w:tc>
          <w:tcPr>
            <w:tcW w:w="283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3,932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00000"/>
                <w:sz w:val="16"/>
              </w:rPr>
            </w:pPr>
            <w:r>
              <w:rPr>
                <w:rFonts w:ascii="Roboto;sans-serif" w:hAnsi="Roboto;sans-serif"/>
                <w:b/>
                <w:color w:val="000000"/>
                <w:sz w:val="16"/>
              </w:rPr>
              <w:t>Beryl Raff</w:t>
            </w:r>
          </w:p>
        </w:tc>
        <w:tc>
          <w:tcPr>
            <w:tcW w:w="2834"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3,932</w:t>
            </w:r>
          </w:p>
        </w:tc>
        <w:tc>
          <w:tcPr>
            <w:tcW w:w="37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color w:val="000000"/>
                <w:sz w:val="16"/>
              </w:rPr>
              <w:t>Chris Turner</w:t>
            </w:r>
            <w:r>
              <w:rPr>
                <w:rFonts w:ascii="Roboto;sans-serif" w:hAnsi="Roboto;sans-serif"/>
                <w:b/>
                <w:color w:val="000000"/>
                <w:sz w:val="10"/>
              </w:rPr>
              <w:t>(2)</w:t>
            </w:r>
          </w:p>
        </w:tc>
        <w:tc>
          <w:tcPr>
            <w:tcW w:w="283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bottom w:val="single" w:sz="12" w:space="0" w:color="E81111"/>
            </w:tcBorders>
            <w:shd w:fill="ECF8FE" w:val="clear"/>
            <w:tcMar>
              <w:top w:w="0" w:type="dxa"/>
              <w:left w:w="0" w:type="dxa"/>
              <w:bottom w:w="30" w:type="dxa"/>
              <w:right w:w="0" w:type="dxa"/>
            </w:tcMar>
            <w:vAlign w:val="center"/>
          </w:tcPr>
          <w:p>
            <w:pPr>
              <w:pStyle w:val="TableContents"/>
              <w:bidi w:val="0"/>
              <w:spacing w:lineRule="auto" w:line="312" w:before="0" w:after="283"/>
              <w:jc w:val="left"/>
              <w:rPr>
                <w:rFonts w:ascii="Roboto;sans-serif" w:hAnsi="Roboto;sans-serif"/>
                <w:b/>
                <w:color w:val="000000"/>
                <w:sz w:val="16"/>
              </w:rPr>
            </w:pPr>
            <w:r>
              <w:rPr>
                <w:rFonts w:ascii="Roboto;sans-serif" w:hAnsi="Roboto;sans-serif"/>
                <w:b/>
                <w:color w:val="000000"/>
                <w:sz w:val="16"/>
              </w:rPr>
              <w:t>Jeff Tweedy</w:t>
            </w:r>
          </w:p>
        </w:tc>
        <w:tc>
          <w:tcPr>
            <w:tcW w:w="2834" w:type="dxa"/>
            <w:gridSpan w:val="3"/>
            <w:tcBorders>
              <w:bottom w:val="single" w:sz="12" w:space="0" w:color="E81111"/>
            </w:tcBorders>
            <w:shd w:fill="ECF8FE" w:val="clear"/>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3,932</w:t>
            </w:r>
          </w:p>
        </w:tc>
        <w:tc>
          <w:tcPr>
            <w:tcW w:w="372" w:type="dxa"/>
            <w:gridSpan w:val="3"/>
            <w:tcBorders>
              <w:bottom w:val="single" w:sz="12" w:space="0" w:color="E81111"/>
            </w:tcBorders>
            <w:shd w:fill="ECF8F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1.Mr. Boatwright resigned from the Board, effective May 5, 2025, and forfeited his unvested RSUs at such date.</w:t>
      </w:r>
    </w:p>
    <w:p>
      <w:pPr>
        <w:pStyle w:val="TextBody"/>
        <w:bidi w:val="0"/>
        <w:spacing w:lineRule="auto" w:line="312" w:before="0" w:after="6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2.Mr. Turner resigned from the Board, effective September 16, 2025, and forfeited his unvested RSUs at such date.</w:t>
      </w:r>
    </w:p>
    <w:p>
      <w:pPr>
        <w:pStyle w:val="TextBody"/>
        <w:bidi w:val="0"/>
        <w:spacing w:lineRule="auto" w:line="312" w:before="0" w:after="12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3.Ms. Hennessy and Messrs. Dastugue and Johnson joined the Board effective December 1, 2025.and received pro-rata equity awards.</w:t>
      </w:r>
    </w:p>
    <w:p>
      <w:pPr>
        <w:pStyle w:val="TextBody"/>
        <w:bidi w:val="0"/>
        <w:spacing w:before="0" w:after="120"/>
        <w:jc w:val="left"/>
        <w:rPr/>
      </w:pPr>
      <w:r>
        <w:rPr/>
      </w:r>
    </w:p>
    <w:p>
      <w:pPr>
        <w:pStyle w:val="TextBody"/>
        <w:bidi w:val="0"/>
        <w:spacing w:lineRule="atLeast" w:line="240" w:before="0" w:after="180"/>
        <w:jc w:val="left"/>
        <w:rPr>
          <w:rFonts w:ascii="Roboto Light;sans-serif" w:hAnsi="Roboto Light;sans-serif"/>
          <w:b w:val="false"/>
          <w:color w:val="000000"/>
          <w:sz w:val="18"/>
        </w:rPr>
      </w:pPr>
      <w:r>
        <w:rPr>
          <w:rFonts w:ascii="Roboto Light;sans-serif" w:hAnsi="Roboto Light;sans-serif"/>
          <w:b w:val="false"/>
          <w:color w:val="000000"/>
          <w:sz w:val="18"/>
        </w:rPr>
        <w:t xml:space="preserve">The Compensation Committee reviews and assesses non-employee director pay levels annually. This process involves a review of competitive market data, including an assessment of the Non-Employee Director Compensation Policy against the director compensation programs of companies in our executive compensation peer group and updates on recent trends in director compensation. In June 2025, the Compensation Committee and its compensation consultant, Frederic W. Cook &amp; Co, Inc. (“FW Cook”), conducted a thorough analysis of the non-employee directors' compensation, and following this review the Compensation Committee recommended and the Board approved an increase in the annual equity award fair market value from $160,000 to $170,000, as well as an increase in the annual cash retainer amounts for each of the Committee Chair positions as well as the Lead Director in the amount of $5,000 each, effective in June of 2025. </w:t>
      </w:r>
    </w:p>
    <w:p>
      <w:pPr>
        <w:pStyle w:val="TextBody"/>
        <w:bidi w:val="0"/>
        <w:spacing w:lineRule="atLeast" w:line="240" w:before="120" w:after="180"/>
        <w:jc w:val="left"/>
        <w:rPr>
          <w:rFonts w:ascii="Roboto Light;sans-serif" w:hAnsi="Roboto Light;sans-serif"/>
          <w:b w:val="false"/>
          <w:color w:val="000000"/>
          <w:sz w:val="18"/>
        </w:rPr>
      </w:pPr>
      <w:r>
        <w:rPr>
          <w:rFonts w:ascii="Roboto Light;sans-serif" w:hAnsi="Roboto Light;sans-serif"/>
          <w:b w:val="false"/>
          <w:color w:val="000000"/>
          <w:sz w:val="18"/>
        </w:rPr>
        <w:t>The Board has adopted Stock Ownership Guidelines applicable to the non-employee directors, the Chief Executive Officer, and the other covered executives (see “Stock Ownership Guidelines” for more information). For non-employee directors, their requirement is to hold stock valued at 3.0x (three times) the value of their base annual cash retainer, not inclusive of any additional fees. The Stock Ownership Guidelines allow covered directors up to five years from the date each first becomes a director to comply with the Stock Ownership Guidelines. The following holdings are counted as eligible securities under the Stock Ownership Guidelines:</w:t>
      </w:r>
    </w:p>
    <w:p>
      <w:pPr>
        <w:pStyle w:val="TextBody"/>
        <w:bidi w:val="0"/>
        <w:spacing w:lineRule="auto" w:line="288" w:before="60" w:after="60"/>
        <w:ind w:left="0" w:right="0" w:hanging="288"/>
        <w:jc w:val="left"/>
        <w:rPr/>
      </w:pPr>
      <w:r>
        <w:rPr>
          <w:color w:val="000000"/>
        </w:rPr>
        <w:t>•</w:t>
      </w:r>
      <w:r>
        <w:rPr>
          <w:rFonts w:ascii="Roboto Light;sans-serif" w:hAnsi="Roboto Light;sans-serif"/>
          <w:b w:val="false"/>
          <w:color w:val="000000"/>
          <w:sz w:val="18"/>
        </w:rPr>
        <w:t xml:space="preserve">shares of common stock owned outright by the individual, or jointly with or separately by the individual’s spouse; </w:t>
      </w:r>
    </w:p>
    <w:p>
      <w:pPr>
        <w:pStyle w:val="TextBody"/>
        <w:bidi w:val="0"/>
        <w:spacing w:lineRule="auto" w:line="288" w:before="60" w:after="60"/>
        <w:ind w:left="0" w:right="0" w:hanging="288"/>
        <w:jc w:val="left"/>
        <w:rPr/>
      </w:pPr>
      <w:r>
        <w:rPr>
          <w:color w:val="000000"/>
        </w:rPr>
        <w:t>•</w:t>
      </w:r>
      <w:r>
        <w:rPr>
          <w:rFonts w:ascii="Roboto Light;sans-serif" w:hAnsi="Roboto Light;sans-serif"/>
          <w:b w:val="false"/>
          <w:color w:val="000000"/>
          <w:sz w:val="18"/>
        </w:rPr>
        <w:t>shares of common stock held in trust for the benefit of the individual;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263525"/>
                <wp:effectExtent l="0" t="0" r="0" b="0"/>
                <wp:wrapNone/>
                <wp:docPr id="323" name="Frame49"/>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324"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231" descr=""/>
                                          <pic:cNvPicPr>
                                            <a:picLocks noChangeAspect="1" noChangeArrowheads="1"/>
                                          </pic:cNvPicPr>
                                        </pic:nvPicPr>
                                        <pic:blipFill>
                                          <a:blip r:embed="rId276"/>
                                          <a:stretch>
                                            <a:fillRect/>
                                          </a:stretch>
                                        </pic:blipFill>
                                        <pic:spPr bwMode="auto">
                                          <a:xfrm>
                                            <a:off x="0" y="0"/>
                                            <a:ext cx="266700" cy="200025"/>
                                          </a:xfrm>
                                          <a:prstGeom prst="rect">
                                            <a:avLst/>
                                          </a:prstGeom>
                                        </pic:spPr>
                                      </pic:pic>
                                    </a:graphicData>
                                  </a:graphic>
                                </wp:inline>
                              </w:drawing>
                            </w:r>
                            <w:bookmarkStart w:id="275" w:name="i-231"/>
                            <w:bookmarkEnd w:id="275"/>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325"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231" descr=""/>
                                    <pic:cNvPicPr>
                                      <a:picLocks noChangeAspect="1" noChangeArrowheads="1"/>
                                    </pic:cNvPicPr>
                                  </pic:nvPicPr>
                                  <pic:blipFill>
                                    <a:blip r:embed="rId277"/>
                                    <a:stretch>
                                      <a:fillRect/>
                                    </a:stretch>
                                  </pic:blipFill>
                                  <pic:spPr bwMode="auto">
                                    <a:xfrm>
                                      <a:off x="0" y="0"/>
                                      <a:ext cx="266700" cy="200025"/>
                                    </a:xfrm>
                                    <a:prstGeom prst="rect">
                                      <a:avLst/>
                                    </a:prstGeom>
                                  </pic:spPr>
                                </pic:pic>
                              </a:graphicData>
                            </a:graphic>
                          </wp:inline>
                        </w:drawing>
                      </w:r>
                      <w:bookmarkStart w:id="276" w:name="i-231"/>
                      <w:bookmarkEnd w:id="276"/>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p>
      <w:pPr>
        <w:pStyle w:val="TextBody"/>
        <w:bidi w:val="0"/>
        <w:spacing w:lineRule="auto" w:line="288" w:before="60" w:after="60"/>
        <w:ind w:left="0" w:right="0" w:hanging="288"/>
        <w:jc w:val="left"/>
        <w:rPr/>
      </w:pPr>
      <w:r>
        <w:rPr>
          <w:color w:val="000000"/>
        </w:rPr>
        <w:t>•</w:t>
      </w:r>
      <w:r>
        <w:rPr>
          <w:rFonts w:ascii="Roboto Light;sans-serif" w:hAnsi="Roboto Light;sans-serif"/>
          <w:b w:val="false"/>
          <w:color w:val="000000"/>
          <w:sz w:val="18"/>
        </w:rPr>
        <w:t xml:space="preserve">shares of common stock held in the Company’s 401(k) Plan (if offered); </w:t>
      </w:r>
    </w:p>
    <w:p>
      <w:pPr>
        <w:pStyle w:val="TextBody"/>
        <w:bidi w:val="0"/>
        <w:spacing w:lineRule="auto" w:line="288" w:before="60" w:after="60"/>
        <w:ind w:left="0" w:right="0" w:hanging="288"/>
        <w:jc w:val="left"/>
        <w:rPr/>
      </w:pPr>
      <w:r>
        <w:rPr>
          <w:color w:val="000000"/>
        </w:rPr>
        <w:t>•</w:t>
      </w:r>
      <w:r>
        <w:rPr>
          <w:rFonts w:ascii="Roboto Light;sans-serif" w:hAnsi="Roboto Light;sans-serif"/>
          <w:b w:val="false"/>
          <w:color w:val="000000"/>
          <w:sz w:val="18"/>
        </w:rPr>
        <w:t>performance-based restricted stock and restricted stock units that have met the performance criteria but have not yet satisfied time-based vesting and/or settled (for clarity, unearned performance-based equity awards are not counted for these purposes); and</w:t>
      </w:r>
    </w:p>
    <w:p>
      <w:pPr>
        <w:pStyle w:val="TextBody"/>
        <w:bidi w:val="0"/>
        <w:spacing w:lineRule="auto" w:line="288" w:before="60" w:after="240"/>
        <w:ind w:left="0" w:right="0" w:hanging="288"/>
        <w:jc w:val="left"/>
        <w:rPr/>
      </w:pPr>
      <w:r>
        <w:rPr>
          <w:color w:val="000000"/>
        </w:rPr>
        <w:t>•</w:t>
      </w:r>
      <w:r>
        <w:rPr>
          <w:rFonts w:ascii="Roboto Light;sans-serif" w:hAnsi="Roboto Light;sans-serif"/>
          <w:b w:val="false"/>
          <w:color w:val="000000"/>
          <w:sz w:val="18"/>
        </w:rPr>
        <w:t>time-based restricted stock and restricted stock units.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Covered directors who do not achieve the required levels of ownership within the prescribed amount of time will be required to retain 100% of any Company equity acquired (net of taxes) until the next compliance date on which their ownership of eligible securities meets applicable required guidelines. Each of our non-employee directors is either in compliance with the Stock Ownership Guidelines or within the prescribed time period for complying with the Stock Ownership Guidelines.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263525"/>
                <wp:effectExtent l="0" t="0" r="0" b="0"/>
                <wp:wrapNone/>
                <wp:docPr id="326" name="Frame50"/>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327"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232" descr=""/>
                                          <pic:cNvPicPr>
                                            <a:picLocks noChangeAspect="1" noChangeArrowheads="1"/>
                                          </pic:cNvPicPr>
                                        </pic:nvPicPr>
                                        <pic:blipFill>
                                          <a:blip r:embed="rId278"/>
                                          <a:stretch>
                                            <a:fillRect/>
                                          </a:stretch>
                                        </pic:blipFill>
                                        <pic:spPr bwMode="auto">
                                          <a:xfrm>
                                            <a:off x="0" y="0"/>
                                            <a:ext cx="266700" cy="200025"/>
                                          </a:xfrm>
                                          <a:prstGeom prst="rect">
                                            <a:avLst/>
                                          </a:prstGeom>
                                        </pic:spPr>
                                      </pic:pic>
                                    </a:graphicData>
                                  </a:graphic>
                                </wp:inline>
                              </w:drawing>
                            </w:r>
                            <w:bookmarkStart w:id="277" w:name="i-232"/>
                            <w:bookmarkEnd w:id="277"/>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328"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232" descr=""/>
                                    <pic:cNvPicPr>
                                      <a:picLocks noChangeAspect="1" noChangeArrowheads="1"/>
                                    </pic:cNvPicPr>
                                  </pic:nvPicPr>
                                  <pic:blipFill>
                                    <a:blip r:embed="rId279"/>
                                    <a:stretch>
                                      <a:fillRect/>
                                    </a:stretch>
                                  </pic:blipFill>
                                  <pic:spPr bwMode="auto">
                                    <a:xfrm>
                                      <a:off x="0" y="0"/>
                                      <a:ext cx="266700" cy="200025"/>
                                    </a:xfrm>
                                    <a:prstGeom prst="rect">
                                      <a:avLst/>
                                    </a:prstGeom>
                                  </pic:spPr>
                                </pic:pic>
                              </a:graphicData>
                            </a:graphic>
                          </wp:inline>
                        </w:drawing>
                      </w:r>
                      <w:bookmarkStart w:id="278" w:name="i-232"/>
                      <w:bookmarkEnd w:id="278"/>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45</w:t>
            </w:r>
          </w:p>
        </w:tc>
      </w:tr>
    </w:tbl>
    <w:tbl>
      <w:tblPr>
        <w:tblW w:w="2588" w:type="dxa"/>
        <w:jc w:val="left"/>
        <w:tblInd w:w="0" w:type="dxa"/>
        <w:tblLayout w:type="fixed"/>
        <w:tblCellMar>
          <w:top w:w="28" w:type="dxa"/>
          <w:left w:w="28" w:type="dxa"/>
          <w:bottom w:w="28" w:type="dxa"/>
          <w:right w:w="28" w:type="dxa"/>
        </w:tblCellMar>
      </w:tblPr>
      <w:tblGrid>
        <w:gridCol w:w="684"/>
        <w:gridCol w:w="602"/>
        <w:gridCol w:w="603"/>
        <w:gridCol w:w="109"/>
        <w:gridCol w:w="109"/>
        <w:gridCol w:w="109"/>
        <w:gridCol w:w="109"/>
        <w:gridCol w:w="109"/>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20"/>
              </w:rPr>
            </w:pPr>
            <w:r>
              <w:rPr>
                <w:rFonts w:ascii="Roboto Black;sans-serif" w:hAnsi="Roboto Black;sans-serif"/>
                <w:b/>
                <w:color w:val="000000"/>
                <w:sz w:val="20"/>
              </w:rPr>
              <w:t>PROPOSAL TWO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720"/>
        <w:jc w:val="left"/>
        <w:rPr>
          <w:rFonts w:ascii="Roboto;sans-serif" w:hAnsi="Roboto;sans-serif"/>
          <w:b/>
          <w:color w:val="1946C8"/>
          <w:sz w:val="54"/>
        </w:rPr>
      </w:pPr>
      <w:r>
        <w:rPr>
          <w:rFonts w:ascii="Roboto;sans-serif" w:hAnsi="Roboto;sans-serif"/>
          <w:b/>
          <w:color w:val="1946C8"/>
          <w:sz w:val="54"/>
        </w:rPr>
        <w:t>Ratification of Appointment of Independent Registered Public Accounting Firm</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 Audit Committee has appointed Deloitte &amp; Touche LLP to serve as our independent registered public accounting firm for fiscal 2026.</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Although ratification is not required by the Bylaws or otherwise, the Board is submitting the appointment of Deloitte &amp; Touche LLP to our stockholders for ratification because we value our stockholders’ views on the Company’s independent registered public accounting firm. If our stockholders fail to ratify the appointment, it will be considered as notice to the Board and the Audit Committee to consider the selection of a different firm. Further, if the appointment is ratified, the Audit Committee, in its discretion, may appoint a different independent registered public accounting firm at any time during the year if it determines that such a change would be in the best interests of the Company and our stockholders. A representative of Deloitte &amp; Touche LLP is expected to be present at the Annual Meeting. The representative will have an opportunity to make a statement if they desire and will be available to respond to questions from stockholders.</w:t>
      </w:r>
    </w:p>
    <w:p>
      <w:pPr>
        <w:pStyle w:val="TextBody"/>
        <w:bidi w:val="0"/>
        <w:spacing w:lineRule="atLeast" w:line="240" w:before="0" w:after="0"/>
        <w:jc w:val="left"/>
        <w:rPr>
          <w:rFonts w:ascii="Roboto Light;sans-serif" w:hAnsi="Roboto Light;sans-serif"/>
          <w:b w:val="false"/>
          <w:color w:val="000000"/>
          <w:sz w:val="18"/>
        </w:rPr>
      </w:pPr>
      <w:r>
        <w:rPr>
          <w:rFonts w:ascii="Roboto Light;sans-serif" w:hAnsi="Roboto Light;sans-serif"/>
          <w:b w:val="false"/>
          <w:color w:val="000000"/>
          <w:sz w:val="18"/>
        </w:rPr>
        <w:t>The shares represented by your proxy will be voted “FOR” the ratification of the appointment of Deloitte &amp; Touche LLP unless you specify otherwise.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93"/>
        <w:gridCol w:w="193"/>
        <w:gridCol w:w="195"/>
        <w:gridCol w:w="2968"/>
        <w:gridCol w:w="2968"/>
        <w:gridCol w:w="2973"/>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2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ECF8FE" w:val="clear"/>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314325" cy="314325"/>
                  <wp:effectExtent l="0" t="0" r="0" b="0"/>
                  <wp:docPr id="329"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233" descr=""/>
                          <pic:cNvPicPr>
                            <a:picLocks noChangeAspect="1" noChangeArrowheads="1"/>
                          </pic:cNvPicPr>
                        </pic:nvPicPr>
                        <pic:blipFill>
                          <a:blip r:embed="rId280"/>
                          <a:stretch>
                            <a:fillRect/>
                          </a:stretch>
                        </pic:blipFill>
                        <pic:spPr bwMode="auto">
                          <a:xfrm>
                            <a:off x="0" y="0"/>
                            <a:ext cx="314325" cy="314325"/>
                          </a:xfrm>
                          <a:prstGeom prst="rect">
                            <a:avLst/>
                          </a:prstGeom>
                        </pic:spPr>
                      </pic:pic>
                    </a:graphicData>
                  </a:graphic>
                </wp:inline>
              </w:drawing>
            </w:r>
            <w:bookmarkStart w:id="279" w:name="i-233"/>
            <w:bookmarkEnd w:id="279"/>
          </w:p>
        </w:tc>
        <w:tc>
          <w:tcPr>
            <w:tcW w:w="8909" w:type="dxa"/>
            <w:gridSpan w:val="3"/>
            <w:tcBorders/>
            <w:shd w:fill="ECF8FE" w:val="clear"/>
            <w:tcMar>
              <w:top w:w="0" w:type="dxa"/>
              <w:left w:w="0" w:type="dxa"/>
              <w:bottom w:w="0" w:type="dxa"/>
              <w:right w:w="0" w:type="dxa"/>
            </w:tcMar>
            <w:vAlign w:val="center"/>
          </w:tcPr>
          <w:p>
            <w:pPr>
              <w:pStyle w:val="TableContents"/>
              <w:bidi w:val="0"/>
              <w:spacing w:lineRule="auto" w:line="312" w:before="60" w:after="60"/>
              <w:jc w:val="left"/>
              <w:rPr>
                <w:rFonts w:ascii="Roboto;sans-serif" w:hAnsi="Roboto;sans-serif"/>
                <w:b/>
                <w:color w:val="E81111"/>
                <w:sz w:val="16"/>
              </w:rPr>
            </w:pPr>
            <w:r>
              <w:rPr>
                <w:rFonts w:ascii="Roboto;sans-serif" w:hAnsi="Roboto;sans-serif"/>
                <w:b/>
                <w:color w:val="E81111"/>
                <w:sz w:val="16"/>
              </w:rPr>
              <w:t>BOARD RECOMMENDATION</w:t>
            </w:r>
          </w:p>
          <w:p>
            <w:pPr>
              <w:pStyle w:val="TableContents"/>
              <w:bidi w:val="0"/>
              <w:spacing w:lineRule="auto" w:line="312" w:before="0" w:after="60"/>
              <w:jc w:val="left"/>
              <w:rPr>
                <w:rFonts w:ascii="Roboto;sans-serif" w:hAnsi="Roboto;sans-serif"/>
                <w:b/>
                <w:color w:val="01024A"/>
                <w:sz w:val="24"/>
              </w:rPr>
            </w:pPr>
            <w:r>
              <w:rPr>
                <w:rFonts w:ascii="Roboto;sans-serif" w:hAnsi="Roboto;sans-serif"/>
                <w:b/>
                <w:color w:val="01024A"/>
                <w:sz w:val="24"/>
              </w:rPr>
              <w:t>The Board recommends that you vote “FOR” the ratification of appointment of Deloitte &amp; Touche LLP as our independent registered public accounting firm for fiscal 2026.</w:t>
            </w:r>
          </w:p>
        </w:tc>
        <w:tc>
          <w:tcPr>
            <w:tcW w:w="373"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263525"/>
                <wp:effectExtent l="0" t="0" r="0" b="0"/>
                <wp:wrapNone/>
                <wp:docPr id="330" name="Frame51"/>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331"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234" descr=""/>
                                          <pic:cNvPicPr>
                                            <a:picLocks noChangeAspect="1" noChangeArrowheads="1"/>
                                          </pic:cNvPicPr>
                                        </pic:nvPicPr>
                                        <pic:blipFill>
                                          <a:blip r:embed="rId281"/>
                                          <a:stretch>
                                            <a:fillRect/>
                                          </a:stretch>
                                        </pic:blipFill>
                                        <pic:spPr bwMode="auto">
                                          <a:xfrm>
                                            <a:off x="0" y="0"/>
                                            <a:ext cx="266700" cy="200025"/>
                                          </a:xfrm>
                                          <a:prstGeom prst="rect">
                                            <a:avLst/>
                                          </a:prstGeom>
                                        </pic:spPr>
                                      </pic:pic>
                                    </a:graphicData>
                                  </a:graphic>
                                </wp:inline>
                              </w:drawing>
                            </w:r>
                            <w:bookmarkStart w:id="280" w:name="i-234"/>
                            <w:bookmarkEnd w:id="28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332"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234" descr=""/>
                                    <pic:cNvPicPr>
                                      <a:picLocks noChangeAspect="1" noChangeArrowheads="1"/>
                                    </pic:cNvPicPr>
                                  </pic:nvPicPr>
                                  <pic:blipFill>
                                    <a:blip r:embed="rId282"/>
                                    <a:stretch>
                                      <a:fillRect/>
                                    </a:stretch>
                                  </pic:blipFill>
                                  <pic:spPr bwMode="auto">
                                    <a:xfrm>
                                      <a:off x="0" y="0"/>
                                      <a:ext cx="266700" cy="200025"/>
                                    </a:xfrm>
                                    <a:prstGeom prst="rect">
                                      <a:avLst/>
                                    </a:prstGeom>
                                  </pic:spPr>
                                </pic:pic>
                              </a:graphicData>
                            </a:graphic>
                          </wp:inline>
                        </w:drawing>
                      </w:r>
                      <w:bookmarkStart w:id="281" w:name="i-234"/>
                      <w:bookmarkEnd w:id="281"/>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Audit and Non-Audit Fees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 following table presents fees for professional services rendered by our independent registered public accounting firm, Deloitte &amp; Touche LLP, for the audit of our financial statements for 2025 and 2024 and for fees billed for other services rendered by affiliates of Deloitte &amp; Touche LLP during those periods.</w:t>
      </w:r>
    </w:p>
    <w:tbl>
      <w:tblPr>
        <w:tblW w:w="4187" w:type="dxa"/>
        <w:jc w:val="left"/>
        <w:tblInd w:w="0" w:type="dxa"/>
        <w:tblLayout w:type="fixed"/>
        <w:tblCellMar>
          <w:top w:w="28" w:type="dxa"/>
          <w:left w:w="28" w:type="dxa"/>
          <w:bottom w:w="28" w:type="dxa"/>
          <w:right w:w="28" w:type="dxa"/>
        </w:tblCellMar>
      </w:tblPr>
      <w:tblGrid>
        <w:gridCol w:w="639"/>
        <w:gridCol w:w="563"/>
        <w:gridCol w:w="568"/>
        <w:gridCol w:w="393"/>
        <w:gridCol w:w="393"/>
        <w:gridCol w:w="400"/>
        <w:gridCol w:w="358"/>
        <w:gridCol w:w="358"/>
        <w:gridCol w:w="515"/>
      </w:tblGrid>
      <w:tr>
        <w:trPr/>
        <w:tc>
          <w:tcPr>
            <w:tcW w:w="63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2025</w:t>
            </w:r>
          </w:p>
        </w:tc>
        <w:tc>
          <w:tcPr>
            <w:tcW w:w="1231"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2024</w:t>
            </w:r>
          </w:p>
        </w:tc>
      </w:tr>
      <w:tr>
        <w:trPr/>
        <w:tc>
          <w:tcPr>
            <w:tcW w:w="1770"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val="false"/>
                <w:color w:val="000000"/>
                <w:sz w:val="16"/>
              </w:rPr>
              <w:t>Audit fees</w:t>
            </w:r>
            <w:r>
              <w:rPr>
                <w:rFonts w:ascii="Roboto;sans-serif" w:hAnsi="Roboto;sans-serif"/>
                <w:b w:val="false"/>
                <w:color w:val="000000"/>
                <w:sz w:val="10"/>
              </w:rPr>
              <w:t>(1)</w:t>
            </w:r>
          </w:p>
        </w:tc>
        <w:tc>
          <w:tcPr>
            <w:tcW w:w="118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$2,201,760</w:t>
            </w:r>
          </w:p>
        </w:tc>
        <w:tc>
          <w:tcPr>
            <w:tcW w:w="123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$2,105,303</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val="false"/>
                <w:color w:val="000000"/>
                <w:sz w:val="16"/>
              </w:rPr>
              <w:t>Audit-related fees</w:t>
            </w:r>
            <w:r>
              <w:rPr>
                <w:rFonts w:ascii="Roboto;sans-serif" w:hAnsi="Roboto;sans-serif"/>
                <w:b w:val="false"/>
                <w:color w:val="000000"/>
                <w:sz w:val="10"/>
              </w:rPr>
              <w:t>(2)</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$30,570</w:t>
            </w:r>
          </w:p>
        </w:tc>
      </w:tr>
      <w:tr>
        <w:trPr/>
        <w:tc>
          <w:tcPr>
            <w:tcW w:w="1770"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val="false"/>
                <w:color w:val="000000"/>
                <w:sz w:val="16"/>
              </w:rPr>
              <w:t>Tax fees</w:t>
            </w:r>
            <w:r>
              <w:rPr>
                <w:rFonts w:ascii="Roboto;sans-serif" w:hAnsi="Roboto;sans-serif"/>
                <w:b w:val="false"/>
                <w:color w:val="000000"/>
                <w:sz w:val="10"/>
              </w:rPr>
              <w:t>(3)</w:t>
            </w:r>
          </w:p>
        </w:tc>
        <w:tc>
          <w:tcPr>
            <w:tcW w:w="118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$537,265</w:t>
            </w:r>
          </w:p>
        </w:tc>
        <w:tc>
          <w:tcPr>
            <w:tcW w:w="123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$792,844</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val="false"/>
                <w:color w:val="000000"/>
                <w:sz w:val="16"/>
              </w:rPr>
              <w:t>All other fees</w:t>
            </w:r>
            <w:r>
              <w:rPr>
                <w:rFonts w:ascii="Roboto;sans-serif" w:hAnsi="Roboto;sans-serif"/>
                <w:b w:val="false"/>
                <w:color w:val="000000"/>
                <w:sz w:val="10"/>
              </w:rPr>
              <w:t>(4)</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$4,103</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$4,103</w:t>
            </w:r>
          </w:p>
        </w:tc>
      </w:tr>
      <w:tr>
        <w:trPr/>
        <w:tc>
          <w:tcPr>
            <w:tcW w:w="1770" w:type="dxa"/>
            <w:gridSpan w:val="3"/>
            <w:tcBorders>
              <w:top w:val="single" w:sz="12" w:space="0" w:color="E81111"/>
              <w:bottom w:val="single" w:sz="12" w:space="0" w:color="E81111"/>
            </w:tcBorders>
            <w:shd w:fill="ECF8FE" w:val="clear"/>
            <w:tcMar>
              <w:top w:w="30" w:type="dxa"/>
              <w:left w:w="0" w:type="dxa"/>
              <w:bottom w:w="30" w:type="dxa"/>
              <w:right w:w="0" w:type="dxa"/>
            </w:tcMar>
            <w:vAlign w:val="center"/>
          </w:tcPr>
          <w:p>
            <w:pPr>
              <w:pStyle w:val="TableContents"/>
              <w:bidi w:val="0"/>
              <w:spacing w:lineRule="auto" w:line="312" w:before="0" w:after="283"/>
              <w:jc w:val="left"/>
              <w:rPr>
                <w:rFonts w:ascii="Roboto;sans-serif" w:hAnsi="Roboto;sans-serif"/>
                <w:b/>
                <w:color w:val="000000"/>
                <w:sz w:val="16"/>
              </w:rPr>
            </w:pPr>
            <w:r>
              <w:rPr>
                <w:rFonts w:ascii="Roboto;sans-serif" w:hAnsi="Roboto;sans-serif"/>
                <w:b/>
                <w:color w:val="000000"/>
                <w:sz w:val="16"/>
              </w:rPr>
              <w:t>Total</w:t>
            </w:r>
          </w:p>
        </w:tc>
        <w:tc>
          <w:tcPr>
            <w:tcW w:w="1186" w:type="dxa"/>
            <w:gridSpan w:val="3"/>
            <w:tcBorders>
              <w:top w:val="single" w:sz="12" w:space="0" w:color="E81111"/>
              <w:bottom w:val="single" w:sz="12" w:space="0" w:color="E81111"/>
            </w:tcBorders>
            <w:shd w:fill="ECF8FE" w:val="clear"/>
            <w:tcMar>
              <w:top w:w="30" w:type="dxa"/>
              <w:left w:w="0" w:type="dxa"/>
              <w:bottom w:w="30" w:type="dxa"/>
              <w:right w:w="0" w:type="dxa"/>
            </w:tcMar>
            <w:vAlign w:val="center"/>
          </w:tcPr>
          <w:p>
            <w:pPr>
              <w:pStyle w:val="TableContents"/>
              <w:bidi w:val="0"/>
              <w:spacing w:lineRule="auto" w:line="312" w:before="0" w:after="283"/>
              <w:jc w:val="right"/>
              <w:rPr>
                <w:rFonts w:ascii="Roboto;sans-serif" w:hAnsi="Roboto;sans-serif"/>
                <w:b/>
                <w:color w:val="000000"/>
                <w:sz w:val="16"/>
              </w:rPr>
            </w:pPr>
            <w:r>
              <w:rPr>
                <w:rFonts w:ascii="Roboto;sans-serif" w:hAnsi="Roboto;sans-serif"/>
                <w:b/>
                <w:color w:val="000000"/>
                <w:sz w:val="16"/>
              </w:rPr>
              <w:t>$2,743,128</w:t>
            </w:r>
          </w:p>
        </w:tc>
        <w:tc>
          <w:tcPr>
            <w:tcW w:w="1231" w:type="dxa"/>
            <w:gridSpan w:val="3"/>
            <w:tcBorders>
              <w:top w:val="single" w:sz="12" w:space="0" w:color="E81111"/>
              <w:bottom w:val="single" w:sz="12" w:space="0" w:color="E81111"/>
            </w:tcBorders>
            <w:shd w:fill="ECF8FE" w:val="clear"/>
            <w:tcMar>
              <w:top w:w="30" w:type="dxa"/>
              <w:left w:w="0" w:type="dxa"/>
              <w:bottom w:w="30" w:type="dxa"/>
              <w:right w:w="0" w:type="dxa"/>
            </w:tcMar>
            <w:vAlign w:val="center"/>
          </w:tcPr>
          <w:p>
            <w:pPr>
              <w:pStyle w:val="TableContents"/>
              <w:bidi w:val="0"/>
              <w:spacing w:lineRule="auto" w:line="312" w:before="0" w:after="283"/>
              <w:jc w:val="right"/>
              <w:rPr>
                <w:rFonts w:ascii="Roboto;sans-serif" w:hAnsi="Roboto;sans-serif"/>
                <w:b/>
                <w:color w:val="000000"/>
                <w:sz w:val="16"/>
              </w:rPr>
            </w:pPr>
            <w:r>
              <w:rPr>
                <w:rFonts w:ascii="Roboto;sans-serif" w:hAnsi="Roboto;sans-serif"/>
                <w:b/>
                <w:color w:val="000000"/>
                <w:sz w:val="16"/>
              </w:rPr>
              <w:t>$2,932,820</w:t>
            </w:r>
          </w:p>
        </w:tc>
      </w:tr>
    </w:tbl>
    <w:p>
      <w:pPr>
        <w:pStyle w:val="TextBody"/>
        <w:bidi w:val="0"/>
        <w:spacing w:lineRule="auto" w:line="288" w:before="0" w:after="6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1.Audit fees include fees associated with the audit of the Company’s annual consolidated financial statements, the audit of the Company’s internal control over financial reporting, the review of the Company’s quarterly consolidated financial statements, services related to other regulatory filings, and statutory audits.</w:t>
      </w:r>
    </w:p>
    <w:p>
      <w:pPr>
        <w:pStyle w:val="TextBody"/>
        <w:bidi w:val="0"/>
        <w:spacing w:lineRule="auto" w:line="288" w:before="0" w:after="6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2.Audit-related fees consist principally of assurance and related services performed in connection with registration statements filed with the SEC but are not reported under Audit Fees.</w:t>
      </w:r>
    </w:p>
    <w:p>
      <w:pPr>
        <w:pStyle w:val="TextBody"/>
        <w:bidi w:val="0"/>
        <w:spacing w:lineRule="auto" w:line="288" w:before="0" w:after="6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3.Includes the aggregate fees for professional services rendered for tax compliance, and tax consultation and planning.</w:t>
      </w:r>
    </w:p>
    <w:p>
      <w:pPr>
        <w:pStyle w:val="TextBody"/>
        <w:bidi w:val="0"/>
        <w:spacing w:lineRule="auto" w:line="288" w:before="0" w:after="36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4.All other fees relate to accounting research tool subscriptions.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Roboto;sans-serif" w:hAnsi="Roboto;sans-serif"/>
          <w:b/>
          <w:color w:val="1946C8"/>
          <w:sz w:val="24"/>
        </w:rPr>
      </w:pPr>
      <w:r>
        <w:rPr>
          <w:rFonts w:ascii="Roboto;sans-serif" w:hAnsi="Roboto;sans-serif"/>
          <w:b/>
          <w:color w:val="1946C8"/>
          <w:sz w:val="24"/>
        </w:rPr>
        <w:t>Audit Committee Pre-Approval Policy</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Consistent with SEC policies regarding auditor independence and the Audit Committee’s charter, the Audit Committee has responsibility for engaging, setting compensation for, and reviewing the performance of the independent registered public accounting firm. In exercising this responsibility, the Audit Committee has adopted policies and procedures relating to the approval of all audit and non-audit services that are to be performed by our independent registered public accounting firm and pre-approves all audit and permitted non-audit services provided by any independent registered public accounting firm prior to each engagement. The Audit Committee, prior to such engagement, pre-approves independent public accounting firm services within each category and the fees of each category are budgeted. During the year, circumstances may arise when it may become necessary to engage the independent registered public accounting firm for additional services not contemplated in the original pre-approval or for services in excess of the originally pre-approved amount. In those instances, the Audit Committee requires specific pre-approval before engaging the independent registered public accounting firm. If pre-approval is required between Audit Committee meetings, the Chair of the Audit Committee may pre-approve the services, provided that notice of such pre-approval is given to the other members of the Audit Committee and presented to the Audit Committee at its next regularly scheduled meeting for approval by the full Audit Committee.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263525"/>
                <wp:effectExtent l="0" t="0" r="0" b="0"/>
                <wp:wrapNone/>
                <wp:docPr id="333" name="Frame52"/>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334"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235" descr=""/>
                                          <pic:cNvPicPr>
                                            <a:picLocks noChangeAspect="1" noChangeArrowheads="1"/>
                                          </pic:cNvPicPr>
                                        </pic:nvPicPr>
                                        <pic:blipFill>
                                          <a:blip r:embed="rId283"/>
                                          <a:stretch>
                                            <a:fillRect/>
                                          </a:stretch>
                                        </pic:blipFill>
                                        <pic:spPr bwMode="auto">
                                          <a:xfrm>
                                            <a:off x="0" y="0"/>
                                            <a:ext cx="266700" cy="200025"/>
                                          </a:xfrm>
                                          <a:prstGeom prst="rect">
                                            <a:avLst/>
                                          </a:prstGeom>
                                        </pic:spPr>
                                      </pic:pic>
                                    </a:graphicData>
                                  </a:graphic>
                                </wp:inline>
                              </w:drawing>
                            </w:r>
                            <w:bookmarkStart w:id="282" w:name="i-235"/>
                            <w:bookmarkEnd w:id="28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335"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235" descr=""/>
                                    <pic:cNvPicPr>
                                      <a:picLocks noChangeAspect="1" noChangeArrowheads="1"/>
                                    </pic:cNvPicPr>
                                  </pic:nvPicPr>
                                  <pic:blipFill>
                                    <a:blip r:embed="rId284"/>
                                    <a:stretch>
                                      <a:fillRect/>
                                    </a:stretch>
                                  </pic:blipFill>
                                  <pic:spPr bwMode="auto">
                                    <a:xfrm>
                                      <a:off x="0" y="0"/>
                                      <a:ext cx="266700" cy="200025"/>
                                    </a:xfrm>
                                    <a:prstGeom prst="rect">
                                      <a:avLst/>
                                    </a:prstGeom>
                                  </pic:spPr>
                                </pic:pic>
                              </a:graphicData>
                            </a:graphic>
                          </wp:inline>
                        </w:drawing>
                      </w:r>
                      <w:bookmarkStart w:id="283" w:name="i-235"/>
                      <w:bookmarkEnd w:id="283"/>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47</w:t>
            </w:r>
          </w:p>
        </w:tc>
      </w:tr>
    </w:tbl>
    <w:p>
      <w:pPr>
        <w:pStyle w:val="TextBody"/>
        <w:bidi w:val="0"/>
        <w:spacing w:lineRule="auto" w:line="312" w:before="0" w:after="720"/>
        <w:jc w:val="left"/>
        <w:rPr>
          <w:rFonts w:ascii="Roboto;sans-serif" w:hAnsi="Roboto;sans-serif"/>
          <w:b/>
          <w:color w:val="1946C8"/>
          <w:sz w:val="54"/>
        </w:rPr>
      </w:pPr>
      <w:r>
        <w:rPr>
          <w:rFonts w:ascii="Roboto;sans-serif" w:hAnsi="Roboto;sans-serif"/>
          <w:b/>
          <w:color w:val="1946C8"/>
          <w:sz w:val="54"/>
        </w:rPr>
        <w:t>Report of the Audit Committee</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 Audit Committee operates pursuant to a charter which is reviewed annually by the Audit Committee. Additionally, a brief description of the primary responsibilities of the Audit Committee is included in this Proxy Statement under “Board Governance - Board Committees - Audit Committee.” Under the Audit Committee’s charter,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the applicable requirements of the Public Company Accounting Oversight Board and the SEC. In addition, the Audit Committee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discussed with the independent registered public accounting firm their independence.</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Based upon the review and discussions described in the preceding paragraph, the Audit Committee recommended to the Board that the audited financial statements of the Company be included in the Annual Report.</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Submitted by the Audit Committee of the Company’s Board of Directors:</w:t>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Audit Committee</w:t>
      </w:r>
    </w:p>
    <w:p>
      <w:pPr>
        <w:pStyle w:val="TextBody"/>
        <w:bidi w:val="0"/>
        <w:spacing w:lineRule="auto" w:line="288" w:before="0" w:after="0"/>
        <w:ind w:left="0" w:right="0" w:hanging="288"/>
        <w:jc w:val="left"/>
        <w:rPr/>
      </w:pPr>
      <w:r>
        <w:rPr>
          <w:color w:val="000000"/>
        </w:rPr>
        <w:t>•</w:t>
      </w:r>
      <w:r>
        <w:rPr>
          <w:rFonts w:ascii="Roboto Light;sans-serif" w:hAnsi="Roboto Light;sans-serif"/>
          <w:b w:val="false"/>
          <w:color w:val="000000"/>
          <w:sz w:val="18"/>
        </w:rPr>
        <w:t>Brian Marley, Chair</w:t>
      </w:r>
    </w:p>
    <w:p>
      <w:pPr>
        <w:pStyle w:val="TextBody"/>
        <w:bidi w:val="0"/>
        <w:spacing w:lineRule="auto" w:line="288" w:before="0" w:after="0"/>
        <w:ind w:left="0" w:right="0" w:hanging="288"/>
        <w:jc w:val="left"/>
        <w:rPr/>
      </w:pPr>
      <w:r>
        <w:rPr>
          <w:color w:val="000000"/>
        </w:rPr>
        <w:t>•</w:t>
      </w:r>
      <w:r>
        <w:rPr>
          <w:rFonts w:ascii="Roboto Light;sans-serif" w:hAnsi="Roboto Light;sans-serif"/>
          <w:b w:val="false"/>
          <w:color w:val="000000"/>
          <w:sz w:val="18"/>
        </w:rPr>
        <w:t>Wendy Beck</w:t>
      </w:r>
    </w:p>
    <w:p>
      <w:pPr>
        <w:pStyle w:val="TextBody"/>
        <w:bidi w:val="0"/>
        <w:spacing w:lineRule="auto" w:line="288" w:before="0" w:after="0"/>
        <w:ind w:left="0" w:right="0" w:hanging="288"/>
        <w:jc w:val="left"/>
        <w:rPr/>
      </w:pPr>
      <w:r>
        <w:rPr>
          <w:color w:val="000000"/>
        </w:rPr>
        <w:t>•</w:t>
      </w:r>
      <w:r>
        <w:rPr>
          <w:rFonts w:ascii="Roboto Light;sans-serif" w:hAnsi="Roboto Light;sans-serif"/>
          <w:b w:val="false"/>
          <w:color w:val="000000"/>
          <w:sz w:val="18"/>
        </w:rPr>
        <w:t>Michael Dastugue</w:t>
      </w:r>
    </w:p>
    <w:p>
      <w:pPr>
        <w:pStyle w:val="TextBody"/>
        <w:bidi w:val="0"/>
        <w:spacing w:lineRule="auto" w:line="288" w:before="0" w:after="120"/>
        <w:ind w:left="0" w:right="0" w:hanging="288"/>
        <w:jc w:val="left"/>
        <w:rPr/>
      </w:pPr>
      <w:r>
        <w:rPr>
          <w:color w:val="000000"/>
        </w:rPr>
        <w:t>•</w:t>
      </w:r>
      <w:r>
        <w:rPr>
          <w:rFonts w:ascii="Roboto Light;sans-serif" w:hAnsi="Roboto Light;sans-serif"/>
          <w:b w:val="false"/>
          <w:color w:val="000000"/>
          <w:sz w:val="18"/>
        </w:rPr>
        <w:t>Tom Nealon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63525"/>
                <wp:effectExtent l="0" t="0" r="0" b="0"/>
                <wp:wrapNone/>
                <wp:docPr id="336" name="Frame53"/>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337"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236" descr=""/>
                                          <pic:cNvPicPr>
                                            <a:picLocks noChangeAspect="1" noChangeArrowheads="1"/>
                                          </pic:cNvPicPr>
                                        </pic:nvPicPr>
                                        <pic:blipFill>
                                          <a:blip r:embed="rId285"/>
                                          <a:stretch>
                                            <a:fillRect/>
                                          </a:stretch>
                                        </pic:blipFill>
                                        <pic:spPr bwMode="auto">
                                          <a:xfrm>
                                            <a:off x="0" y="0"/>
                                            <a:ext cx="266700" cy="200025"/>
                                          </a:xfrm>
                                          <a:prstGeom prst="rect">
                                            <a:avLst/>
                                          </a:prstGeom>
                                        </pic:spPr>
                                      </pic:pic>
                                    </a:graphicData>
                                  </a:graphic>
                                </wp:inline>
                              </w:drawing>
                            </w:r>
                            <w:bookmarkStart w:id="284" w:name="i-236"/>
                            <w:bookmarkEnd w:id="28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338"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236" descr=""/>
                                    <pic:cNvPicPr>
                                      <a:picLocks noChangeAspect="1" noChangeArrowheads="1"/>
                                    </pic:cNvPicPr>
                                  </pic:nvPicPr>
                                  <pic:blipFill>
                                    <a:blip r:embed="rId286"/>
                                    <a:stretch>
                                      <a:fillRect/>
                                    </a:stretch>
                                  </pic:blipFill>
                                  <pic:spPr bwMode="auto">
                                    <a:xfrm>
                                      <a:off x="0" y="0"/>
                                      <a:ext cx="266700" cy="200025"/>
                                    </a:xfrm>
                                    <a:prstGeom prst="rect">
                                      <a:avLst/>
                                    </a:prstGeom>
                                  </pic:spPr>
                                </pic:pic>
                              </a:graphicData>
                            </a:graphic>
                          </wp:inline>
                        </w:drawing>
                      </w:r>
                      <w:bookmarkStart w:id="285" w:name="i-236"/>
                      <w:bookmarkEnd w:id="285"/>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tbl>
      <w:tblPr>
        <w:tblW w:w="2798" w:type="dxa"/>
        <w:jc w:val="left"/>
        <w:tblInd w:w="0" w:type="dxa"/>
        <w:tblLayout w:type="fixed"/>
        <w:tblCellMar>
          <w:top w:w="28" w:type="dxa"/>
          <w:left w:w="28" w:type="dxa"/>
          <w:bottom w:w="28" w:type="dxa"/>
          <w:right w:w="28" w:type="dxa"/>
        </w:tblCellMar>
      </w:tblPr>
      <w:tblGrid>
        <w:gridCol w:w="760"/>
        <w:gridCol w:w="669"/>
        <w:gridCol w:w="670"/>
        <w:gridCol w:w="109"/>
        <w:gridCol w:w="109"/>
        <w:gridCol w:w="109"/>
        <w:gridCol w:w="109"/>
        <w:gridCol w:w="109"/>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Roboto Black;sans-serif" w:hAnsi="Roboto Black;sans-serif"/>
                <w:b/>
                <w:color w:val="000000"/>
                <w:sz w:val="20"/>
              </w:rPr>
            </w:pPr>
            <w:r>
              <w:rPr>
                <w:rFonts w:ascii="Roboto Black;sans-serif" w:hAnsi="Roboto Black;sans-serif"/>
                <w:b/>
                <w:color w:val="000000"/>
                <w:sz w:val="20"/>
              </w:rPr>
              <w:t>PROPOSAL THREE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8111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720"/>
        <w:jc w:val="left"/>
        <w:rPr>
          <w:rFonts w:ascii="Roboto;sans-serif" w:hAnsi="Roboto;sans-serif"/>
          <w:b/>
          <w:color w:val="1946C8"/>
          <w:sz w:val="54"/>
        </w:rPr>
      </w:pPr>
      <w:r>
        <w:rPr>
          <w:rFonts w:ascii="Roboto;sans-serif" w:hAnsi="Roboto;sans-serif"/>
          <w:b/>
          <w:color w:val="1946C8"/>
          <w:sz w:val="54"/>
        </w:rPr>
        <w:t>Non-Binding Advisory Vote, of the Fiscal 2025 Compensation Paid to the Company’s Named Executive Officers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Pursuant to Section 14A of the Exchange Act, our stockholders are being asked to approve, on a non-binding advisory basis, the compensation of the Company’s named executive officers as disclosed pursuant to Item 402 of Regulation S-K under the Securities Act in the Compensation Discussion and Analysis and related compensation tables and narrative discussion included in this Proxy Statement. While the results of this “say-on-pay” vote are non-binding and advisory in nature, the Compensation Committee intends to carefully consider the results of this vote.</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 text of the resolution in respect of Proposal Three is as follows:</w:t>
      </w:r>
    </w:p>
    <w:p>
      <w:pPr>
        <w:pStyle w:val="TextBody"/>
        <w:bidi w:val="0"/>
        <w:spacing w:lineRule="atLeast" w:line="240" w:before="0" w:after="240"/>
        <w:jc w:val="left"/>
        <w:rPr>
          <w:color w:val="000000"/>
        </w:rPr>
      </w:pPr>
      <w:r>
        <w:rPr>
          <w:color w:val="000000"/>
        </w:rPr>
        <w:t>“</w:t>
      </w:r>
      <w:r>
        <w:rPr>
          <w:rFonts w:ascii="Roboto Light;sans-serif" w:hAnsi="Roboto Light;sans-serif"/>
          <w:b w:val="false"/>
          <w:color w:val="000000"/>
          <w:sz w:val="18"/>
        </w:rPr>
        <w:t>RESOLVED, that the compensation paid to the Company’s named executive officers in fiscal 2025, as disclosed in this Proxy Statement pursuant to the rules of the SEC, including the Compensation Discussion and Analysis, compensation tables and any related narrative discussion, is hereby APPROVED.”</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In considering their vote, stockholders should review the information on our compensation policies and decisions regarding the named executive officers presented in the Compensation Discussion and Analysis and related compensation tables and narrative discussion on pages 49 to 71.</w:t>
      </w:r>
    </w:p>
    <w:p>
      <w:pPr>
        <w:pStyle w:val="TextBody"/>
        <w:bidi w:val="0"/>
        <w:spacing w:lineRule="atLeast" w:line="240" w:before="0" w:after="0"/>
        <w:jc w:val="left"/>
        <w:rPr>
          <w:rFonts w:ascii="Roboto Light;sans-serif" w:hAnsi="Roboto Light;sans-serif"/>
          <w:b w:val="false"/>
          <w:color w:val="000000"/>
          <w:sz w:val="18"/>
        </w:rPr>
      </w:pPr>
      <w:r>
        <w:rPr>
          <w:rFonts w:ascii="Roboto Light;sans-serif" w:hAnsi="Roboto Light;sans-serif"/>
          <w:b w:val="false"/>
          <w:color w:val="000000"/>
          <w:sz w:val="18"/>
        </w:rPr>
        <w:t>In accordance with our policy of holding annual “say-on-pay” advisory votes, the next “say-on-pay” advisory vote following the Annual Meeting is expected to occur at our 2027 Annual Meeting of Stockholders.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93"/>
        <w:gridCol w:w="193"/>
        <w:gridCol w:w="195"/>
        <w:gridCol w:w="2968"/>
        <w:gridCol w:w="2968"/>
        <w:gridCol w:w="2973"/>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2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ECF8FE" w:val="clear"/>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314325" cy="314325"/>
                  <wp:effectExtent l="0" t="0" r="0" b="0"/>
                  <wp:docPr id="339"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237" descr=""/>
                          <pic:cNvPicPr>
                            <a:picLocks noChangeAspect="1" noChangeArrowheads="1"/>
                          </pic:cNvPicPr>
                        </pic:nvPicPr>
                        <pic:blipFill>
                          <a:blip r:embed="rId287"/>
                          <a:stretch>
                            <a:fillRect/>
                          </a:stretch>
                        </pic:blipFill>
                        <pic:spPr bwMode="auto">
                          <a:xfrm>
                            <a:off x="0" y="0"/>
                            <a:ext cx="314325" cy="314325"/>
                          </a:xfrm>
                          <a:prstGeom prst="rect">
                            <a:avLst/>
                          </a:prstGeom>
                        </pic:spPr>
                      </pic:pic>
                    </a:graphicData>
                  </a:graphic>
                </wp:inline>
              </w:drawing>
            </w:r>
            <w:bookmarkStart w:id="286" w:name="i-237"/>
            <w:bookmarkEnd w:id="286"/>
          </w:p>
        </w:tc>
        <w:tc>
          <w:tcPr>
            <w:tcW w:w="8909" w:type="dxa"/>
            <w:gridSpan w:val="3"/>
            <w:tcBorders/>
            <w:shd w:fill="ECF8FE" w:val="clear"/>
            <w:tcMar>
              <w:top w:w="0" w:type="dxa"/>
              <w:left w:w="0" w:type="dxa"/>
              <w:bottom w:w="0" w:type="dxa"/>
              <w:right w:w="0" w:type="dxa"/>
            </w:tcMar>
            <w:vAlign w:val="center"/>
          </w:tcPr>
          <w:p>
            <w:pPr>
              <w:pStyle w:val="TableContents"/>
              <w:bidi w:val="0"/>
              <w:spacing w:lineRule="auto" w:line="312" w:before="60" w:after="60"/>
              <w:jc w:val="left"/>
              <w:rPr>
                <w:rFonts w:ascii="Roboto;sans-serif" w:hAnsi="Roboto;sans-serif"/>
                <w:b/>
                <w:color w:val="E81111"/>
                <w:sz w:val="16"/>
              </w:rPr>
            </w:pPr>
            <w:r>
              <w:rPr>
                <w:rFonts w:ascii="Roboto;sans-serif" w:hAnsi="Roboto;sans-serif"/>
                <w:b/>
                <w:color w:val="E81111"/>
                <w:sz w:val="16"/>
              </w:rPr>
              <w:t>BOARD RECOMMENDATION</w:t>
            </w:r>
          </w:p>
          <w:p>
            <w:pPr>
              <w:pStyle w:val="TableContents"/>
              <w:bidi w:val="0"/>
              <w:spacing w:lineRule="auto" w:line="312" w:before="0" w:after="60"/>
              <w:jc w:val="left"/>
              <w:rPr>
                <w:rFonts w:ascii="Roboto;sans-serif" w:hAnsi="Roboto;sans-serif"/>
                <w:b/>
                <w:color w:val="01024A"/>
                <w:sz w:val="24"/>
              </w:rPr>
            </w:pPr>
            <w:r>
              <w:rPr>
                <w:rFonts w:ascii="Roboto;sans-serif" w:hAnsi="Roboto;sans-serif"/>
                <w:b/>
                <w:color w:val="01024A"/>
                <w:sz w:val="24"/>
              </w:rPr>
              <w:t>The Board recommends that you vote “FOR” the approval, on a non-binding advisory basis, of the fiscal 2025 compensation paid to the Company’s named executive officers.</w:t>
            </w:r>
          </w:p>
        </w:tc>
        <w:tc>
          <w:tcPr>
            <w:tcW w:w="373"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63525"/>
                <wp:effectExtent l="0" t="0" r="0" b="0"/>
                <wp:wrapNone/>
                <wp:docPr id="340" name="Frame54"/>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341"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238" descr=""/>
                                          <pic:cNvPicPr>
                                            <a:picLocks noChangeAspect="1" noChangeArrowheads="1"/>
                                          </pic:cNvPicPr>
                                        </pic:nvPicPr>
                                        <pic:blipFill>
                                          <a:blip r:embed="rId288"/>
                                          <a:stretch>
                                            <a:fillRect/>
                                          </a:stretch>
                                        </pic:blipFill>
                                        <pic:spPr bwMode="auto">
                                          <a:xfrm>
                                            <a:off x="0" y="0"/>
                                            <a:ext cx="266700" cy="200025"/>
                                          </a:xfrm>
                                          <a:prstGeom prst="rect">
                                            <a:avLst/>
                                          </a:prstGeom>
                                        </pic:spPr>
                                      </pic:pic>
                                    </a:graphicData>
                                  </a:graphic>
                                </wp:inline>
                              </w:drawing>
                            </w:r>
                            <w:bookmarkStart w:id="287" w:name="i-238"/>
                            <w:bookmarkEnd w:id="287"/>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342"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238" descr=""/>
                                    <pic:cNvPicPr>
                                      <a:picLocks noChangeAspect="1" noChangeArrowheads="1"/>
                                    </pic:cNvPicPr>
                                  </pic:nvPicPr>
                                  <pic:blipFill>
                                    <a:blip r:embed="rId289"/>
                                    <a:stretch>
                                      <a:fillRect/>
                                    </a:stretch>
                                  </pic:blipFill>
                                  <pic:spPr bwMode="auto">
                                    <a:xfrm>
                                      <a:off x="0" y="0"/>
                                      <a:ext cx="266700" cy="200025"/>
                                    </a:xfrm>
                                    <a:prstGeom prst="rect">
                                      <a:avLst/>
                                    </a:prstGeom>
                                  </pic:spPr>
                                </pic:pic>
                              </a:graphicData>
                            </a:graphic>
                          </wp:inline>
                        </w:drawing>
                      </w:r>
                      <w:bookmarkStart w:id="288" w:name="i-238"/>
                      <w:bookmarkEnd w:id="288"/>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49</w:t>
            </w:r>
          </w:p>
        </w:tc>
      </w:tr>
    </w:tbl>
    <w:p>
      <w:pPr>
        <w:pStyle w:val="TextBody"/>
        <w:bidi w:val="0"/>
        <w:spacing w:lineRule="auto" w:line="288" w:before="0" w:after="720"/>
        <w:jc w:val="left"/>
        <w:rPr>
          <w:rFonts w:ascii="Roboto;sans-serif" w:hAnsi="Roboto;sans-serif"/>
          <w:b/>
          <w:color w:val="1946C8"/>
          <w:sz w:val="54"/>
        </w:rPr>
      </w:pPr>
      <w:r>
        <w:rPr>
          <w:rFonts w:ascii="Roboto;sans-serif" w:hAnsi="Roboto;sans-serif"/>
          <w:b/>
          <w:color w:val="1946C8"/>
          <w:sz w:val="54"/>
        </w:rPr>
        <w:t>Compensation Discussion and Analysis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This Compensation Discussion and Analysis describes our executive compensation program, including how the Compensation Committee (referred to as the “Committee” in this section) assessed performance and made compensation decisions for the fiscal year ended January 31, 2026 (also referred to in this section as 2025). </w:t>
      </w:r>
    </w:p>
    <w:p>
      <w:pPr>
        <w:pStyle w:val="TextBody"/>
        <w:bidi w:val="0"/>
        <w:spacing w:lineRule="auto" w:line="288" w:before="0" w:after="120"/>
        <w:jc w:val="left"/>
        <w:rPr>
          <w:rFonts w:ascii="Roboto;sans-serif" w:hAnsi="Roboto;sans-serif"/>
          <w:b/>
          <w:color w:val="1946C8"/>
          <w:sz w:val="24"/>
        </w:rPr>
      </w:pPr>
      <w:r>
        <w:rPr>
          <w:rFonts w:ascii="Roboto;sans-serif" w:hAnsi="Roboto;sans-serif"/>
          <w:b/>
          <w:color w:val="1946C8"/>
          <w:sz w:val="24"/>
        </w:rPr>
        <w:t>Named Executive Officers</w:t>
      </w:r>
    </w:p>
    <w:p>
      <w:pPr>
        <w:pStyle w:val="TextBody"/>
        <w:bidi w:val="0"/>
        <w:spacing w:lineRule="atLeast" w:line="240" w:before="0" w:after="120"/>
        <w:jc w:val="left"/>
        <w:rPr>
          <w:rFonts w:ascii="Roboto Light;sans-serif" w:hAnsi="Roboto Light;sans-serif"/>
          <w:b w:val="false"/>
          <w:color w:val="000000"/>
          <w:sz w:val="18"/>
        </w:rPr>
      </w:pPr>
      <w:r>
        <w:rPr>
          <w:rFonts w:ascii="Roboto Light;sans-serif" w:hAnsi="Roboto Light;sans-serif"/>
          <w:b w:val="false"/>
          <w:color w:val="000000"/>
          <w:sz w:val="18"/>
        </w:rPr>
        <w:t>Our Named Executive Officers (or “NEOs”) for 2025, which include all individuals who served as our executive officers during 2025, are:</w:t>
      </w:r>
    </w:p>
    <w:tbl>
      <w:tblPr>
        <w:tblW w:w="7378" w:type="dxa"/>
        <w:jc w:val="left"/>
        <w:tblInd w:w="0" w:type="dxa"/>
        <w:tblLayout w:type="fixed"/>
        <w:tblCellMar>
          <w:top w:w="28" w:type="dxa"/>
          <w:left w:w="28" w:type="dxa"/>
          <w:bottom w:w="28" w:type="dxa"/>
          <w:right w:w="28" w:type="dxa"/>
        </w:tblCellMar>
      </w:tblPr>
      <w:tblGrid>
        <w:gridCol w:w="563"/>
        <w:gridCol w:w="496"/>
        <w:gridCol w:w="500"/>
        <w:gridCol w:w="1699"/>
        <w:gridCol w:w="1699"/>
        <w:gridCol w:w="2421"/>
      </w:tblGrid>
      <w:tr>
        <w:trPr/>
        <w:tc>
          <w:tcPr>
            <w:tcW w:w="56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FFFFFF"/>
                <w:sz w:val="16"/>
              </w:rPr>
            </w:pPr>
            <w:r>
              <w:rPr>
                <w:rFonts w:ascii="Roboto;sans-serif" w:hAnsi="Roboto;sans-serif"/>
                <w:b/>
                <w:color w:val="FFFFFF"/>
                <w:sz w:val="16"/>
              </w:rPr>
              <w:t>Name</w:t>
            </w:r>
          </w:p>
        </w:tc>
        <w:tc>
          <w:tcPr>
            <w:tcW w:w="5819"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FFFFFF"/>
                <w:sz w:val="16"/>
              </w:rPr>
            </w:pPr>
            <w:r>
              <w:rPr>
                <w:rFonts w:ascii="Roboto;sans-serif" w:hAnsi="Roboto;sans-serif"/>
                <w:b/>
                <w:color w:val="FFFFFF"/>
                <w:sz w:val="16"/>
              </w:rPr>
              <w:t>Title</w:t>
            </w:r>
          </w:p>
        </w:tc>
      </w:tr>
      <w:tr>
        <w:trPr/>
        <w:tc>
          <w:tcPr>
            <w:tcW w:w="1559"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000000"/>
                <w:sz w:val="16"/>
              </w:rPr>
            </w:pPr>
            <w:r>
              <w:rPr>
                <w:rFonts w:ascii="Roboto;sans-serif" w:hAnsi="Roboto;sans-serif"/>
                <w:b/>
                <w:color w:val="000000"/>
                <w:sz w:val="16"/>
              </w:rPr>
              <w:t>Steve Lawrence</w:t>
            </w:r>
          </w:p>
        </w:tc>
        <w:tc>
          <w:tcPr>
            <w:tcW w:w="5819"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Chief Executive Officer (“CEO”)</w:t>
            </w:r>
          </w:p>
        </w:tc>
      </w:tr>
      <w:tr>
        <w:trPr/>
        <w:tc>
          <w:tcPr>
            <w:tcW w:w="155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000000"/>
                <w:sz w:val="16"/>
              </w:rPr>
            </w:pPr>
            <w:r>
              <w:rPr>
                <w:rFonts w:ascii="Roboto;sans-serif" w:hAnsi="Roboto;sans-serif"/>
                <w:b/>
                <w:color w:val="000000"/>
                <w:sz w:val="16"/>
              </w:rPr>
              <w:t>Sam Johnson</w:t>
            </w:r>
          </w:p>
        </w:tc>
        <w:tc>
          <w:tcPr>
            <w:tcW w:w="581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President</w:t>
            </w:r>
          </w:p>
        </w:tc>
      </w:tr>
      <w:tr>
        <w:trPr/>
        <w:tc>
          <w:tcPr>
            <w:tcW w:w="1559"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000000"/>
                <w:sz w:val="16"/>
              </w:rPr>
            </w:pPr>
            <w:r>
              <w:rPr>
                <w:rFonts w:ascii="Roboto;sans-serif" w:hAnsi="Roboto;sans-serif"/>
                <w:b/>
                <w:color w:val="000000"/>
                <w:sz w:val="16"/>
              </w:rPr>
              <w:t>Carl Ford</w:t>
            </w:r>
          </w:p>
        </w:tc>
        <w:tc>
          <w:tcPr>
            <w:tcW w:w="5819"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Executive Vice President (“EVP”) and Chief Financial Officer (“CFO”)</w:t>
            </w:r>
          </w:p>
        </w:tc>
      </w:tr>
      <w:tr>
        <w:trPr/>
        <w:tc>
          <w:tcPr>
            <w:tcW w:w="1559" w:type="dxa"/>
            <w:gridSpan w:val="3"/>
            <w:tcBorders>
              <w:bottom w:val="single" w:sz="8" w:space="0" w:color="E81111"/>
            </w:tcBorders>
            <w:shd w:fill="FFFFFF" w:val="clear"/>
            <w:tcMar>
              <w:top w:w="0" w:type="dxa"/>
              <w:left w:w="0" w:type="dxa"/>
              <w:bottom w:w="30" w:type="dxa"/>
              <w:right w:w="0" w:type="dxa"/>
            </w:tcMar>
            <w:vAlign w:val="center"/>
          </w:tcPr>
          <w:p>
            <w:pPr>
              <w:pStyle w:val="TableContents"/>
              <w:bidi w:val="0"/>
              <w:spacing w:lineRule="auto" w:line="312" w:before="0" w:after="0"/>
              <w:jc w:val="left"/>
              <w:rPr>
                <w:rFonts w:ascii="Roboto;sans-serif" w:hAnsi="Roboto;sans-serif"/>
                <w:b/>
                <w:color w:val="000000"/>
                <w:sz w:val="16"/>
              </w:rPr>
            </w:pPr>
            <w:r>
              <w:rPr>
                <w:rFonts w:ascii="Roboto;sans-serif" w:hAnsi="Roboto;sans-serif"/>
                <w:b/>
                <w:color w:val="000000"/>
                <w:sz w:val="16"/>
              </w:rPr>
              <w:t>Matt McCabe</w:t>
            </w:r>
          </w:p>
        </w:tc>
        <w:tc>
          <w:tcPr>
            <w:tcW w:w="5819" w:type="dxa"/>
            <w:gridSpan w:val="3"/>
            <w:tcBorders>
              <w:bottom w:val="single" w:sz="8"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EVP and Chief Merchandising Officer (“CMO”)</w:t>
            </w:r>
          </w:p>
        </w:tc>
      </w:tr>
    </w:tbl>
    <w:p>
      <w:pPr>
        <w:pStyle w:val="TextBody"/>
        <w:bidi w:val="0"/>
        <w:spacing w:before="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63525"/>
                <wp:effectExtent l="0" t="0" r="0" b="0"/>
                <wp:wrapNone/>
                <wp:docPr id="343" name="Frame55"/>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344"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239" descr=""/>
                                          <pic:cNvPicPr>
                                            <a:picLocks noChangeAspect="1" noChangeArrowheads="1"/>
                                          </pic:cNvPicPr>
                                        </pic:nvPicPr>
                                        <pic:blipFill>
                                          <a:blip r:embed="rId290"/>
                                          <a:stretch>
                                            <a:fillRect/>
                                          </a:stretch>
                                        </pic:blipFill>
                                        <pic:spPr bwMode="auto">
                                          <a:xfrm>
                                            <a:off x="0" y="0"/>
                                            <a:ext cx="266700" cy="200025"/>
                                          </a:xfrm>
                                          <a:prstGeom prst="rect">
                                            <a:avLst/>
                                          </a:prstGeom>
                                        </pic:spPr>
                                      </pic:pic>
                                    </a:graphicData>
                                  </a:graphic>
                                </wp:inline>
                              </w:drawing>
                            </w:r>
                            <w:bookmarkStart w:id="289" w:name="i-239"/>
                            <w:bookmarkEnd w:id="289"/>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345"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239" descr=""/>
                                    <pic:cNvPicPr>
                                      <a:picLocks noChangeAspect="1" noChangeArrowheads="1"/>
                                    </pic:cNvPicPr>
                                  </pic:nvPicPr>
                                  <pic:blipFill>
                                    <a:blip r:embed="rId291"/>
                                    <a:stretch>
                                      <a:fillRect/>
                                    </a:stretch>
                                  </pic:blipFill>
                                  <pic:spPr bwMode="auto">
                                    <a:xfrm>
                                      <a:off x="0" y="0"/>
                                      <a:ext cx="266700" cy="200025"/>
                                    </a:xfrm>
                                    <a:prstGeom prst="rect">
                                      <a:avLst/>
                                    </a:prstGeom>
                                  </pic:spPr>
                                </pic:pic>
                              </a:graphicData>
                            </a:graphic>
                          </wp:inline>
                        </w:drawing>
                      </w:r>
                      <w:bookmarkStart w:id="290" w:name="i-239"/>
                      <w:bookmarkEnd w:id="290"/>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p>
      <w:pPr>
        <w:pStyle w:val="TextBody"/>
        <w:bidi w:val="0"/>
        <w:spacing w:lineRule="auto" w:line="312" w:before="0" w:after="60"/>
        <w:jc w:val="left"/>
        <w:rPr>
          <w:rFonts w:ascii="Roboto;sans-serif" w:hAnsi="Roboto;sans-serif"/>
          <w:b/>
          <w:color w:val="1946C8"/>
          <w:sz w:val="24"/>
        </w:rPr>
      </w:pPr>
      <w:r>
        <w:rPr>
          <w:rFonts w:ascii="Roboto;sans-serif" w:hAnsi="Roboto;sans-serif"/>
          <w:b/>
          <w:color w:val="1946C8"/>
          <w:sz w:val="24"/>
        </w:rPr>
        <w:t>2025 Business Results Summary</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Despite a dynamic and highly competitive retail environment, Academy delivered meaningful progress in 2025. We returned to topline revenue growth for the first time in three years, advanced key strategic priorities, and strengthened our operational foundation. At the same time, we continued to invest in long</w:t>
        <w:noBreakHyphen/>
        <w:t>term growth. We opened 24 new stores, while returning significant value, $234 million, to stockholders. However, our overall financial results fell short of our ambitious goals. As a result, the payouts under our annual bonus plan came in at 75.7% of target. Below are certain performance highlights for the year.</w:t>
      </w:r>
    </w:p>
    <w:tbl>
      <w:tblPr>
        <w:tblW w:w="484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159"/>
        <w:gridCol w:w="1159"/>
        <w:gridCol w:w="116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vMerge w:val="restart"/>
            <w:tcBorders/>
            <w:shd w:fill="1946C8"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FFFFFF"/>
                <w:sz w:val="16"/>
              </w:rPr>
            </w:pPr>
            <w:r>
              <w:rPr>
                <w:rFonts w:ascii="Roboto;sans-serif" w:hAnsi="Roboto;sans-serif"/>
                <w:b/>
                <w:color w:val="FFFFFF"/>
                <w:sz w:val="16"/>
              </w:rPr>
              <w:t>ADJUSTED (“ADJ.”) EBIT MARGIN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27"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4" w:type="dxa"/>
            <w:gridSpan w:val="9"/>
            <w:tcBorders/>
            <w:shd w:fill="FFFFFF" w:val="clear"/>
            <w:tcMar>
              <w:top w:w="0" w:type="dxa"/>
              <w:left w:w="0" w:type="dxa"/>
              <w:bottom w:w="0" w:type="dxa"/>
              <w:right w:w="0" w:type="dxa"/>
            </w:tcMar>
            <w:vAlign w:val="center"/>
          </w:tcPr>
          <w:p>
            <w:pPr>
              <w:pStyle w:val="TableContents"/>
              <w:bidi w:val="0"/>
              <w:spacing w:lineRule="atLeast" w:line="480" w:before="0" w:after="0"/>
              <w:jc w:val="center"/>
              <w:rPr>
                <w:rFonts w:ascii="Roboto;sans-serif" w:hAnsi="Roboto;sans-serif"/>
                <w:b/>
                <w:color w:val="1946C8"/>
                <w:sz w:val="48"/>
              </w:rPr>
            </w:pPr>
            <w:r>
              <w:rPr>
                <w:rFonts w:ascii="Roboto;sans-serif" w:hAnsi="Roboto;sans-serif"/>
                <w:b/>
                <w:color w:val="1946C8"/>
                <w:sz w:val="48"/>
              </w:rPr>
              <w:t>9.0%</w:t>
            </w:r>
          </w:p>
          <w:p>
            <w:pPr>
              <w:pStyle w:val="TableContents"/>
              <w:bidi w:val="0"/>
              <w:spacing w:lineRule="atLeast" w:line="160" w:before="0" w:after="0"/>
              <w:jc w:val="center"/>
              <w:rPr>
                <w:rFonts w:ascii="Roboto;sans-serif" w:hAnsi="Roboto;sans-serif"/>
                <w:b/>
                <w:color w:val="1946C8"/>
                <w:sz w:val="16"/>
              </w:rPr>
            </w:pPr>
            <w:r>
              <w:rPr>
                <w:rFonts w:ascii="Roboto;sans-serif" w:hAnsi="Roboto;sans-serif"/>
                <w:b/>
                <w:color w:val="1946C8"/>
                <w:sz w:val="16"/>
              </w:rPr>
              <w:t>10.1% in 2024</w:t>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800" w:type="dxa"/>
        <w:jc w:val="left"/>
        <w:tblInd w:w="0" w:type="dxa"/>
        <w:tblLayout w:type="fixed"/>
        <w:tblCellMar>
          <w:top w:w="28" w:type="dxa"/>
          <w:left w:w="28" w:type="dxa"/>
          <w:bottom w:w="28" w:type="dxa"/>
          <w:right w:w="28" w:type="dxa"/>
        </w:tblCellMar>
      </w:tblPr>
      <w:tblGrid>
        <w:gridCol w:w="124"/>
        <w:gridCol w:w="109"/>
        <w:gridCol w:w="109"/>
        <w:gridCol w:w="157"/>
        <w:gridCol w:w="157"/>
        <w:gridCol w:w="157"/>
        <w:gridCol w:w="379"/>
        <w:gridCol w:w="379"/>
        <w:gridCol w:w="381"/>
        <w:gridCol w:w="157"/>
        <w:gridCol w:w="157"/>
        <w:gridCol w:w="16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restart"/>
            <w:tcBorders/>
            <w:shd w:fill="1946C8"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6"/>
              </w:rPr>
            </w:pPr>
            <w:r>
              <w:rPr>
                <w:rFonts w:ascii="Roboto;sans-serif" w:hAnsi="Roboto;sans-serif"/>
                <w:b/>
                <w:color w:val="FFFFFF"/>
                <w:sz w:val="16"/>
              </w:rPr>
              <w:t>NET SALES</w:t>
            </w:r>
          </w:p>
        </w:tc>
        <w:tc>
          <w:tcPr>
            <w:tcW w:w="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476"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9"/>
            <w:tcBorders/>
            <w:shd w:fill="FFFFFF" w:val="clear"/>
            <w:tcMar>
              <w:top w:w="0" w:type="dxa"/>
              <w:left w:w="0" w:type="dxa"/>
              <w:bottom w:w="0" w:type="dxa"/>
              <w:right w:w="0" w:type="dxa"/>
            </w:tcMar>
            <w:vAlign w:val="center"/>
          </w:tcPr>
          <w:p>
            <w:pPr>
              <w:pStyle w:val="TableContents"/>
              <w:bidi w:val="0"/>
              <w:spacing w:lineRule="atLeast" w:line="480" w:before="0" w:after="0"/>
              <w:jc w:val="center"/>
              <w:rPr>
                <w:rFonts w:ascii="Roboto;sans-serif" w:hAnsi="Roboto;sans-serif"/>
                <w:b/>
                <w:color w:val="1946C8"/>
                <w:sz w:val="48"/>
              </w:rPr>
            </w:pPr>
            <w:r>
              <w:rPr>
                <w:rFonts w:ascii="Roboto;sans-serif" w:hAnsi="Roboto;sans-serif"/>
                <w:b/>
                <w:color w:val="1946C8"/>
                <w:sz w:val="48"/>
              </w:rPr>
              <w:t>$6.05B</w:t>
            </w:r>
          </w:p>
          <w:p>
            <w:pPr>
              <w:pStyle w:val="TableContents"/>
              <w:bidi w:val="0"/>
              <w:spacing w:lineRule="atLeast" w:line="160" w:before="0" w:after="0"/>
              <w:jc w:val="center"/>
              <w:rPr>
                <w:rFonts w:ascii="Roboto;sans-serif" w:hAnsi="Roboto;sans-serif"/>
                <w:b/>
                <w:color w:val="1946C8"/>
                <w:sz w:val="16"/>
              </w:rPr>
            </w:pPr>
            <w:r>
              <w:rPr>
                <w:rFonts w:ascii="Roboto;sans-serif" w:hAnsi="Roboto;sans-serif"/>
                <w:b/>
                <w:color w:val="1946C8"/>
                <w:sz w:val="16"/>
              </w:rPr>
              <w:t>+2.0% vs. 2024</w:t>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5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44"/>
        <w:gridCol w:w="1044"/>
        <w:gridCol w:w="104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vMerge w:val="restart"/>
            <w:tcBorders/>
            <w:shd w:fill="1946C8"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6"/>
              </w:rPr>
            </w:pPr>
            <w:r>
              <w:rPr>
                <w:rFonts w:ascii="Roboto;sans-serif" w:hAnsi="Roboto;sans-serif"/>
                <w:b/>
                <w:color w:val="FFFFFF"/>
                <w:sz w:val="16"/>
              </w:rPr>
              <w:t>RETURN ON INVESTED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27"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bidi w:val="0"/>
              <w:spacing w:lineRule="atLeast" w:line="480" w:before="0" w:after="0"/>
              <w:jc w:val="center"/>
              <w:rPr>
                <w:rFonts w:ascii="Roboto;sans-serif" w:hAnsi="Roboto;sans-serif"/>
                <w:b/>
                <w:color w:val="1946C8"/>
                <w:sz w:val="48"/>
              </w:rPr>
            </w:pPr>
            <w:r>
              <w:rPr>
                <w:rFonts w:ascii="Roboto;sans-serif" w:hAnsi="Roboto;sans-serif"/>
                <w:b/>
                <w:color w:val="1946C8"/>
                <w:sz w:val="48"/>
              </w:rPr>
              <w:t xml:space="preserve">19.8% </w:t>
            </w:r>
          </w:p>
          <w:p>
            <w:pPr>
              <w:pStyle w:val="TableContents"/>
              <w:bidi w:val="0"/>
              <w:spacing w:lineRule="atLeast" w:line="160" w:before="0" w:after="0"/>
              <w:jc w:val="center"/>
              <w:rPr>
                <w:rFonts w:ascii="Roboto;sans-serif" w:hAnsi="Roboto;sans-serif"/>
                <w:b/>
                <w:color w:val="1946C8"/>
                <w:sz w:val="16"/>
              </w:rPr>
            </w:pPr>
            <w:r>
              <w:rPr>
                <w:rFonts w:ascii="Roboto;sans-serif" w:hAnsi="Roboto;sans-serif"/>
                <w:b/>
                <w:color w:val="1946C8"/>
                <w:sz w:val="16"/>
              </w:rPr>
              <w:t>23.0% in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70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44"/>
        <w:gridCol w:w="444"/>
        <w:gridCol w:w="44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vMerge w:val="restart"/>
            <w:tcBorders/>
            <w:shd w:fill="1946C8"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6"/>
              </w:rPr>
            </w:pPr>
            <w:r>
              <w:rPr>
                <w:rFonts w:ascii="Roboto;sans-serif" w:hAnsi="Roboto;sans-serif"/>
                <w:b/>
                <w:color w:val="FFFFFF"/>
                <w:sz w:val="16"/>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27"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9"/>
            <w:tcBorders/>
            <w:shd w:fill="FFFFFF" w:val="clear"/>
            <w:tcMar>
              <w:top w:w="0" w:type="dxa"/>
              <w:left w:w="0" w:type="dxa"/>
              <w:bottom w:w="0" w:type="dxa"/>
              <w:right w:w="0" w:type="dxa"/>
            </w:tcMar>
            <w:vAlign w:val="center"/>
          </w:tcPr>
          <w:p>
            <w:pPr>
              <w:pStyle w:val="TableContents"/>
              <w:bidi w:val="0"/>
              <w:spacing w:lineRule="atLeast" w:line="480" w:before="0" w:after="0"/>
              <w:jc w:val="center"/>
              <w:rPr>
                <w:rFonts w:ascii="Roboto;sans-serif" w:hAnsi="Roboto;sans-serif"/>
                <w:b/>
                <w:color w:val="1946C8"/>
                <w:sz w:val="48"/>
              </w:rPr>
            </w:pPr>
            <w:r>
              <w:rPr>
                <w:rFonts w:ascii="Roboto;sans-serif" w:hAnsi="Roboto;sans-serif"/>
                <w:b/>
                <w:color w:val="1946C8"/>
                <w:sz w:val="48"/>
              </w:rPr>
              <w:t xml:space="preserve">$5.54 </w:t>
            </w:r>
          </w:p>
          <w:p>
            <w:pPr>
              <w:pStyle w:val="TableContents"/>
              <w:bidi w:val="0"/>
              <w:spacing w:lineRule="atLeast" w:line="160" w:before="0" w:after="0"/>
              <w:jc w:val="center"/>
              <w:rPr>
                <w:rFonts w:ascii="Roboto;sans-serif" w:hAnsi="Roboto;sans-serif"/>
                <w:b/>
                <w:color w:val="1946C8"/>
                <w:sz w:val="16"/>
              </w:rPr>
            </w:pPr>
            <w:r>
              <w:rPr>
                <w:rFonts w:ascii="Roboto;sans-serif" w:hAnsi="Roboto;sans-serif"/>
                <w:b/>
                <w:color w:val="1946C8"/>
                <w:sz w:val="16"/>
              </w:rPr>
              <w:t>$5.73 in 2024</w:t>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79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89"/>
        <w:gridCol w:w="589"/>
        <w:gridCol w:w="591"/>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shd w:fill="1946C8"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6"/>
              </w:rPr>
            </w:pPr>
            <w:r>
              <w:rPr>
                <w:rFonts w:ascii="Roboto;sans-serif" w:hAnsi="Roboto;sans-serif"/>
                <w:b/>
                <w:color w:val="FFFFFF"/>
                <w:sz w:val="16"/>
              </w:rPr>
              <w:t>GROSS MARGIN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27"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shd w:fill="FFFFFF" w:val="clear"/>
            <w:tcMar>
              <w:top w:w="0" w:type="dxa"/>
              <w:left w:w="0" w:type="dxa"/>
              <w:bottom w:w="0" w:type="dxa"/>
              <w:right w:w="0" w:type="dxa"/>
            </w:tcMar>
            <w:vAlign w:val="center"/>
          </w:tcPr>
          <w:p>
            <w:pPr>
              <w:pStyle w:val="TableContents"/>
              <w:bidi w:val="0"/>
              <w:spacing w:lineRule="atLeast" w:line="480" w:before="0" w:after="0"/>
              <w:jc w:val="center"/>
              <w:rPr>
                <w:rFonts w:ascii="Roboto;sans-serif" w:hAnsi="Roboto;sans-serif"/>
                <w:b/>
                <w:color w:val="1946C8"/>
                <w:sz w:val="48"/>
              </w:rPr>
            </w:pPr>
            <w:r>
              <w:rPr>
                <w:rFonts w:ascii="Roboto;sans-serif" w:hAnsi="Roboto;sans-serif"/>
                <w:b/>
                <w:color w:val="1946C8"/>
                <w:sz w:val="48"/>
              </w:rPr>
              <w:t xml:space="preserve">34.8% </w:t>
            </w:r>
          </w:p>
          <w:p>
            <w:pPr>
              <w:pStyle w:val="TableContents"/>
              <w:bidi w:val="0"/>
              <w:spacing w:lineRule="atLeast" w:line="160" w:before="0" w:after="0"/>
              <w:jc w:val="center"/>
              <w:rPr>
                <w:rFonts w:ascii="Roboto;sans-serif" w:hAnsi="Roboto;sans-serif"/>
                <w:b/>
                <w:color w:val="1946C8"/>
                <w:sz w:val="16"/>
              </w:rPr>
            </w:pPr>
            <w:r>
              <w:rPr>
                <w:rFonts w:ascii="Roboto;sans-serif" w:hAnsi="Roboto;sans-serif"/>
                <w:b/>
                <w:color w:val="1946C8"/>
                <w:sz w:val="16"/>
              </w:rPr>
              <w:t>33.9% in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86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99"/>
        <w:gridCol w:w="499"/>
        <w:gridCol w:w="501"/>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shd w:fill="1946C8"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6"/>
              </w:rPr>
            </w:pPr>
            <w:r>
              <w:rPr>
                <w:rFonts w:ascii="Roboto;sans-serif" w:hAnsi="Roboto;sans-serif"/>
                <w:b/>
                <w:color w:val="FFFFFF"/>
                <w:sz w:val="16"/>
              </w:rPr>
              <w:t>NET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27"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9"/>
            <w:tcBorders/>
            <w:shd w:fill="FFFFFF" w:val="clear"/>
            <w:tcMar>
              <w:top w:w="0" w:type="dxa"/>
              <w:left w:w="0" w:type="dxa"/>
              <w:bottom w:w="0" w:type="dxa"/>
              <w:right w:w="0" w:type="dxa"/>
            </w:tcMar>
            <w:vAlign w:val="center"/>
          </w:tcPr>
          <w:p>
            <w:pPr>
              <w:pStyle w:val="TableContents"/>
              <w:bidi w:val="0"/>
              <w:spacing w:lineRule="atLeast" w:line="480" w:before="0" w:after="0"/>
              <w:jc w:val="center"/>
              <w:rPr>
                <w:rFonts w:ascii="Roboto;sans-serif" w:hAnsi="Roboto;sans-serif"/>
                <w:b/>
                <w:color w:val="1946C8"/>
                <w:sz w:val="48"/>
              </w:rPr>
            </w:pPr>
            <w:r>
              <w:rPr>
                <w:rFonts w:ascii="Roboto;sans-serif" w:hAnsi="Roboto;sans-serif"/>
                <w:b/>
                <w:color w:val="1946C8"/>
                <w:sz w:val="48"/>
              </w:rPr>
              <w:t xml:space="preserve">6.2% </w:t>
            </w:r>
          </w:p>
          <w:p>
            <w:pPr>
              <w:pStyle w:val="TableContents"/>
              <w:bidi w:val="0"/>
              <w:spacing w:lineRule="atLeast" w:line="160" w:before="0" w:after="0"/>
              <w:jc w:val="center"/>
              <w:rPr>
                <w:rFonts w:ascii="Roboto;sans-serif" w:hAnsi="Roboto;sans-serif"/>
                <w:b/>
                <w:color w:val="1946C8"/>
                <w:sz w:val="16"/>
              </w:rPr>
            </w:pPr>
            <w:r>
              <w:rPr>
                <w:rFonts w:ascii="Roboto;sans-serif" w:hAnsi="Roboto;sans-serif"/>
                <w:b/>
                <w:color w:val="1946C8"/>
                <w:sz w:val="16"/>
              </w:rPr>
              <w:t>7.1% in 2024</w:t>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47"/>
        <w:gridCol w:w="347"/>
        <w:gridCol w:w="347"/>
        <w:gridCol w:w="2466"/>
        <w:gridCol w:w="2466"/>
        <w:gridCol w:w="2472"/>
        <w:gridCol w:w="347"/>
        <w:gridCol w:w="347"/>
        <w:gridCol w:w="347"/>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4" w:type="dxa"/>
            <w:gridSpan w:val="3"/>
            <w:vMerge w:val="restart"/>
            <w:tcBorders/>
            <w:shd w:fill="1946C8"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6"/>
              </w:rPr>
            </w:pPr>
            <w:r>
              <w:rPr>
                <w:rFonts w:ascii="Roboto;sans-serif" w:hAnsi="Roboto;sans-serif"/>
                <w:b/>
                <w:color w:val="FFFFFF"/>
                <w:sz w:val="16"/>
              </w:rPr>
              <w:t>STOCKHOLDER RETURNS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4"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1041"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4"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6" w:type="dxa"/>
            <w:gridSpan w:val="9"/>
            <w:tcBorders/>
            <w:shd w:fill="FFFFFF" w:val="clear"/>
            <w:tcMar>
              <w:top w:w="0" w:type="dxa"/>
              <w:left w:w="0" w:type="dxa"/>
              <w:bottom w:w="0" w:type="dxa"/>
              <w:right w:w="0" w:type="dxa"/>
            </w:tcMar>
            <w:vAlign w:val="center"/>
          </w:tcPr>
          <w:p>
            <w:pPr>
              <w:pStyle w:val="TableContents"/>
              <w:bidi w:val="0"/>
              <w:spacing w:lineRule="atLeast" w:line="480" w:before="0" w:after="100"/>
              <w:jc w:val="center"/>
              <w:rPr>
                <w:rFonts w:ascii="Roboto;sans-serif" w:hAnsi="Roboto;sans-serif"/>
                <w:b/>
                <w:color w:val="1946C8"/>
                <w:sz w:val="48"/>
              </w:rPr>
            </w:pPr>
            <w:r>
              <w:rPr>
                <w:rFonts w:ascii="Roboto;sans-serif" w:hAnsi="Roboto;sans-serif"/>
                <w:b/>
                <w:color w:val="1946C8"/>
                <w:sz w:val="48"/>
              </w:rPr>
              <w:t xml:space="preserve">$234M </w:t>
            </w:r>
          </w:p>
          <w:p>
            <w:pPr>
              <w:pStyle w:val="TableContents"/>
              <w:bidi w:val="0"/>
              <w:spacing w:lineRule="atLeast" w:line="220" w:before="0" w:after="0"/>
              <w:jc w:val="center"/>
              <w:rPr>
                <w:rFonts w:ascii="Roboto;sans-serif" w:hAnsi="Roboto;sans-serif"/>
                <w:b/>
                <w:color w:val="1946C8"/>
                <w:sz w:val="16"/>
              </w:rPr>
            </w:pPr>
            <w:r>
              <w:rPr>
                <w:rFonts w:ascii="Roboto;sans-serif" w:hAnsi="Roboto;sans-serif"/>
                <w:b/>
                <w:color w:val="1946C8"/>
                <w:sz w:val="16"/>
              </w:rPr>
              <w:t>Returned $234 million to stockholders, which consisted of shares repurchases totaling $199 million and $35 million in dividend payments</w:t>
            </w:r>
          </w:p>
        </w:tc>
        <w:tc>
          <w:tcPr>
            <w:tcW w:w="377"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4"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38" w:type="dxa"/>
        <w:jc w:val="left"/>
        <w:tblInd w:w="0" w:type="dxa"/>
        <w:tblLayout w:type="fixed"/>
        <w:tblCellMar>
          <w:top w:w="28" w:type="dxa"/>
          <w:left w:w="28" w:type="dxa"/>
          <w:bottom w:w="28" w:type="dxa"/>
          <w:right w:w="28" w:type="dxa"/>
        </w:tblCellMar>
      </w:tblPr>
      <w:tblGrid>
        <w:gridCol w:w="124"/>
        <w:gridCol w:w="109"/>
        <w:gridCol w:w="109"/>
        <w:gridCol w:w="253"/>
        <w:gridCol w:w="253"/>
        <w:gridCol w:w="253"/>
        <w:gridCol w:w="1001"/>
        <w:gridCol w:w="1001"/>
        <w:gridCol w:w="1004"/>
        <w:gridCol w:w="253"/>
        <w:gridCol w:w="253"/>
        <w:gridCol w:w="25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vMerge w:val="restart"/>
            <w:tcBorders/>
            <w:shd w:fill="1946C8"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FFFFFF"/>
                <w:sz w:val="16"/>
              </w:rPr>
            </w:pPr>
            <w:r>
              <w:rPr>
                <w:rFonts w:ascii="Roboto;sans-serif" w:hAnsi="Roboto;sans-serif"/>
                <w:b/>
                <w:color w:val="FFFFFF"/>
                <w:sz w:val="16"/>
              </w:rPr>
              <w:t>ECOMMERCE</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759"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4" w:type="dxa"/>
            <w:gridSpan w:val="9"/>
            <w:tcBorders/>
            <w:shd w:fill="FFFFFF" w:val="clear"/>
            <w:tcMar>
              <w:top w:w="0" w:type="dxa"/>
              <w:left w:w="0" w:type="dxa"/>
              <w:bottom w:w="0" w:type="dxa"/>
              <w:right w:w="0" w:type="dxa"/>
            </w:tcMar>
            <w:vAlign w:val="center"/>
          </w:tcPr>
          <w:p>
            <w:pPr>
              <w:pStyle w:val="TableContents"/>
              <w:bidi w:val="0"/>
              <w:spacing w:lineRule="atLeast" w:line="480" w:before="0" w:after="100"/>
              <w:jc w:val="center"/>
              <w:rPr/>
            </w:pPr>
            <w:r>
              <w:rPr>
                <w:rFonts w:ascii="Roboto;sans-serif" w:hAnsi="Roboto;sans-serif"/>
                <w:b/>
                <w:color w:val="1946C8"/>
                <w:sz w:val="48"/>
                <w:shd w:fill="FFFFFF" w:val="clear"/>
              </w:rPr>
              <w:t>11.7</w:t>
            </w:r>
            <w:r>
              <w:rPr>
                <w:rFonts w:ascii="Roboto;sans-serif" w:hAnsi="Roboto;sans-serif"/>
                <w:b/>
                <w:color w:val="1946C8"/>
                <w:sz w:val="48"/>
              </w:rPr>
              <w:t xml:space="preserve">% </w:t>
            </w:r>
          </w:p>
          <w:p>
            <w:pPr>
              <w:pStyle w:val="TableContents"/>
              <w:bidi w:val="0"/>
              <w:spacing w:lineRule="atLeast" w:line="220" w:before="0" w:after="0"/>
              <w:jc w:val="center"/>
              <w:rPr>
                <w:rFonts w:ascii="Roboto;sans-serif" w:hAnsi="Roboto;sans-serif"/>
                <w:b/>
                <w:color w:val="1946C8"/>
                <w:sz w:val="16"/>
              </w:rPr>
            </w:pPr>
            <w:r>
              <w:rPr>
                <w:rFonts w:ascii="Roboto;sans-serif" w:hAnsi="Roboto;sans-serif"/>
                <w:b/>
                <w:color w:val="1946C8"/>
                <w:sz w:val="16"/>
              </w:rPr>
              <w:t>eCommerce penetration was 11.7% of net sales</w:t>
            </w:r>
          </w:p>
          <w:p>
            <w:pPr>
              <w:pStyle w:val="TableContents"/>
              <w:bidi w:val="0"/>
              <w:spacing w:lineRule="atLeast" w:line="220" w:before="0" w:after="0"/>
              <w:jc w:val="center"/>
              <w:rPr>
                <w:rFonts w:ascii="Roboto;sans-serif" w:hAnsi="Roboto;sans-serif"/>
                <w:b/>
                <w:color w:val="1946C8"/>
                <w:sz w:val="16"/>
              </w:rPr>
            </w:pPr>
            <w:r>
              <w:rPr>
                <w:rFonts w:ascii="Roboto;sans-serif" w:hAnsi="Roboto;sans-serif"/>
                <w:b/>
                <w:color w:val="1946C8"/>
                <w:sz w:val="16"/>
              </w:rPr>
              <w:t>(10.5% in 2024)</w:t>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6D0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120" w:after="360"/>
        <w:jc w:val="left"/>
        <w:rPr/>
      </w:pPr>
      <w:r>
        <w:rPr>
          <w:rFonts w:ascii="Roboto Light;sans-serif" w:hAnsi="Roboto Light;sans-serif"/>
          <w:b w:val="false"/>
          <w:i/>
          <w:color w:val="000000"/>
          <w:sz w:val="16"/>
        </w:rPr>
        <w:t>* Adj. EBIT Margin % and Return On Invested Capital (or ROIC) are non-GAAP financial measures.</w:t>
      </w:r>
      <w:r>
        <w:rPr>
          <w:color w:val="000000"/>
        </w:rPr>
        <w:t xml:space="preserve"> </w:t>
      </w:r>
      <w:r>
        <w:rPr>
          <w:rFonts w:ascii="Roboto Light;sans-serif" w:hAnsi="Roboto Light;sans-serif"/>
          <w:b w:val="false"/>
          <w:i/>
          <w:color w:val="000000"/>
          <w:sz w:val="16"/>
        </w:rPr>
        <w:t>See “Annex A - Reconciliations of GAAP to Non-GAAP Financial Measures” below for reconciliations of non-GAAP financial measures used in this Proxy Statement, including this Compensation Discussion &amp; Analysis, to their most directly comparable GAAP financial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63525"/>
                <wp:effectExtent l="0" t="0" r="0" b="0"/>
                <wp:wrapNone/>
                <wp:docPr id="346" name="Frame56"/>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347"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240" descr=""/>
                                          <pic:cNvPicPr>
                                            <a:picLocks noChangeAspect="1" noChangeArrowheads="1"/>
                                          </pic:cNvPicPr>
                                        </pic:nvPicPr>
                                        <pic:blipFill>
                                          <a:blip r:embed="rId292"/>
                                          <a:stretch>
                                            <a:fillRect/>
                                          </a:stretch>
                                        </pic:blipFill>
                                        <pic:spPr bwMode="auto">
                                          <a:xfrm>
                                            <a:off x="0" y="0"/>
                                            <a:ext cx="266700" cy="200025"/>
                                          </a:xfrm>
                                          <a:prstGeom prst="rect">
                                            <a:avLst/>
                                          </a:prstGeom>
                                        </pic:spPr>
                                      </pic:pic>
                                    </a:graphicData>
                                  </a:graphic>
                                </wp:inline>
                              </w:drawing>
                            </w:r>
                            <w:bookmarkStart w:id="291" w:name="i-240"/>
                            <w:bookmarkEnd w:id="291"/>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348"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240" descr=""/>
                                    <pic:cNvPicPr>
                                      <a:picLocks noChangeAspect="1" noChangeArrowheads="1"/>
                                    </pic:cNvPicPr>
                                  </pic:nvPicPr>
                                  <pic:blipFill>
                                    <a:blip r:embed="rId293"/>
                                    <a:stretch>
                                      <a:fillRect/>
                                    </a:stretch>
                                  </pic:blipFill>
                                  <pic:spPr bwMode="auto">
                                    <a:xfrm>
                                      <a:off x="0" y="0"/>
                                      <a:ext cx="266700" cy="200025"/>
                                    </a:xfrm>
                                    <a:prstGeom prst="rect">
                                      <a:avLst/>
                                    </a:prstGeom>
                                  </pic:spPr>
                                </pic:pic>
                              </a:graphicData>
                            </a:graphic>
                          </wp:inline>
                        </w:drawing>
                      </w:r>
                      <w:bookmarkStart w:id="292" w:name="i-240"/>
                      <w:bookmarkEnd w:id="292"/>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51</w:t>
            </w:r>
          </w:p>
        </w:tc>
      </w:tr>
    </w:tbl>
    <w:p>
      <w:pPr>
        <w:pStyle w:val="TextBody"/>
        <w:bidi w:val="0"/>
        <w:spacing w:lineRule="atLeast" w:line="240" w:before="120" w:after="360"/>
        <w:jc w:val="left"/>
        <w:rPr>
          <w:rFonts w:ascii="Roboto;sans-serif" w:hAnsi="Roboto;sans-serif"/>
          <w:b/>
          <w:color w:val="1946C8"/>
          <w:sz w:val="24"/>
        </w:rPr>
      </w:pPr>
      <w:r>
        <w:rPr>
          <w:rFonts w:ascii="Roboto;sans-serif" w:hAnsi="Roboto;sans-serif"/>
          <w:b/>
          <w:color w:val="1946C8"/>
          <w:sz w:val="24"/>
        </w:rPr>
        <w:t>2025 Compensation Highlights</w:t>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Base Salary</w:t>
      </w:r>
    </w:p>
    <w:p>
      <w:pPr>
        <w:pStyle w:val="TextBody"/>
        <w:bidi w:val="0"/>
        <w:spacing w:lineRule="auto" w:line="288" w:before="0" w:after="240"/>
        <w:ind w:left="0" w:right="0" w:hanging="288"/>
        <w:jc w:val="left"/>
        <w:rPr/>
      </w:pPr>
      <w:r>
        <w:rPr>
          <w:color w:val="000000"/>
        </w:rPr>
        <w:t>•</w:t>
      </w:r>
      <w:r>
        <w:rPr>
          <w:rFonts w:ascii="Roboto Light;sans-serif" w:hAnsi="Roboto Light;sans-serif"/>
          <w:b w:val="false"/>
          <w:color w:val="000000"/>
          <w:sz w:val="18"/>
        </w:rPr>
        <w:t xml:space="preserve">In March 2025, in consultation with FW Cook, the Committee undertook a review of the total annual compensation opportunities for our NEOs. As a result of the review, the Committee approved increases to the base salaries of each of Messrs. Lawrence, Johnson, Ford, and McCabe by 3.3%, 3.0%, 4.8%, and 4.8%, respectively, to provide each NEO with a market-competitive package designed to reward strong performance and retain their services for the Company’s long-term growth. </w:t>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Annual Cash Incentives</w:t>
      </w:r>
    </w:p>
    <w:p>
      <w:pPr>
        <w:pStyle w:val="TextBody"/>
        <w:bidi w:val="0"/>
        <w:spacing w:lineRule="auto" w:line="288" w:before="0" w:after="120"/>
        <w:ind w:left="0" w:right="0" w:hanging="288"/>
        <w:jc w:val="left"/>
        <w:rPr/>
      </w:pPr>
      <w:r>
        <w:rPr>
          <w:color w:val="000000"/>
        </w:rPr>
        <w:t>•</w:t>
      </w:r>
      <w:r>
        <w:rPr>
          <w:rFonts w:ascii="Roboto Light;sans-serif" w:hAnsi="Roboto Light;sans-serif"/>
          <w:b w:val="false"/>
          <w:color w:val="000000"/>
          <w:sz w:val="18"/>
        </w:rPr>
        <w:t>In 2025, we achieved the following financial annual incentive metrics results:</w:t>
      </w:r>
    </w:p>
    <w:p>
      <w:pPr>
        <w:pStyle w:val="TextBody"/>
        <w:bidi w:val="0"/>
        <w:spacing w:lineRule="auto" w:line="288" w:before="0" w:after="120"/>
        <w:ind w:left="0" w:right="0" w:hanging="288"/>
        <w:jc w:val="left"/>
        <w:rPr/>
      </w:pPr>
      <w:r>
        <w:rPr>
          <w:color w:val="000000"/>
        </w:rPr>
        <w:t>◦</w:t>
      </w:r>
      <w:r>
        <w:rPr>
          <w:rFonts w:ascii="Roboto Light;sans-serif" w:hAnsi="Roboto Light;sans-serif"/>
          <w:b w:val="false"/>
          <w:color w:val="000000"/>
          <w:sz w:val="18"/>
        </w:rPr>
        <w:t>94.0% of target Company Adjusted EBIT (“Adj. EBIT”), and</w:t>
      </w:r>
    </w:p>
    <w:p>
      <w:pPr>
        <w:pStyle w:val="TextBody"/>
        <w:bidi w:val="0"/>
        <w:spacing w:lineRule="auto" w:line="288" w:before="0" w:after="120"/>
        <w:ind w:left="0" w:right="0" w:hanging="288"/>
        <w:jc w:val="left"/>
        <w:rPr/>
      </w:pPr>
      <w:r>
        <w:rPr>
          <w:color w:val="000000"/>
        </w:rPr>
        <w:t>◦</w:t>
      </w:r>
      <w:r>
        <w:rPr>
          <w:rFonts w:ascii="Roboto Light;sans-serif" w:hAnsi="Roboto Light;sans-serif"/>
          <w:b w:val="false"/>
          <w:color w:val="000000"/>
          <w:sz w:val="18"/>
        </w:rPr>
        <w:t>95.2% of target Company net sales.</w:t>
      </w:r>
    </w:p>
    <w:p>
      <w:pPr>
        <w:pStyle w:val="TextBody"/>
        <w:bidi w:val="0"/>
        <w:spacing w:lineRule="auto" w:line="288" w:before="0" w:after="240"/>
        <w:ind w:left="0" w:right="0" w:hanging="288"/>
        <w:jc w:val="left"/>
        <w:rPr/>
      </w:pPr>
      <w:r>
        <w:rPr>
          <w:color w:val="000000"/>
        </w:rPr>
        <w:t>•</w:t>
      </w:r>
      <w:r>
        <w:rPr>
          <w:rFonts w:ascii="Roboto Light;sans-serif" w:hAnsi="Roboto Light;sans-serif"/>
          <w:b w:val="false"/>
          <w:color w:val="000000"/>
          <w:sz w:val="18"/>
        </w:rPr>
        <w:t>The NEOs earned 75.7% of their total annual target bonus opportunity under the 2025 Executive Team Bonus Plan (“Executive Bonus Plan”), based on these results and achievement of individual performance strategic initiative goals.</w:t>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Long-Term Equity Incentives</w:t>
      </w:r>
    </w:p>
    <w:p>
      <w:pPr>
        <w:pStyle w:val="TextBody"/>
        <w:bidi w:val="0"/>
        <w:spacing w:lineRule="auto" w:line="288" w:before="0" w:after="120"/>
        <w:ind w:left="0" w:right="0" w:hanging="288"/>
        <w:jc w:val="left"/>
        <w:rPr/>
      </w:pPr>
      <w:r>
        <w:rPr>
          <w:color w:val="000000"/>
        </w:rPr>
        <w:t>•</w:t>
      </w:r>
      <w:r>
        <w:rPr>
          <w:rFonts w:ascii="Roboto Light;sans-serif" w:hAnsi="Roboto Light;sans-serif"/>
          <w:b w:val="false"/>
          <w:color w:val="000000"/>
          <w:sz w:val="18"/>
        </w:rPr>
        <w:t>The Committee approved annual long-term equity incentive awards in March 2025 for the NEOs with the total target grant value allocated across a mix of 50% performance-based and 50% time-based Restricted Stock Units (“RSUs”). The same performance metrics as used in fiscal 2024 were applied to the fiscal 2025 grants measured cumulatively and vesting after three fiscal years (fiscal 2026 to 2028):</w:t>
      </w:r>
    </w:p>
    <w:p>
      <w:pPr>
        <w:pStyle w:val="TextBody"/>
        <w:bidi w:val="0"/>
        <w:spacing w:lineRule="auto" w:line="288" w:before="0" w:after="120"/>
        <w:ind w:left="0" w:right="0" w:hanging="288"/>
        <w:jc w:val="left"/>
        <w:rPr/>
      </w:pPr>
      <w:r>
        <w:rPr>
          <w:color w:val="000000"/>
        </w:rPr>
        <w:t>◦</w:t>
      </w:r>
      <w:r>
        <w:rPr>
          <w:rFonts w:ascii="Roboto Light;sans-serif" w:hAnsi="Roboto Light;sans-serif"/>
          <w:b w:val="false"/>
          <w:color w:val="000000"/>
          <w:sz w:val="18"/>
        </w:rPr>
        <w:t xml:space="preserve">Adjusted Pre-Tax Net Income weighted approximately 75% of the equity award, and </w:t>
      </w:r>
    </w:p>
    <w:p>
      <w:pPr>
        <w:pStyle w:val="TextBody"/>
        <w:bidi w:val="0"/>
        <w:spacing w:lineRule="auto" w:line="288" w:before="0" w:after="240"/>
        <w:ind w:left="0" w:right="0" w:hanging="288"/>
        <w:jc w:val="left"/>
        <w:rPr/>
      </w:pPr>
      <w:r>
        <w:rPr>
          <w:color w:val="000000"/>
        </w:rPr>
        <w:t>◦</w:t>
      </w:r>
      <w:r>
        <w:rPr>
          <w:rFonts w:ascii="Roboto Light;sans-serif" w:hAnsi="Roboto Light;sans-serif"/>
          <w:b w:val="false"/>
          <w:color w:val="000000"/>
          <w:sz w:val="18"/>
        </w:rPr>
        <w:t>Return On Investment Capital (“ROIC”) weighted approximately 25% of the equity award.</w:t>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Say on Pay (“SOP”) Vote Results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At our 2025 Annual Meeting of Stockholders, over 98% of votes cast were in support of the SOP proposal related to our executive compensation program for 2024. The Committee values stockholder input and considered the results of this vote. Given the strong level of support, the Committee did not make any changes to the compensation program as a result of this vote.</w:t>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63525"/>
                <wp:effectExtent l="0" t="0" r="0" b="0"/>
                <wp:wrapNone/>
                <wp:docPr id="349" name="Frame57"/>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350"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241" descr=""/>
                                          <pic:cNvPicPr>
                                            <a:picLocks noChangeAspect="1" noChangeArrowheads="1"/>
                                          </pic:cNvPicPr>
                                        </pic:nvPicPr>
                                        <pic:blipFill>
                                          <a:blip r:embed="rId294"/>
                                          <a:stretch>
                                            <a:fillRect/>
                                          </a:stretch>
                                        </pic:blipFill>
                                        <pic:spPr bwMode="auto">
                                          <a:xfrm>
                                            <a:off x="0" y="0"/>
                                            <a:ext cx="266700" cy="200025"/>
                                          </a:xfrm>
                                          <a:prstGeom prst="rect">
                                            <a:avLst/>
                                          </a:prstGeom>
                                        </pic:spPr>
                                      </pic:pic>
                                    </a:graphicData>
                                  </a:graphic>
                                </wp:inline>
                              </w:drawing>
                            </w:r>
                            <w:bookmarkStart w:id="293" w:name="i-241"/>
                            <w:bookmarkEnd w:id="293"/>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351"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241" descr=""/>
                                    <pic:cNvPicPr>
                                      <a:picLocks noChangeAspect="1" noChangeArrowheads="1"/>
                                    </pic:cNvPicPr>
                                  </pic:nvPicPr>
                                  <pic:blipFill>
                                    <a:blip r:embed="rId295"/>
                                    <a:stretch>
                                      <a:fillRect/>
                                    </a:stretch>
                                  </pic:blipFill>
                                  <pic:spPr bwMode="auto">
                                    <a:xfrm>
                                      <a:off x="0" y="0"/>
                                      <a:ext cx="266700" cy="200025"/>
                                    </a:xfrm>
                                    <a:prstGeom prst="rect">
                                      <a:avLst/>
                                    </a:prstGeom>
                                  </pic:spPr>
                                </pic:pic>
                              </a:graphicData>
                            </a:graphic>
                          </wp:inline>
                        </w:drawing>
                      </w:r>
                      <w:bookmarkStart w:id="294" w:name="i-241"/>
                      <w:bookmarkEnd w:id="294"/>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What We Do/What We Don’t Do</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We have implemented a number of compensation best practices in our program design.</w:t>
      </w:r>
    </w:p>
    <w:tbl>
      <w:tblPr>
        <w:tblW w:w="10205" w:type="dxa"/>
        <w:jc w:val="left"/>
        <w:tblInd w:w="0" w:type="dxa"/>
        <w:tblLayout w:type="fixed"/>
        <w:tblCellMar>
          <w:top w:w="28" w:type="dxa"/>
          <w:left w:w="28" w:type="dxa"/>
          <w:bottom w:w="28" w:type="dxa"/>
          <w:right w:w="28" w:type="dxa"/>
        </w:tblCellMar>
      </w:tblPr>
      <w:tblGrid>
        <w:gridCol w:w="203"/>
        <w:gridCol w:w="144"/>
        <w:gridCol w:w="144"/>
        <w:gridCol w:w="3075"/>
        <w:gridCol w:w="2742"/>
        <w:gridCol w:w="3897"/>
      </w:tblGrid>
      <w:tr>
        <w:trPr/>
        <w:tc>
          <w:tcPr>
            <w:tcW w:w="20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c>
          <w:tcPr>
            <w:tcW w:w="3897"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1946C8"/>
              <w:left w:val="single" w:sz="4" w:space="0" w:color="1946C8"/>
              <w:right w:val="single" w:sz="4" w:space="0" w:color="1946C8"/>
            </w:tcBorders>
            <w:shd w:fill="1946C8" w:val="clear"/>
            <w:tcMar>
              <w:top w:w="30" w:type="dxa"/>
              <w:bottom w:w="0" w:type="dxa"/>
            </w:tcMar>
            <w:vAlign w:val="center"/>
          </w:tcPr>
          <w:p>
            <w:pPr>
              <w:pStyle w:val="TableContents"/>
              <w:bidi w:val="0"/>
              <w:spacing w:lineRule="auto" w:line="312" w:before="0" w:after="283"/>
              <w:jc w:val="center"/>
              <w:rPr>
                <w:rFonts w:ascii="Roboto;sans-serif" w:hAnsi="Roboto;sans-serif"/>
                <w:b/>
                <w:color w:val="FFFFFF"/>
                <w:sz w:val="16"/>
              </w:rPr>
            </w:pPr>
            <w:r>
              <w:rPr>
                <w:rFonts w:ascii="Roboto;sans-serif" w:hAnsi="Roboto;sans-serif"/>
                <w:b/>
                <w:color w:val="FFFFFF"/>
                <w:sz w:val="16"/>
              </w:rPr>
              <w:t>What We Do</w:t>
            </w:r>
          </w:p>
        </w:tc>
      </w:tr>
      <w:tr>
        <w:trPr/>
        <w:tc>
          <w:tcPr>
            <w:tcW w:w="491" w:type="dxa"/>
            <w:gridSpan w:val="3"/>
            <w:tcBorders>
              <w:top w:val="single" w:sz="4" w:space="0" w:color="1946C8"/>
              <w:left w:val="single" w:sz="4" w:space="0" w:color="1946C8"/>
            </w:tcBorders>
            <w:tcMar>
              <w:top w:w="30" w:type="dxa"/>
              <w:bottom w:w="0" w:type="dxa"/>
              <w:right w:w="0" w:type="dxa"/>
            </w:tcMar>
            <w:vAlign w:val="center"/>
          </w:tcPr>
          <w:p>
            <w:pPr>
              <w:pStyle w:val="TableContents"/>
              <w:bidi w:val="0"/>
              <w:spacing w:lineRule="auto" w:line="312" w:before="0" w:after="60"/>
              <w:jc w:val="center"/>
              <w:rPr>
                <w:rFonts w:ascii="Wingdings;sans-serif" w:hAnsi="Wingdings;sans-serif"/>
                <w:b/>
                <w:color w:val="1946C8"/>
                <w:sz w:val="36"/>
              </w:rPr>
            </w:pPr>
            <w:r>
              <w:rPr>
                <w:rFonts w:ascii="Wingdings;sans-serif" w:hAnsi="Wingdings;sans-serif"/>
                <w:b/>
                <w:color w:val="1946C8"/>
                <w:sz w:val="36"/>
              </w:rPr>
              <w:t>ü</w:t>
            </w:r>
          </w:p>
        </w:tc>
        <w:tc>
          <w:tcPr>
            <w:tcW w:w="9714" w:type="dxa"/>
            <w:gridSpan w:val="3"/>
            <w:tcBorders>
              <w:top w:val="single" w:sz="4" w:space="0" w:color="1946C8"/>
              <w:right w:val="single" w:sz="4" w:space="0" w:color="1946C8"/>
            </w:tcBorders>
            <w:tcMar>
              <w:top w:w="30" w:type="dxa"/>
              <w:left w:w="0" w:type="dxa"/>
              <w:bottom w:w="0" w:type="dxa"/>
            </w:tcMar>
            <w:vAlign w:val="center"/>
          </w:tcPr>
          <w:p>
            <w:pPr>
              <w:pStyle w:val="TableContents"/>
              <w:bidi w:val="0"/>
              <w:spacing w:lineRule="auto" w:line="312" w:before="0" w:after="283"/>
              <w:jc w:val="left"/>
              <w:rPr>
                <w:rFonts w:ascii="Roboto;sans-serif" w:hAnsi="Roboto;sans-serif"/>
                <w:b w:val="false"/>
                <w:color w:val="000000"/>
                <w:sz w:val="18"/>
              </w:rPr>
            </w:pPr>
            <w:r>
              <w:rPr>
                <w:rFonts w:ascii="Roboto;sans-serif" w:hAnsi="Roboto;sans-serif"/>
                <w:b w:val="false"/>
                <w:color w:val="000000"/>
                <w:sz w:val="18"/>
              </w:rPr>
              <w:t>Committee comprised solely of independent non-employee directors.</w:t>
            </w:r>
          </w:p>
        </w:tc>
      </w:tr>
      <w:tr>
        <w:trPr/>
        <w:tc>
          <w:tcPr>
            <w:tcW w:w="491" w:type="dxa"/>
            <w:gridSpan w:val="3"/>
            <w:tcBorders>
              <w:top w:val="single" w:sz="4" w:space="0" w:color="1946C8"/>
              <w:left w:val="single" w:sz="4" w:space="0" w:color="1946C8"/>
            </w:tcBorders>
            <w:tcMar>
              <w:top w:w="30" w:type="dxa"/>
              <w:bottom w:w="0" w:type="dxa"/>
              <w:right w:w="0" w:type="dxa"/>
            </w:tcMar>
            <w:vAlign w:val="center"/>
          </w:tcPr>
          <w:p>
            <w:pPr>
              <w:pStyle w:val="TableContents"/>
              <w:bidi w:val="0"/>
              <w:spacing w:lineRule="auto" w:line="312" w:before="0" w:after="60"/>
              <w:jc w:val="center"/>
              <w:rPr>
                <w:rFonts w:ascii="Wingdings;sans-serif" w:hAnsi="Wingdings;sans-serif"/>
                <w:b/>
                <w:color w:val="1946C8"/>
                <w:sz w:val="36"/>
              </w:rPr>
            </w:pPr>
            <w:r>
              <w:rPr>
                <w:rFonts w:ascii="Wingdings;sans-serif" w:hAnsi="Wingdings;sans-serif"/>
                <w:b/>
                <w:color w:val="1946C8"/>
                <w:sz w:val="36"/>
              </w:rPr>
              <w:t>ü</w:t>
            </w:r>
          </w:p>
        </w:tc>
        <w:tc>
          <w:tcPr>
            <w:tcW w:w="9714" w:type="dxa"/>
            <w:gridSpan w:val="3"/>
            <w:tcBorders>
              <w:top w:val="single" w:sz="4" w:space="0" w:color="1946C8"/>
              <w:right w:val="single" w:sz="4" w:space="0" w:color="1946C8"/>
            </w:tcBorders>
            <w:tcMar>
              <w:top w:w="30" w:type="dxa"/>
              <w:left w:w="0" w:type="dxa"/>
              <w:bottom w:w="0" w:type="dxa"/>
            </w:tcMar>
            <w:vAlign w:val="center"/>
          </w:tcPr>
          <w:p>
            <w:pPr>
              <w:pStyle w:val="TableContents"/>
              <w:bidi w:val="0"/>
              <w:spacing w:lineRule="auto" w:line="312" w:before="0" w:after="283"/>
              <w:jc w:val="left"/>
              <w:rPr>
                <w:rFonts w:ascii="Roboto;sans-serif" w:hAnsi="Roboto;sans-serif"/>
                <w:b w:val="false"/>
                <w:color w:val="000000"/>
                <w:sz w:val="18"/>
              </w:rPr>
            </w:pPr>
            <w:r>
              <w:rPr>
                <w:rFonts w:ascii="Roboto;sans-serif" w:hAnsi="Roboto;sans-serif"/>
                <w:b w:val="false"/>
                <w:color w:val="000000"/>
                <w:sz w:val="18"/>
              </w:rPr>
              <w:t>Committee conducts annual review and approval of our compensation strategy and performs an annual compensation risk assessment.</w:t>
            </w:r>
          </w:p>
        </w:tc>
      </w:tr>
      <w:tr>
        <w:trPr/>
        <w:tc>
          <w:tcPr>
            <w:tcW w:w="491" w:type="dxa"/>
            <w:gridSpan w:val="3"/>
            <w:tcBorders>
              <w:top w:val="single" w:sz="4" w:space="0" w:color="1946C8"/>
              <w:left w:val="single" w:sz="4" w:space="0" w:color="1946C8"/>
            </w:tcBorders>
            <w:tcMar>
              <w:top w:w="30" w:type="dxa"/>
              <w:bottom w:w="0" w:type="dxa"/>
              <w:right w:w="0" w:type="dxa"/>
            </w:tcMar>
            <w:vAlign w:val="center"/>
          </w:tcPr>
          <w:p>
            <w:pPr>
              <w:pStyle w:val="TableContents"/>
              <w:bidi w:val="0"/>
              <w:spacing w:lineRule="auto" w:line="312" w:before="0" w:after="60"/>
              <w:jc w:val="center"/>
              <w:rPr>
                <w:rFonts w:ascii="Wingdings;sans-serif" w:hAnsi="Wingdings;sans-serif"/>
                <w:b/>
                <w:color w:val="1946C8"/>
                <w:sz w:val="36"/>
              </w:rPr>
            </w:pPr>
            <w:r>
              <w:rPr>
                <w:rFonts w:ascii="Wingdings;sans-serif" w:hAnsi="Wingdings;sans-serif"/>
                <w:b/>
                <w:color w:val="1946C8"/>
                <w:sz w:val="36"/>
              </w:rPr>
              <w:t>ü</w:t>
            </w:r>
          </w:p>
        </w:tc>
        <w:tc>
          <w:tcPr>
            <w:tcW w:w="9714" w:type="dxa"/>
            <w:gridSpan w:val="3"/>
            <w:tcBorders>
              <w:top w:val="single" w:sz="4" w:space="0" w:color="1946C8"/>
              <w:right w:val="single" w:sz="4" w:space="0" w:color="1946C8"/>
            </w:tcBorders>
            <w:tcMar>
              <w:top w:w="30" w:type="dxa"/>
              <w:left w:w="0" w:type="dxa"/>
              <w:bottom w:w="0" w:type="dxa"/>
            </w:tcMar>
            <w:vAlign w:val="center"/>
          </w:tcPr>
          <w:p>
            <w:pPr>
              <w:pStyle w:val="TableContents"/>
              <w:bidi w:val="0"/>
              <w:spacing w:lineRule="auto" w:line="312" w:before="0" w:after="0"/>
              <w:jc w:val="left"/>
              <w:rPr>
                <w:rFonts w:ascii="Roboto;sans-serif" w:hAnsi="Roboto;sans-serif"/>
                <w:b w:val="false"/>
                <w:color w:val="000000"/>
                <w:sz w:val="18"/>
              </w:rPr>
            </w:pPr>
            <w:r>
              <w:rPr>
                <w:rFonts w:ascii="Roboto;sans-serif" w:hAnsi="Roboto;sans-serif"/>
                <w:b w:val="false"/>
                <w:color w:val="000000"/>
                <w:sz w:val="18"/>
              </w:rPr>
              <w:t>Majority of compensation for our executive officers is “at risk” based on the Company’s performance, in the form of both short-term cash and long-term equity incentives to align the interests of our executive officers and stockholders.</w:t>
            </w:r>
          </w:p>
        </w:tc>
      </w:tr>
      <w:tr>
        <w:trPr/>
        <w:tc>
          <w:tcPr>
            <w:tcW w:w="491" w:type="dxa"/>
            <w:gridSpan w:val="3"/>
            <w:tcBorders>
              <w:top w:val="single" w:sz="4" w:space="0" w:color="1946C8"/>
              <w:left w:val="single" w:sz="4" w:space="0" w:color="1946C8"/>
            </w:tcBorders>
            <w:tcMar>
              <w:top w:w="30" w:type="dxa"/>
              <w:bottom w:w="0" w:type="dxa"/>
              <w:right w:w="0" w:type="dxa"/>
            </w:tcMar>
            <w:vAlign w:val="center"/>
          </w:tcPr>
          <w:p>
            <w:pPr>
              <w:pStyle w:val="TableContents"/>
              <w:bidi w:val="0"/>
              <w:spacing w:lineRule="auto" w:line="312" w:before="0" w:after="60"/>
              <w:jc w:val="center"/>
              <w:rPr>
                <w:rFonts w:ascii="Wingdings;sans-serif" w:hAnsi="Wingdings;sans-serif"/>
                <w:b/>
                <w:color w:val="1946C8"/>
                <w:sz w:val="36"/>
              </w:rPr>
            </w:pPr>
            <w:r>
              <w:rPr>
                <w:rFonts w:ascii="Wingdings;sans-serif" w:hAnsi="Wingdings;sans-serif"/>
                <w:b/>
                <w:color w:val="1946C8"/>
                <w:sz w:val="36"/>
              </w:rPr>
              <w:t>ü</w:t>
            </w:r>
          </w:p>
        </w:tc>
        <w:tc>
          <w:tcPr>
            <w:tcW w:w="9714" w:type="dxa"/>
            <w:gridSpan w:val="3"/>
            <w:tcBorders>
              <w:top w:val="single" w:sz="4" w:space="0" w:color="1946C8"/>
              <w:right w:val="single" w:sz="4" w:space="0" w:color="1946C8"/>
            </w:tcBorders>
            <w:tcMar>
              <w:top w:w="30" w:type="dxa"/>
              <w:left w:w="0" w:type="dxa"/>
              <w:bottom w:w="0" w:type="dxa"/>
            </w:tcMar>
            <w:vAlign w:val="center"/>
          </w:tcPr>
          <w:p>
            <w:pPr>
              <w:pStyle w:val="TableContents"/>
              <w:bidi w:val="0"/>
              <w:spacing w:lineRule="auto" w:line="312" w:before="0" w:after="0"/>
              <w:jc w:val="left"/>
              <w:rPr>
                <w:rFonts w:ascii="Roboto;sans-serif" w:hAnsi="Roboto;sans-serif"/>
                <w:b w:val="false"/>
                <w:color w:val="000000"/>
                <w:sz w:val="18"/>
              </w:rPr>
            </w:pPr>
            <w:r>
              <w:rPr>
                <w:rFonts w:ascii="Roboto;sans-serif" w:hAnsi="Roboto;sans-serif"/>
                <w:b w:val="false"/>
                <w:color w:val="000000"/>
                <w:sz w:val="18"/>
              </w:rPr>
              <w:t>Executive officers generally participate in broad-based company-sponsored health and welfare benefits programs on the same basis as our other full-time, salaried team members.</w:t>
            </w:r>
          </w:p>
        </w:tc>
      </w:tr>
      <w:tr>
        <w:trPr/>
        <w:tc>
          <w:tcPr>
            <w:tcW w:w="491" w:type="dxa"/>
            <w:gridSpan w:val="3"/>
            <w:tcBorders>
              <w:top w:val="single" w:sz="4" w:space="0" w:color="1946C8"/>
              <w:left w:val="single" w:sz="4" w:space="0" w:color="1946C8"/>
            </w:tcBorders>
            <w:tcMar>
              <w:top w:w="30" w:type="dxa"/>
              <w:bottom w:w="0" w:type="dxa"/>
              <w:right w:w="0" w:type="dxa"/>
            </w:tcMar>
            <w:vAlign w:val="center"/>
          </w:tcPr>
          <w:p>
            <w:pPr>
              <w:pStyle w:val="TableContents"/>
              <w:bidi w:val="0"/>
              <w:spacing w:lineRule="auto" w:line="312" w:before="0" w:after="60"/>
              <w:jc w:val="center"/>
              <w:rPr>
                <w:rFonts w:ascii="Wingdings;sans-serif" w:hAnsi="Wingdings;sans-serif"/>
                <w:b/>
                <w:color w:val="1946C8"/>
                <w:sz w:val="36"/>
              </w:rPr>
            </w:pPr>
            <w:r>
              <w:rPr>
                <w:rFonts w:ascii="Wingdings;sans-serif" w:hAnsi="Wingdings;sans-serif"/>
                <w:b/>
                <w:color w:val="1946C8"/>
                <w:sz w:val="36"/>
              </w:rPr>
              <w:t>ü</w:t>
            </w:r>
          </w:p>
        </w:tc>
        <w:tc>
          <w:tcPr>
            <w:tcW w:w="9714" w:type="dxa"/>
            <w:gridSpan w:val="3"/>
            <w:tcBorders>
              <w:top w:val="single" w:sz="4" w:space="0" w:color="1946C8"/>
              <w:right w:val="single" w:sz="4" w:space="0" w:color="1946C8"/>
            </w:tcBorders>
            <w:tcMar>
              <w:top w:w="30" w:type="dxa"/>
              <w:left w:w="0" w:type="dxa"/>
              <w:bottom w:w="0" w:type="dxa"/>
            </w:tcMar>
            <w:vAlign w:val="center"/>
          </w:tcPr>
          <w:p>
            <w:pPr>
              <w:pStyle w:val="TableContents"/>
              <w:bidi w:val="0"/>
              <w:spacing w:lineRule="auto" w:line="312" w:before="0" w:after="0"/>
              <w:jc w:val="left"/>
              <w:rPr>
                <w:rFonts w:ascii="Roboto;sans-serif" w:hAnsi="Roboto;sans-serif"/>
                <w:b w:val="false"/>
                <w:color w:val="000000"/>
                <w:sz w:val="18"/>
              </w:rPr>
            </w:pPr>
            <w:r>
              <w:rPr>
                <w:rFonts w:ascii="Roboto;sans-serif" w:hAnsi="Roboto;sans-serif"/>
                <w:b w:val="false"/>
                <w:color w:val="000000"/>
                <w:sz w:val="18"/>
              </w:rPr>
              <w:t>RSUs granted to executive officers vest over multi-year periods. In addition, a meaningful portion of RSUs granted to our executive officers are subject to performance-based vesting requirements.</w:t>
            </w:r>
          </w:p>
        </w:tc>
      </w:tr>
      <w:tr>
        <w:trPr/>
        <w:tc>
          <w:tcPr>
            <w:tcW w:w="491" w:type="dxa"/>
            <w:gridSpan w:val="3"/>
            <w:tcBorders>
              <w:top w:val="single" w:sz="4" w:space="0" w:color="1946C8"/>
              <w:left w:val="single" w:sz="4" w:space="0" w:color="1946C8"/>
            </w:tcBorders>
            <w:tcMar>
              <w:top w:w="30" w:type="dxa"/>
              <w:bottom w:w="0" w:type="dxa"/>
              <w:right w:w="0" w:type="dxa"/>
            </w:tcMar>
            <w:vAlign w:val="center"/>
          </w:tcPr>
          <w:p>
            <w:pPr>
              <w:pStyle w:val="TableContents"/>
              <w:bidi w:val="0"/>
              <w:spacing w:lineRule="auto" w:line="312" w:before="0" w:after="60"/>
              <w:jc w:val="center"/>
              <w:rPr>
                <w:rFonts w:ascii="Wingdings;sans-serif" w:hAnsi="Wingdings;sans-serif"/>
                <w:b/>
                <w:color w:val="1946C8"/>
                <w:sz w:val="36"/>
              </w:rPr>
            </w:pPr>
            <w:r>
              <w:rPr>
                <w:rFonts w:ascii="Wingdings;sans-serif" w:hAnsi="Wingdings;sans-serif"/>
                <w:b/>
                <w:color w:val="1946C8"/>
                <w:sz w:val="36"/>
              </w:rPr>
              <w:t>ü</w:t>
            </w:r>
          </w:p>
        </w:tc>
        <w:tc>
          <w:tcPr>
            <w:tcW w:w="9714" w:type="dxa"/>
            <w:gridSpan w:val="3"/>
            <w:tcBorders>
              <w:top w:val="single" w:sz="4" w:space="0" w:color="1946C8"/>
              <w:right w:val="single" w:sz="4" w:space="0" w:color="1946C8"/>
            </w:tcBorders>
            <w:tcMar>
              <w:top w:w="30" w:type="dxa"/>
              <w:left w:w="0" w:type="dxa"/>
              <w:bottom w:w="0" w:type="dxa"/>
            </w:tcMar>
            <w:vAlign w:val="center"/>
          </w:tcPr>
          <w:p>
            <w:pPr>
              <w:pStyle w:val="TableContents"/>
              <w:bidi w:val="0"/>
              <w:spacing w:lineRule="auto" w:line="312" w:before="0" w:after="0"/>
              <w:jc w:val="left"/>
              <w:rPr>
                <w:rFonts w:ascii="Roboto;sans-serif" w:hAnsi="Roboto;sans-serif"/>
                <w:b w:val="false"/>
                <w:color w:val="000000"/>
                <w:sz w:val="18"/>
              </w:rPr>
            </w:pPr>
            <w:r>
              <w:rPr>
                <w:rFonts w:ascii="Roboto;sans-serif" w:hAnsi="Roboto;sans-serif"/>
                <w:b w:val="false"/>
                <w:color w:val="000000"/>
                <w:sz w:val="18"/>
              </w:rPr>
              <w:t>Maintain stock ownership requirements for our NEOs.</w:t>
            </w:r>
          </w:p>
        </w:tc>
      </w:tr>
      <w:tr>
        <w:trPr/>
        <w:tc>
          <w:tcPr>
            <w:tcW w:w="491" w:type="dxa"/>
            <w:gridSpan w:val="3"/>
            <w:tcBorders>
              <w:top w:val="single" w:sz="4" w:space="0" w:color="1946C8"/>
              <w:left w:val="single" w:sz="4" w:space="0" w:color="1946C8"/>
            </w:tcBorders>
            <w:tcMar>
              <w:top w:w="30" w:type="dxa"/>
              <w:bottom w:w="0" w:type="dxa"/>
              <w:right w:w="0" w:type="dxa"/>
            </w:tcMar>
            <w:vAlign w:val="center"/>
          </w:tcPr>
          <w:p>
            <w:pPr>
              <w:pStyle w:val="TableContents"/>
              <w:bidi w:val="0"/>
              <w:spacing w:lineRule="auto" w:line="312" w:before="0" w:after="60"/>
              <w:jc w:val="center"/>
              <w:rPr>
                <w:rFonts w:ascii="Wingdings;sans-serif" w:hAnsi="Wingdings;sans-serif"/>
                <w:b/>
                <w:color w:val="1946C8"/>
                <w:sz w:val="36"/>
              </w:rPr>
            </w:pPr>
            <w:r>
              <w:rPr>
                <w:rFonts w:ascii="Wingdings;sans-serif" w:hAnsi="Wingdings;sans-serif"/>
                <w:b/>
                <w:color w:val="1946C8"/>
                <w:sz w:val="36"/>
              </w:rPr>
              <w:t>ü</w:t>
            </w:r>
          </w:p>
        </w:tc>
        <w:tc>
          <w:tcPr>
            <w:tcW w:w="9714" w:type="dxa"/>
            <w:gridSpan w:val="3"/>
            <w:tcBorders>
              <w:top w:val="single" w:sz="4" w:space="0" w:color="1946C8"/>
              <w:right w:val="single" w:sz="4" w:space="0" w:color="1946C8"/>
            </w:tcBorders>
            <w:tcMar>
              <w:top w:w="30" w:type="dxa"/>
              <w:left w:w="0" w:type="dxa"/>
              <w:bottom w:w="0" w:type="dxa"/>
            </w:tcMar>
            <w:vAlign w:val="center"/>
          </w:tcPr>
          <w:p>
            <w:pPr>
              <w:pStyle w:val="TableContents"/>
              <w:bidi w:val="0"/>
              <w:spacing w:lineRule="auto" w:line="312" w:before="0" w:after="0"/>
              <w:jc w:val="left"/>
              <w:rPr>
                <w:rFonts w:ascii="Roboto;sans-serif" w:hAnsi="Roboto;sans-serif"/>
                <w:b w:val="false"/>
                <w:color w:val="000000"/>
                <w:sz w:val="18"/>
              </w:rPr>
            </w:pPr>
            <w:r>
              <w:rPr>
                <w:rFonts w:ascii="Roboto;sans-serif" w:hAnsi="Roboto;sans-serif"/>
                <w:b w:val="false"/>
                <w:color w:val="000000"/>
                <w:sz w:val="18"/>
              </w:rPr>
              <w:t>Apply a Company financial performance threshold gate for annual bonus payouts – the Company must achieve 80% of the Adj. EBIT target for participants to receive any annual bonus payout.</w:t>
            </w:r>
          </w:p>
        </w:tc>
      </w:tr>
      <w:tr>
        <w:trPr/>
        <w:tc>
          <w:tcPr>
            <w:tcW w:w="491" w:type="dxa"/>
            <w:gridSpan w:val="3"/>
            <w:tcBorders>
              <w:top w:val="single" w:sz="4" w:space="0" w:color="1946C8"/>
              <w:left w:val="single" w:sz="4" w:space="0" w:color="1946C8"/>
              <w:bottom w:val="single" w:sz="4" w:space="0" w:color="1946C8"/>
            </w:tcBorders>
            <w:tcMar>
              <w:top w:w="30" w:type="dxa"/>
              <w:bottom w:w="30" w:type="dxa"/>
              <w:right w:w="0" w:type="dxa"/>
            </w:tcMar>
            <w:vAlign w:val="center"/>
          </w:tcPr>
          <w:p>
            <w:pPr>
              <w:pStyle w:val="TableContents"/>
              <w:bidi w:val="0"/>
              <w:spacing w:lineRule="auto" w:line="312" w:before="0" w:after="60"/>
              <w:jc w:val="center"/>
              <w:rPr>
                <w:rFonts w:ascii="Wingdings;sans-serif" w:hAnsi="Wingdings;sans-serif"/>
                <w:b/>
                <w:color w:val="1946C8"/>
                <w:sz w:val="36"/>
              </w:rPr>
            </w:pPr>
            <w:r>
              <w:rPr>
                <w:rFonts w:ascii="Wingdings;sans-serif" w:hAnsi="Wingdings;sans-serif"/>
                <w:b/>
                <w:color w:val="1946C8"/>
                <w:sz w:val="36"/>
              </w:rPr>
              <w:t>ü</w:t>
            </w:r>
          </w:p>
        </w:tc>
        <w:tc>
          <w:tcPr>
            <w:tcW w:w="9714" w:type="dxa"/>
            <w:gridSpan w:val="3"/>
            <w:tcBorders>
              <w:top w:val="single" w:sz="4" w:space="0" w:color="1946C8"/>
              <w:bottom w:val="single" w:sz="4" w:space="0" w:color="1946C8"/>
              <w:right w:val="single" w:sz="4" w:space="0" w:color="1946C8"/>
            </w:tcBorders>
            <w:tcMar>
              <w:top w:w="30" w:type="dxa"/>
              <w:left w:w="0" w:type="dxa"/>
              <w:bottom w:w="30" w:type="dxa"/>
            </w:tcMar>
            <w:vAlign w:val="center"/>
          </w:tcPr>
          <w:p>
            <w:pPr>
              <w:pStyle w:val="TableContents"/>
              <w:bidi w:val="0"/>
              <w:spacing w:lineRule="auto" w:line="312" w:before="0" w:after="0"/>
              <w:jc w:val="left"/>
              <w:rPr>
                <w:rFonts w:ascii="Roboto;sans-serif" w:hAnsi="Roboto;sans-serif"/>
                <w:b w:val="false"/>
                <w:color w:val="000000"/>
                <w:sz w:val="18"/>
              </w:rPr>
            </w:pPr>
            <w:r>
              <w:rPr>
                <w:rFonts w:ascii="Roboto;sans-serif" w:hAnsi="Roboto;sans-serif"/>
                <w:b w:val="false"/>
                <w:color w:val="000000"/>
                <w:sz w:val="18"/>
              </w:rPr>
              <w:t>Maintain a clawback policy covering our key compensation programs, including performance-based cash and all equity awards.</w:t>
            </w:r>
          </w:p>
        </w:tc>
      </w:tr>
    </w:tbl>
    <w:tbl>
      <w:tblPr>
        <w:tblW w:w="10205" w:type="dxa"/>
        <w:jc w:val="left"/>
        <w:tblInd w:w="0" w:type="dxa"/>
        <w:tblLayout w:type="fixed"/>
        <w:tblCellMar>
          <w:top w:w="28" w:type="dxa"/>
          <w:left w:w="28" w:type="dxa"/>
          <w:bottom w:w="28" w:type="dxa"/>
          <w:right w:w="28" w:type="dxa"/>
        </w:tblCellMar>
      </w:tblPr>
      <w:tblGrid>
        <w:gridCol w:w="247"/>
        <w:gridCol w:w="217"/>
        <w:gridCol w:w="217"/>
        <w:gridCol w:w="2871"/>
        <w:gridCol w:w="2749"/>
        <w:gridCol w:w="3904"/>
      </w:tblGrid>
      <w:tr>
        <w:trPr/>
        <w:tc>
          <w:tcPr>
            <w:tcW w:w="2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390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E81111"/>
              <w:left w:val="single" w:sz="4" w:space="0" w:color="E81111"/>
              <w:right w:val="single" w:sz="4" w:space="0" w:color="E81111"/>
            </w:tcBorders>
            <w:shd w:fill="E81111" w:val="clear"/>
            <w:tcMar>
              <w:top w:w="30" w:type="dxa"/>
              <w:bottom w:w="0" w:type="dxa"/>
            </w:tcMar>
            <w:vAlign w:val="center"/>
          </w:tcPr>
          <w:p>
            <w:pPr>
              <w:pStyle w:val="TableContents"/>
              <w:bidi w:val="0"/>
              <w:spacing w:lineRule="auto" w:line="312" w:before="0" w:after="0"/>
              <w:jc w:val="center"/>
              <w:rPr>
                <w:rFonts w:ascii="Roboto;sans-serif" w:hAnsi="Roboto;sans-serif"/>
                <w:b/>
                <w:color w:val="FFFFFF"/>
                <w:sz w:val="16"/>
              </w:rPr>
            </w:pPr>
            <w:r>
              <w:rPr>
                <w:rFonts w:ascii="Roboto;sans-serif" w:hAnsi="Roboto;sans-serif"/>
                <w:b/>
                <w:color w:val="FFFFFF"/>
                <w:sz w:val="16"/>
              </w:rPr>
              <w:t>What We Don’t Do</w:t>
            </w:r>
          </w:p>
        </w:tc>
      </w:tr>
      <w:tr>
        <w:trPr/>
        <w:tc>
          <w:tcPr>
            <w:tcW w:w="681" w:type="dxa"/>
            <w:gridSpan w:val="3"/>
            <w:tcBorders>
              <w:top w:val="single" w:sz="4" w:space="0" w:color="E81111"/>
              <w:left w:val="single" w:sz="4" w:space="0" w:color="E81111"/>
            </w:tcBorders>
            <w:tcMar>
              <w:top w:w="30" w:type="dxa"/>
              <w:bottom w:w="0" w:type="dxa"/>
              <w:right w:w="0" w:type="dxa"/>
            </w:tcMar>
            <w:vAlign w:val="center"/>
          </w:tcPr>
          <w:p>
            <w:pPr>
              <w:pStyle w:val="TableContents"/>
              <w:bidi w:val="0"/>
              <w:spacing w:lineRule="auto" w:line="288" w:before="0" w:after="283"/>
              <w:jc w:val="center"/>
              <w:rPr>
                <w:rFonts w:ascii="Helvetica;sans-serif" w:hAnsi="Helvetica;sans-serif"/>
                <w:b/>
                <w:color w:val="E81111"/>
                <w:sz w:val="32"/>
              </w:rPr>
            </w:pPr>
            <w:r>
              <w:rPr>
                <w:rFonts w:ascii="Helvetica;sans-serif" w:hAnsi="Helvetica;sans-serif"/>
                <w:b/>
                <w:color w:val="E81111"/>
                <w:sz w:val="32"/>
              </w:rPr>
              <w:t>x</w:t>
            </w:r>
          </w:p>
        </w:tc>
        <w:tc>
          <w:tcPr>
            <w:tcW w:w="9524" w:type="dxa"/>
            <w:gridSpan w:val="3"/>
            <w:tcBorders>
              <w:top w:val="single" w:sz="4" w:space="0" w:color="E81111"/>
              <w:right w:val="single" w:sz="4" w:space="0" w:color="E81111"/>
            </w:tcBorders>
            <w:tcMar>
              <w:top w:w="30" w:type="dxa"/>
              <w:left w:w="0" w:type="dxa"/>
              <w:bottom w:w="0" w:type="dxa"/>
            </w:tcMar>
            <w:vAlign w:val="center"/>
          </w:tcPr>
          <w:p>
            <w:pPr>
              <w:pStyle w:val="TableContents"/>
              <w:bidi w:val="0"/>
              <w:spacing w:lineRule="auto" w:line="312" w:before="0" w:after="0"/>
              <w:jc w:val="left"/>
              <w:rPr>
                <w:rFonts w:ascii="Roboto;sans-serif" w:hAnsi="Roboto;sans-serif"/>
                <w:b w:val="false"/>
                <w:color w:val="000000"/>
                <w:sz w:val="18"/>
              </w:rPr>
            </w:pPr>
            <w:r>
              <w:rPr>
                <w:rFonts w:ascii="Roboto;sans-serif" w:hAnsi="Roboto;sans-serif"/>
                <w:b w:val="false"/>
                <w:color w:val="000000"/>
                <w:sz w:val="18"/>
              </w:rPr>
              <w:t>We do not offer defined benefit pension arrangements or non-qualified deferred compensation plans or arrangements to our executive officers.</w:t>
            </w:r>
          </w:p>
        </w:tc>
      </w:tr>
      <w:tr>
        <w:trPr/>
        <w:tc>
          <w:tcPr>
            <w:tcW w:w="681" w:type="dxa"/>
            <w:gridSpan w:val="3"/>
            <w:tcBorders>
              <w:top w:val="single" w:sz="4" w:space="0" w:color="E81111"/>
              <w:left w:val="single" w:sz="4" w:space="0" w:color="E81111"/>
            </w:tcBorders>
            <w:tcMar>
              <w:top w:w="30" w:type="dxa"/>
              <w:bottom w:w="0" w:type="dxa"/>
              <w:right w:w="0" w:type="dxa"/>
            </w:tcMar>
            <w:vAlign w:val="center"/>
          </w:tcPr>
          <w:p>
            <w:pPr>
              <w:pStyle w:val="TableContents"/>
              <w:bidi w:val="0"/>
              <w:spacing w:lineRule="auto" w:line="288" w:before="0" w:after="283"/>
              <w:jc w:val="center"/>
              <w:rPr>
                <w:rFonts w:ascii="Helvetica;sans-serif" w:hAnsi="Helvetica;sans-serif"/>
                <w:b/>
                <w:color w:val="E81111"/>
                <w:sz w:val="32"/>
              </w:rPr>
            </w:pPr>
            <w:r>
              <w:rPr>
                <w:rFonts w:ascii="Helvetica;sans-serif" w:hAnsi="Helvetica;sans-serif"/>
                <w:b/>
                <w:color w:val="E81111"/>
                <w:sz w:val="32"/>
              </w:rPr>
              <w:t>x</w:t>
            </w:r>
          </w:p>
        </w:tc>
        <w:tc>
          <w:tcPr>
            <w:tcW w:w="9524" w:type="dxa"/>
            <w:gridSpan w:val="3"/>
            <w:tcBorders>
              <w:top w:val="single" w:sz="4" w:space="0" w:color="E81111"/>
              <w:right w:val="single" w:sz="4" w:space="0" w:color="E81111"/>
            </w:tcBorders>
            <w:tcMar>
              <w:top w:w="30" w:type="dxa"/>
              <w:left w:w="0" w:type="dxa"/>
              <w:bottom w:w="0" w:type="dxa"/>
            </w:tcMar>
            <w:vAlign w:val="center"/>
          </w:tcPr>
          <w:p>
            <w:pPr>
              <w:pStyle w:val="TableContents"/>
              <w:bidi w:val="0"/>
              <w:spacing w:lineRule="auto" w:line="312" w:before="0" w:after="0"/>
              <w:jc w:val="left"/>
              <w:rPr>
                <w:rFonts w:ascii="Roboto;sans-serif" w:hAnsi="Roboto;sans-serif"/>
                <w:b w:val="false"/>
                <w:color w:val="000000"/>
                <w:sz w:val="18"/>
              </w:rPr>
            </w:pPr>
            <w:r>
              <w:rPr>
                <w:rFonts w:ascii="Roboto;sans-serif" w:hAnsi="Roboto;sans-serif"/>
                <w:b w:val="false"/>
                <w:color w:val="000000"/>
                <w:sz w:val="18"/>
              </w:rPr>
              <w:t>We do not provide any tax reimbursement payments (including “gross-ups”) on any severance or change-in-control payments.</w:t>
            </w:r>
          </w:p>
        </w:tc>
      </w:tr>
      <w:tr>
        <w:trPr/>
        <w:tc>
          <w:tcPr>
            <w:tcW w:w="681" w:type="dxa"/>
            <w:gridSpan w:val="3"/>
            <w:tcBorders>
              <w:top w:val="single" w:sz="4" w:space="0" w:color="E81111"/>
              <w:left w:val="single" w:sz="4" w:space="0" w:color="E81111"/>
            </w:tcBorders>
            <w:tcMar>
              <w:top w:w="30" w:type="dxa"/>
              <w:bottom w:w="0" w:type="dxa"/>
              <w:right w:w="0" w:type="dxa"/>
            </w:tcMar>
            <w:vAlign w:val="center"/>
          </w:tcPr>
          <w:p>
            <w:pPr>
              <w:pStyle w:val="TableContents"/>
              <w:bidi w:val="0"/>
              <w:spacing w:lineRule="auto" w:line="288" w:before="0" w:after="283"/>
              <w:jc w:val="center"/>
              <w:rPr>
                <w:rFonts w:ascii="Helvetica;sans-serif" w:hAnsi="Helvetica;sans-serif"/>
                <w:b/>
                <w:color w:val="E81111"/>
                <w:sz w:val="32"/>
              </w:rPr>
            </w:pPr>
            <w:r>
              <w:rPr>
                <w:rFonts w:ascii="Helvetica;sans-serif" w:hAnsi="Helvetica;sans-serif"/>
                <w:b/>
                <w:color w:val="E81111"/>
                <w:sz w:val="32"/>
              </w:rPr>
              <w:t>x</w:t>
            </w:r>
          </w:p>
        </w:tc>
        <w:tc>
          <w:tcPr>
            <w:tcW w:w="9524" w:type="dxa"/>
            <w:gridSpan w:val="3"/>
            <w:tcBorders>
              <w:top w:val="single" w:sz="4" w:space="0" w:color="E81111"/>
              <w:right w:val="single" w:sz="4" w:space="0" w:color="E81111"/>
            </w:tcBorders>
            <w:tcMar>
              <w:top w:w="30" w:type="dxa"/>
              <w:left w:w="0" w:type="dxa"/>
              <w:bottom w:w="0" w:type="dxa"/>
            </w:tcMar>
            <w:vAlign w:val="center"/>
          </w:tcPr>
          <w:p>
            <w:pPr>
              <w:pStyle w:val="TableContents"/>
              <w:bidi w:val="0"/>
              <w:spacing w:lineRule="auto" w:line="312" w:before="0" w:after="0"/>
              <w:jc w:val="left"/>
              <w:rPr>
                <w:rFonts w:ascii="Roboto;sans-serif" w:hAnsi="Roboto;sans-serif"/>
                <w:b w:val="false"/>
                <w:color w:val="000000"/>
                <w:sz w:val="18"/>
              </w:rPr>
            </w:pPr>
            <w:r>
              <w:rPr>
                <w:rFonts w:ascii="Roboto;sans-serif" w:hAnsi="Roboto;sans-serif"/>
                <w:b w:val="false"/>
                <w:color w:val="000000"/>
                <w:sz w:val="18"/>
              </w:rPr>
              <w:t>We will not reprice Options without stockholder approval.</w:t>
            </w:r>
          </w:p>
        </w:tc>
      </w:tr>
      <w:tr>
        <w:trPr/>
        <w:tc>
          <w:tcPr>
            <w:tcW w:w="681" w:type="dxa"/>
            <w:gridSpan w:val="3"/>
            <w:tcBorders>
              <w:top w:val="single" w:sz="4" w:space="0" w:color="E81111"/>
              <w:left w:val="single" w:sz="4" w:space="0" w:color="E81111"/>
            </w:tcBorders>
            <w:tcMar>
              <w:top w:w="30" w:type="dxa"/>
              <w:bottom w:w="0" w:type="dxa"/>
              <w:right w:w="0" w:type="dxa"/>
            </w:tcMar>
            <w:vAlign w:val="center"/>
          </w:tcPr>
          <w:p>
            <w:pPr>
              <w:pStyle w:val="TableContents"/>
              <w:bidi w:val="0"/>
              <w:spacing w:lineRule="auto" w:line="288" w:before="0" w:after="283"/>
              <w:jc w:val="center"/>
              <w:rPr>
                <w:rFonts w:ascii="Helvetica;sans-serif" w:hAnsi="Helvetica;sans-serif"/>
                <w:b/>
                <w:color w:val="E81111"/>
                <w:sz w:val="32"/>
              </w:rPr>
            </w:pPr>
            <w:r>
              <w:rPr>
                <w:rFonts w:ascii="Helvetica;sans-serif" w:hAnsi="Helvetica;sans-serif"/>
                <w:b/>
                <w:color w:val="E81111"/>
                <w:sz w:val="32"/>
              </w:rPr>
              <w:t>x</w:t>
            </w:r>
          </w:p>
        </w:tc>
        <w:tc>
          <w:tcPr>
            <w:tcW w:w="9524" w:type="dxa"/>
            <w:gridSpan w:val="3"/>
            <w:tcBorders>
              <w:top w:val="single" w:sz="4" w:space="0" w:color="E81111"/>
              <w:right w:val="single" w:sz="4" w:space="0" w:color="E81111"/>
            </w:tcBorders>
            <w:tcMar>
              <w:top w:w="30" w:type="dxa"/>
              <w:left w:w="0" w:type="dxa"/>
              <w:bottom w:w="0" w:type="dxa"/>
            </w:tcMar>
            <w:vAlign w:val="center"/>
          </w:tcPr>
          <w:p>
            <w:pPr>
              <w:pStyle w:val="TableContents"/>
              <w:bidi w:val="0"/>
              <w:spacing w:lineRule="auto" w:line="312" w:before="0" w:after="0"/>
              <w:jc w:val="left"/>
              <w:rPr>
                <w:rFonts w:ascii="Roboto;sans-serif" w:hAnsi="Roboto;sans-serif"/>
                <w:b w:val="false"/>
                <w:color w:val="000000"/>
                <w:sz w:val="18"/>
              </w:rPr>
            </w:pPr>
            <w:r>
              <w:rPr>
                <w:rFonts w:ascii="Roboto;sans-serif" w:hAnsi="Roboto;sans-serif"/>
                <w:b w:val="false"/>
                <w:color w:val="000000"/>
                <w:sz w:val="18"/>
              </w:rPr>
              <w:t>Our executive officers are prohibited from hedging our securities, pledging our securities as collateral for loans, or holding our securities in margins accounts.</w:t>
            </w:r>
          </w:p>
        </w:tc>
      </w:tr>
      <w:tr>
        <w:trPr/>
        <w:tc>
          <w:tcPr>
            <w:tcW w:w="681" w:type="dxa"/>
            <w:gridSpan w:val="3"/>
            <w:tcBorders>
              <w:top w:val="single" w:sz="4" w:space="0" w:color="E81111"/>
              <w:left w:val="single" w:sz="4" w:space="0" w:color="E81111"/>
            </w:tcBorders>
            <w:tcMar>
              <w:top w:w="30" w:type="dxa"/>
              <w:bottom w:w="0" w:type="dxa"/>
              <w:right w:w="0" w:type="dxa"/>
            </w:tcMar>
            <w:vAlign w:val="center"/>
          </w:tcPr>
          <w:p>
            <w:pPr>
              <w:pStyle w:val="TableContents"/>
              <w:bidi w:val="0"/>
              <w:spacing w:lineRule="auto" w:line="288" w:before="0" w:after="283"/>
              <w:jc w:val="center"/>
              <w:rPr>
                <w:rFonts w:ascii="Helvetica;sans-serif" w:hAnsi="Helvetica;sans-serif"/>
                <w:b/>
                <w:color w:val="E81111"/>
                <w:sz w:val="32"/>
              </w:rPr>
            </w:pPr>
            <w:r>
              <w:rPr>
                <w:rFonts w:ascii="Helvetica;sans-serif" w:hAnsi="Helvetica;sans-serif"/>
                <w:b/>
                <w:color w:val="E81111"/>
                <w:sz w:val="32"/>
              </w:rPr>
              <w:t>x</w:t>
            </w:r>
          </w:p>
        </w:tc>
        <w:tc>
          <w:tcPr>
            <w:tcW w:w="9524" w:type="dxa"/>
            <w:gridSpan w:val="3"/>
            <w:tcBorders>
              <w:top w:val="single" w:sz="4" w:space="0" w:color="E81111"/>
              <w:right w:val="single" w:sz="4" w:space="0" w:color="E81111"/>
            </w:tcBorders>
            <w:tcMar>
              <w:top w:w="30" w:type="dxa"/>
              <w:left w:w="0" w:type="dxa"/>
              <w:bottom w:w="0" w:type="dxa"/>
            </w:tcMar>
            <w:vAlign w:val="center"/>
          </w:tcPr>
          <w:p>
            <w:pPr>
              <w:pStyle w:val="TableContents"/>
              <w:bidi w:val="0"/>
              <w:spacing w:lineRule="auto" w:line="312" w:before="0" w:after="0"/>
              <w:jc w:val="left"/>
              <w:rPr>
                <w:rFonts w:ascii="Roboto;sans-serif" w:hAnsi="Roboto;sans-serif"/>
                <w:b w:val="false"/>
                <w:color w:val="000000"/>
                <w:sz w:val="18"/>
              </w:rPr>
            </w:pPr>
            <w:r>
              <w:rPr>
                <w:rFonts w:ascii="Roboto;sans-serif" w:hAnsi="Roboto;sans-serif"/>
                <w:b w:val="false"/>
                <w:color w:val="000000"/>
                <w:sz w:val="18"/>
              </w:rPr>
              <w:t>We do not apply single-trigger vesting to equity awards upon a change of control.</w:t>
            </w:r>
          </w:p>
        </w:tc>
      </w:tr>
      <w:tr>
        <w:trPr/>
        <w:tc>
          <w:tcPr>
            <w:tcW w:w="681" w:type="dxa"/>
            <w:gridSpan w:val="3"/>
            <w:tcBorders>
              <w:top w:val="single" w:sz="4" w:space="0" w:color="E81111"/>
              <w:left w:val="single" w:sz="4" w:space="0" w:color="E81111"/>
              <w:bottom w:val="single" w:sz="4" w:space="0" w:color="E81111"/>
            </w:tcBorders>
            <w:tcMar>
              <w:top w:w="30" w:type="dxa"/>
              <w:bottom w:w="30" w:type="dxa"/>
              <w:right w:w="0" w:type="dxa"/>
            </w:tcMar>
            <w:vAlign w:val="center"/>
          </w:tcPr>
          <w:p>
            <w:pPr>
              <w:pStyle w:val="TableContents"/>
              <w:bidi w:val="0"/>
              <w:spacing w:lineRule="auto" w:line="288" w:before="0" w:after="283"/>
              <w:jc w:val="center"/>
              <w:rPr>
                <w:rFonts w:ascii="Helvetica;sans-serif" w:hAnsi="Helvetica;sans-serif"/>
                <w:b/>
                <w:color w:val="E81111"/>
                <w:sz w:val="32"/>
              </w:rPr>
            </w:pPr>
            <w:r>
              <w:rPr>
                <w:rFonts w:ascii="Helvetica;sans-serif" w:hAnsi="Helvetica;sans-serif"/>
                <w:b/>
                <w:color w:val="E81111"/>
                <w:sz w:val="32"/>
              </w:rPr>
              <w:t>x</w:t>
            </w:r>
          </w:p>
        </w:tc>
        <w:tc>
          <w:tcPr>
            <w:tcW w:w="9524" w:type="dxa"/>
            <w:gridSpan w:val="3"/>
            <w:tcBorders>
              <w:top w:val="single" w:sz="4" w:space="0" w:color="E81111"/>
              <w:bottom w:val="single" w:sz="4" w:space="0" w:color="E81111"/>
              <w:right w:val="single" w:sz="4" w:space="0" w:color="E81111"/>
            </w:tcBorders>
            <w:tcMar>
              <w:top w:w="30" w:type="dxa"/>
              <w:left w:w="0" w:type="dxa"/>
              <w:bottom w:w="30" w:type="dxa"/>
            </w:tcMar>
            <w:vAlign w:val="center"/>
          </w:tcPr>
          <w:p>
            <w:pPr>
              <w:pStyle w:val="TableContents"/>
              <w:bidi w:val="0"/>
              <w:spacing w:lineRule="auto" w:line="312" w:before="0" w:after="0"/>
              <w:jc w:val="left"/>
              <w:rPr>
                <w:rFonts w:ascii="Roboto;sans-serif" w:hAnsi="Roboto;sans-serif"/>
                <w:b w:val="false"/>
                <w:color w:val="000000"/>
                <w:sz w:val="18"/>
              </w:rPr>
            </w:pPr>
            <w:r>
              <w:rPr>
                <w:rFonts w:ascii="Roboto;sans-serif" w:hAnsi="Roboto;sans-serif"/>
                <w:b w:val="false"/>
                <w:color w:val="000000"/>
                <w:sz w:val="18"/>
              </w:rPr>
              <w:t>We do not pay dividends or dividend equivalents on any equity awards.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63525"/>
                <wp:effectExtent l="0" t="0" r="0" b="0"/>
                <wp:wrapNone/>
                <wp:docPr id="352" name="Frame58"/>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353"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242" descr=""/>
                                          <pic:cNvPicPr>
                                            <a:picLocks noChangeAspect="1" noChangeArrowheads="1"/>
                                          </pic:cNvPicPr>
                                        </pic:nvPicPr>
                                        <pic:blipFill>
                                          <a:blip r:embed="rId296"/>
                                          <a:stretch>
                                            <a:fillRect/>
                                          </a:stretch>
                                        </pic:blipFill>
                                        <pic:spPr bwMode="auto">
                                          <a:xfrm>
                                            <a:off x="0" y="0"/>
                                            <a:ext cx="266700" cy="200025"/>
                                          </a:xfrm>
                                          <a:prstGeom prst="rect">
                                            <a:avLst/>
                                          </a:prstGeom>
                                        </pic:spPr>
                                      </pic:pic>
                                    </a:graphicData>
                                  </a:graphic>
                                </wp:inline>
                              </w:drawing>
                            </w:r>
                            <w:bookmarkStart w:id="295" w:name="i-242"/>
                            <w:bookmarkEnd w:id="295"/>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354"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242" descr=""/>
                                    <pic:cNvPicPr>
                                      <a:picLocks noChangeAspect="1" noChangeArrowheads="1"/>
                                    </pic:cNvPicPr>
                                  </pic:nvPicPr>
                                  <pic:blipFill>
                                    <a:blip r:embed="rId297"/>
                                    <a:stretch>
                                      <a:fillRect/>
                                    </a:stretch>
                                  </pic:blipFill>
                                  <pic:spPr bwMode="auto">
                                    <a:xfrm>
                                      <a:off x="0" y="0"/>
                                      <a:ext cx="266700" cy="200025"/>
                                    </a:xfrm>
                                    <a:prstGeom prst="rect">
                                      <a:avLst/>
                                    </a:prstGeom>
                                  </pic:spPr>
                                </pic:pic>
                              </a:graphicData>
                            </a:graphic>
                          </wp:inline>
                        </w:drawing>
                      </w:r>
                      <w:bookmarkStart w:id="296" w:name="i-242"/>
                      <w:bookmarkEnd w:id="296"/>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53</w:t>
            </w:r>
          </w:p>
        </w:tc>
      </w:tr>
    </w:tbl>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2025 Executive Compensation Program Details</w:t>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 xml:space="preserve">Executive Compensation Objectives and Philosophy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The goal of our executive officer compensation program is to create long-term value for our stockholders, reward our executive officers for superior financial and operating performance, and support retention in a competitive market environment. We believe the most effective way to achieve these objectives is to design an executive officer compensation program that drives the achievement of annual, long-term and strategic goals and that aligns executive officers’ interests with those of our stockholders. The following are the core elements of our executive officer compensation philosophy: </w:t>
      </w:r>
    </w:p>
    <w:p>
      <w:pPr>
        <w:pStyle w:val="TextBody"/>
        <w:bidi w:val="0"/>
        <w:spacing w:before="360" w:after="360"/>
        <w:jc w:val="center"/>
        <w:rPr/>
      </w:pPr>
      <w:r>
        <w:rPr/>
        <w:drawing>
          <wp:inline distT="0" distB="0" distL="0" distR="0">
            <wp:extent cx="5715000" cy="3857625"/>
            <wp:effectExtent l="0" t="0" r="0" b="0"/>
            <wp:docPr id="355"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243" descr=""/>
                    <pic:cNvPicPr>
                      <a:picLocks noChangeAspect="1" noChangeArrowheads="1"/>
                    </pic:cNvPicPr>
                  </pic:nvPicPr>
                  <pic:blipFill>
                    <a:blip r:embed="rId298"/>
                    <a:stretch>
                      <a:fillRect/>
                    </a:stretch>
                  </pic:blipFill>
                  <pic:spPr bwMode="auto">
                    <a:xfrm>
                      <a:off x="0" y="0"/>
                      <a:ext cx="5715000" cy="3857625"/>
                    </a:xfrm>
                    <a:prstGeom prst="rect">
                      <a:avLst/>
                    </a:prstGeom>
                  </pic:spPr>
                </pic:pic>
              </a:graphicData>
            </a:graphic>
          </wp:inline>
        </w:drawing>
      </w:r>
      <w:bookmarkStart w:id="297" w:name="i-243"/>
      <w:bookmarkEnd w:id="297"/>
    </w:p>
    <w:p>
      <w:pPr>
        <w:pStyle w:val="TextBody"/>
        <w:bidi w:val="0"/>
        <w:spacing w:before="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63525"/>
                <wp:effectExtent l="0" t="0" r="0" b="0"/>
                <wp:wrapNone/>
                <wp:docPr id="356" name="Frame59"/>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357"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244" descr=""/>
                                          <pic:cNvPicPr>
                                            <a:picLocks noChangeAspect="1" noChangeArrowheads="1"/>
                                          </pic:cNvPicPr>
                                        </pic:nvPicPr>
                                        <pic:blipFill>
                                          <a:blip r:embed="rId299"/>
                                          <a:stretch>
                                            <a:fillRect/>
                                          </a:stretch>
                                        </pic:blipFill>
                                        <pic:spPr bwMode="auto">
                                          <a:xfrm>
                                            <a:off x="0" y="0"/>
                                            <a:ext cx="266700" cy="200025"/>
                                          </a:xfrm>
                                          <a:prstGeom prst="rect">
                                            <a:avLst/>
                                          </a:prstGeom>
                                        </pic:spPr>
                                      </pic:pic>
                                    </a:graphicData>
                                  </a:graphic>
                                </wp:inline>
                              </w:drawing>
                            </w:r>
                            <w:bookmarkStart w:id="298" w:name="i-244"/>
                            <w:bookmarkEnd w:id="29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358"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244" descr=""/>
                                    <pic:cNvPicPr>
                                      <a:picLocks noChangeAspect="1" noChangeArrowheads="1"/>
                                    </pic:cNvPicPr>
                                  </pic:nvPicPr>
                                  <pic:blipFill>
                                    <a:blip r:embed="rId300"/>
                                    <a:stretch>
                                      <a:fillRect/>
                                    </a:stretch>
                                  </pic:blipFill>
                                  <pic:spPr bwMode="auto">
                                    <a:xfrm>
                                      <a:off x="0" y="0"/>
                                      <a:ext cx="266700" cy="200025"/>
                                    </a:xfrm>
                                    <a:prstGeom prst="rect">
                                      <a:avLst/>
                                    </a:prstGeom>
                                  </pic:spPr>
                                </pic:pic>
                              </a:graphicData>
                            </a:graphic>
                          </wp:inline>
                        </w:drawing>
                      </w:r>
                      <w:bookmarkStart w:id="299" w:name="i-244"/>
                      <w:bookmarkEnd w:id="299"/>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 xml:space="preserve">Elements of 2025 NEO Compensation Program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There are three key elements of our executive officer compensation program:</w:t>
      </w:r>
    </w:p>
    <w:tbl>
      <w:tblPr>
        <w:tblW w:w="10205" w:type="dxa"/>
        <w:jc w:val="left"/>
        <w:tblInd w:w="0" w:type="dxa"/>
        <w:tblLayout w:type="fixed"/>
        <w:tblCellMar>
          <w:top w:w="28" w:type="dxa"/>
          <w:left w:w="28" w:type="dxa"/>
          <w:bottom w:w="28" w:type="dxa"/>
          <w:right w:w="28" w:type="dxa"/>
        </w:tblCellMar>
      </w:tblPr>
      <w:tblGrid>
        <w:gridCol w:w="801"/>
        <w:gridCol w:w="642"/>
        <w:gridCol w:w="647"/>
        <w:gridCol w:w="1138"/>
        <w:gridCol w:w="1058"/>
        <w:gridCol w:w="1069"/>
        <w:gridCol w:w="1589"/>
        <w:gridCol w:w="1347"/>
        <w:gridCol w:w="1914"/>
      </w:tblGrid>
      <w:tr>
        <w:trPr/>
        <w:tc>
          <w:tcPr>
            <w:tcW w:w="80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FFFFFF"/>
                <w:sz w:val="16"/>
              </w:rPr>
            </w:pPr>
            <w:r>
              <w:rPr>
                <w:rFonts w:ascii="Roboto;sans-serif" w:hAnsi="Roboto;sans-serif"/>
                <w:b/>
                <w:color w:val="FFFFFF"/>
                <w:sz w:val="16"/>
              </w:rPr>
              <w:t>Component</w:t>
            </w:r>
          </w:p>
        </w:tc>
        <w:tc>
          <w:tcPr>
            <w:tcW w:w="3265"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FFFFFF"/>
                <w:sz w:val="16"/>
              </w:rPr>
            </w:pPr>
            <w:r>
              <w:rPr>
                <w:rFonts w:ascii="Roboto;sans-serif" w:hAnsi="Roboto;sans-serif"/>
                <w:b/>
                <w:color w:val="FFFFFF"/>
                <w:sz w:val="16"/>
              </w:rPr>
              <w:t>Purpose</w:t>
            </w:r>
          </w:p>
        </w:tc>
        <w:tc>
          <w:tcPr>
            <w:tcW w:w="4850"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FFFFFF"/>
                <w:sz w:val="16"/>
              </w:rPr>
            </w:pPr>
            <w:r>
              <w:rPr>
                <w:rFonts w:ascii="Roboto;sans-serif" w:hAnsi="Roboto;sans-serif"/>
                <w:b/>
                <w:color w:val="FFFFFF"/>
                <w:sz w:val="16"/>
              </w:rPr>
              <w:t>Overview</w:t>
            </w:r>
          </w:p>
        </w:tc>
      </w:tr>
      <w:tr>
        <w:trPr/>
        <w:tc>
          <w:tcPr>
            <w:tcW w:w="2090"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00000"/>
                <w:sz w:val="16"/>
              </w:rPr>
            </w:pPr>
            <w:r>
              <w:rPr>
                <w:rFonts w:ascii="Roboto;sans-serif" w:hAnsi="Roboto;sans-serif"/>
                <w:b/>
                <w:color w:val="000000"/>
                <w:sz w:val="16"/>
              </w:rPr>
              <w:t>Base salary</w:t>
            </w:r>
          </w:p>
        </w:tc>
        <w:tc>
          <w:tcPr>
            <w:tcW w:w="3265"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Compensate for services rendered each year</w:t>
            </w:r>
          </w:p>
        </w:tc>
        <w:tc>
          <w:tcPr>
            <w:tcW w:w="4850" w:type="dxa"/>
            <w:gridSpan w:val="3"/>
            <w:tcBorders/>
            <w:shd w:fill="ECF8FE" w:val="clear"/>
            <w:tcMar>
              <w:top w:w="0" w:type="dxa"/>
              <w:left w:w="0" w:type="dxa"/>
              <w:bottom w:w="0" w:type="dxa"/>
              <w:right w:w="0" w:type="dxa"/>
            </w:tcMar>
            <w:vAlign w:val="center"/>
          </w:tcPr>
          <w:p>
            <w:pPr>
              <w:pStyle w:val="TableContents"/>
              <w:bidi w:val="0"/>
              <w:spacing w:lineRule="auto" w:line="312" w:before="120" w:after="120"/>
              <w:jc w:val="left"/>
              <w:rPr>
                <w:rFonts w:ascii="Roboto;sans-serif" w:hAnsi="Roboto;sans-serif"/>
                <w:b w:val="false"/>
                <w:color w:val="000000"/>
                <w:sz w:val="16"/>
              </w:rPr>
            </w:pPr>
            <w:r>
              <w:rPr>
                <w:rFonts w:ascii="Roboto;sans-serif" w:hAnsi="Roboto;sans-serif"/>
                <w:b w:val="false"/>
                <w:color w:val="000000"/>
                <w:sz w:val="16"/>
              </w:rPr>
              <w:t>Based on position, experience, job responsibilities, market, internal pay equity, and individual performance</w:t>
            </w:r>
          </w:p>
        </w:tc>
      </w:tr>
      <w:tr>
        <w:trPr/>
        <w:tc>
          <w:tcPr>
            <w:tcW w:w="209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00000"/>
                <w:sz w:val="16"/>
              </w:rPr>
            </w:pPr>
            <w:r>
              <w:rPr>
                <w:rFonts w:ascii="Roboto;sans-serif" w:hAnsi="Roboto;sans-serif"/>
                <w:b/>
                <w:color w:val="000000"/>
                <w:sz w:val="16"/>
              </w:rPr>
              <w:t>Annual cash incentive bonus</w:t>
            </w:r>
          </w:p>
        </w:tc>
        <w:tc>
          <w:tcPr>
            <w:tcW w:w="3265"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Roboto;sans-serif" w:hAnsi="Roboto;sans-serif"/>
                <w:b w:val="false"/>
                <w:color w:val="000000"/>
                <w:sz w:val="16"/>
              </w:rPr>
            </w:pPr>
            <w:r>
              <w:rPr>
                <w:rFonts w:ascii="Roboto;sans-serif" w:hAnsi="Roboto;sans-serif"/>
                <w:b w:val="false"/>
                <w:color w:val="000000"/>
                <w:sz w:val="16"/>
              </w:rPr>
              <w:t>Encourage achievement of our corporate annual performance objectives</w:t>
            </w:r>
          </w:p>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Reward those individuals who significantly and positively impact our corporate results</w:t>
            </w:r>
          </w:p>
        </w:tc>
        <w:tc>
          <w:tcPr>
            <w:tcW w:w="4850" w:type="dxa"/>
            <w:gridSpan w:val="3"/>
            <w:tcBorders/>
            <w:tcMar>
              <w:top w:w="0" w:type="dxa"/>
              <w:left w:w="0" w:type="dxa"/>
              <w:bottom w:w="0" w:type="dxa"/>
              <w:right w:w="0" w:type="dxa"/>
            </w:tcMar>
            <w:vAlign w:val="center"/>
          </w:tcPr>
          <w:p>
            <w:pPr>
              <w:pStyle w:val="TableContents"/>
              <w:bidi w:val="0"/>
              <w:spacing w:lineRule="auto" w:line="312" w:before="120" w:after="283"/>
              <w:jc w:val="left"/>
              <w:rPr>
                <w:rFonts w:ascii="Roboto;sans-serif" w:hAnsi="Roboto;sans-serif"/>
                <w:b w:val="false"/>
                <w:color w:val="000000"/>
                <w:sz w:val="16"/>
              </w:rPr>
            </w:pPr>
            <w:r>
              <w:rPr>
                <w:rFonts w:ascii="Roboto;sans-serif" w:hAnsi="Roboto;sans-serif"/>
                <w:b w:val="false"/>
                <w:color w:val="000000"/>
                <w:sz w:val="16"/>
              </w:rPr>
              <w:t>Company performance (weighted 90%)</w:t>
            </w:r>
          </w:p>
          <w:p>
            <w:pPr>
              <w:pStyle w:val="TableContents"/>
              <w:bidi w:val="0"/>
              <w:spacing w:lineRule="auto" w:line="312" w:before="0" w:after="60"/>
              <w:jc w:val="left"/>
              <w:rPr>
                <w:rFonts w:ascii="Roboto;sans-serif" w:hAnsi="Roboto;sans-serif"/>
                <w:b w:val="false"/>
                <w:color w:val="000000"/>
                <w:sz w:val="16"/>
              </w:rPr>
            </w:pPr>
            <w:r>
              <w:rPr>
                <w:rFonts w:ascii="Roboto;sans-serif" w:hAnsi="Roboto;sans-serif"/>
                <w:b w:val="false"/>
                <w:color w:val="000000"/>
                <w:sz w:val="16"/>
              </w:rPr>
              <w:t>-Adj. EBIT (weighted 45%)</w:t>
            </w:r>
          </w:p>
          <w:p>
            <w:pPr>
              <w:pStyle w:val="TableContents"/>
              <w:bidi w:val="0"/>
              <w:spacing w:lineRule="auto" w:line="312" w:before="0" w:after="60"/>
              <w:jc w:val="left"/>
              <w:rPr>
                <w:rFonts w:ascii="Roboto;sans-serif" w:hAnsi="Roboto;sans-serif"/>
                <w:b w:val="false"/>
                <w:color w:val="000000"/>
                <w:sz w:val="16"/>
              </w:rPr>
            </w:pPr>
            <w:r>
              <w:rPr>
                <w:rFonts w:ascii="Roboto;sans-serif" w:hAnsi="Roboto;sans-serif"/>
                <w:b w:val="false"/>
                <w:color w:val="000000"/>
                <w:sz w:val="16"/>
              </w:rPr>
              <w:t>-Net Sales (weighted 45%)</w:t>
            </w:r>
          </w:p>
          <w:p>
            <w:pPr>
              <w:pStyle w:val="TableContents"/>
              <w:bidi w:val="0"/>
              <w:spacing w:lineRule="auto" w:line="312" w:before="0" w:after="120"/>
              <w:jc w:val="left"/>
              <w:rPr>
                <w:rFonts w:ascii="Roboto;sans-serif" w:hAnsi="Roboto;sans-serif"/>
                <w:b w:val="false"/>
                <w:color w:val="000000"/>
                <w:sz w:val="16"/>
              </w:rPr>
            </w:pPr>
            <w:r>
              <w:rPr>
                <w:rFonts w:ascii="Roboto;sans-serif" w:hAnsi="Roboto;sans-serif"/>
                <w:b w:val="false"/>
                <w:color w:val="000000"/>
                <w:sz w:val="16"/>
              </w:rPr>
              <w:t>Individual performance (weighted 10%)</w:t>
            </w:r>
          </w:p>
        </w:tc>
      </w:tr>
      <w:tr>
        <w:trPr/>
        <w:tc>
          <w:tcPr>
            <w:tcW w:w="2090" w:type="dxa"/>
            <w:gridSpan w:val="3"/>
            <w:tcBorders>
              <w:bottom w:val="single" w:sz="12" w:space="0" w:color="E81111"/>
            </w:tcBorders>
            <w:shd w:fill="ECF8FE" w:val="clear"/>
            <w:tcMar>
              <w:top w:w="0" w:type="dxa"/>
              <w:left w:w="0" w:type="dxa"/>
              <w:bottom w:w="30" w:type="dxa"/>
              <w:right w:w="0" w:type="dxa"/>
            </w:tcMar>
            <w:vAlign w:val="center"/>
          </w:tcPr>
          <w:p>
            <w:pPr>
              <w:pStyle w:val="TableContents"/>
              <w:bidi w:val="0"/>
              <w:spacing w:lineRule="auto" w:line="312" w:before="0" w:after="283"/>
              <w:jc w:val="left"/>
              <w:rPr>
                <w:rFonts w:ascii="Roboto;sans-serif" w:hAnsi="Roboto;sans-serif"/>
                <w:b/>
                <w:color w:val="000000"/>
                <w:sz w:val="16"/>
              </w:rPr>
            </w:pPr>
            <w:r>
              <w:rPr>
                <w:rFonts w:ascii="Roboto;sans-serif" w:hAnsi="Roboto;sans-serif"/>
                <w:b/>
                <w:color w:val="000000"/>
                <w:sz w:val="16"/>
              </w:rPr>
              <w:t>Long-term equity incentives</w:t>
            </w:r>
          </w:p>
        </w:tc>
        <w:tc>
          <w:tcPr>
            <w:tcW w:w="3265" w:type="dxa"/>
            <w:gridSpan w:val="3"/>
            <w:tcBorders>
              <w:bottom w:val="single" w:sz="12" w:space="0" w:color="E81111"/>
            </w:tcBorders>
            <w:shd w:fill="ECF8FE" w:val="clear"/>
            <w:tcMar>
              <w:top w:w="0" w:type="dxa"/>
              <w:left w:w="0" w:type="dxa"/>
              <w:bottom w:w="3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 xml:space="preserve">Align executive officer and stockholder interests </w:t>
              <w:br/>
              <w:t>by creating a link between executive compensation and our long-term performance</w:t>
            </w:r>
          </w:p>
        </w:tc>
        <w:tc>
          <w:tcPr>
            <w:tcW w:w="4850" w:type="dxa"/>
            <w:gridSpan w:val="3"/>
            <w:tcBorders>
              <w:bottom w:val="single" w:sz="12" w:space="0" w:color="E81111"/>
            </w:tcBorders>
            <w:shd w:fill="ECF8FE" w:val="clear"/>
            <w:tcMar>
              <w:top w:w="0" w:type="dxa"/>
              <w:left w:w="0" w:type="dxa"/>
              <w:bottom w:w="30" w:type="dxa"/>
              <w:right w:w="0" w:type="dxa"/>
            </w:tcMar>
            <w:vAlign w:val="center"/>
          </w:tcPr>
          <w:p>
            <w:pPr>
              <w:pStyle w:val="TableContents"/>
              <w:bidi w:val="0"/>
              <w:spacing w:lineRule="auto" w:line="312" w:before="120" w:after="283"/>
              <w:jc w:val="left"/>
              <w:rPr>
                <w:rFonts w:ascii="Roboto;sans-serif" w:hAnsi="Roboto;sans-serif"/>
                <w:b w:val="false"/>
                <w:color w:val="000000"/>
                <w:sz w:val="16"/>
              </w:rPr>
            </w:pPr>
            <w:r>
              <w:rPr>
                <w:rFonts w:ascii="Roboto;sans-serif" w:hAnsi="Roboto;sans-serif"/>
                <w:b w:val="false"/>
                <w:color w:val="000000"/>
                <w:sz w:val="16"/>
              </w:rPr>
              <w:t>Performance-based RSUs (approximately 50% of the target annual equity incentive award) with a three-year cliff vesting schedule</w:t>
            </w:r>
          </w:p>
          <w:p>
            <w:pPr>
              <w:pStyle w:val="TableContents"/>
              <w:bidi w:val="0"/>
              <w:spacing w:lineRule="auto" w:line="312" w:before="0" w:after="120"/>
              <w:ind w:left="0" w:right="0" w:hanging="144"/>
              <w:jc w:val="left"/>
              <w:rPr>
                <w:color w:val="000000"/>
              </w:rPr>
            </w:pPr>
            <w:r>
              <w:rPr>
                <w:color w:val="000000"/>
              </w:rPr>
              <w:t> </w:t>
            </w:r>
            <w:r>
              <w:rPr>
                <w:rFonts w:ascii="Roboto;sans-serif" w:hAnsi="Roboto;sans-serif"/>
                <w:b w:val="false"/>
                <w:color w:val="000000"/>
                <w:sz w:val="16"/>
              </w:rPr>
              <w:t>- 75% earned-based on achievement of three-year cumulative Adjusted Pre-Tax Income</w:t>
            </w:r>
          </w:p>
          <w:p>
            <w:pPr>
              <w:pStyle w:val="TableContents"/>
              <w:bidi w:val="0"/>
              <w:spacing w:lineRule="auto" w:line="312" w:before="0" w:after="120"/>
              <w:ind w:left="0" w:right="0" w:hanging="144"/>
              <w:jc w:val="left"/>
              <w:rPr>
                <w:color w:val="000000"/>
              </w:rPr>
            </w:pPr>
            <w:r>
              <w:rPr>
                <w:color w:val="000000"/>
              </w:rPr>
              <w:t> </w:t>
            </w:r>
            <w:r>
              <w:rPr>
                <w:rFonts w:ascii="Roboto;sans-serif" w:hAnsi="Roboto;sans-serif"/>
                <w:b w:val="false"/>
                <w:color w:val="000000"/>
                <w:sz w:val="16"/>
              </w:rPr>
              <w:t>- 25% earned-based on achievement of three-year cumulative ROIC</w:t>
            </w:r>
          </w:p>
          <w:p>
            <w:pPr>
              <w:pStyle w:val="TableContents"/>
              <w:bidi w:val="0"/>
              <w:spacing w:lineRule="auto" w:line="312" w:before="0" w:after="120"/>
              <w:jc w:val="left"/>
              <w:rPr>
                <w:rFonts w:ascii="Roboto;sans-serif" w:hAnsi="Roboto;sans-serif"/>
                <w:b w:val="false"/>
                <w:color w:val="000000"/>
                <w:sz w:val="16"/>
              </w:rPr>
            </w:pPr>
            <w:r>
              <w:rPr>
                <w:rFonts w:ascii="Roboto;sans-serif" w:hAnsi="Roboto;sans-serif"/>
                <w:b w:val="false"/>
                <w:color w:val="000000"/>
                <w:sz w:val="16"/>
              </w:rPr>
              <w:t>Time-based RSUs (approximately 50% of the target annual equity incentive award) that vest ratably over three years</w:t>
            </w:r>
          </w:p>
        </w:tc>
      </w:tr>
    </w:tbl>
    <w:p>
      <w:pPr>
        <w:pStyle w:val="TextBody"/>
        <w:bidi w:val="0"/>
        <w:spacing w:lineRule="atLeast" w:line="240" w:before="0" w:after="400"/>
        <w:jc w:val="left"/>
        <w:rPr/>
      </w:pPr>
      <w:r>
        <w:rPr>
          <w:rFonts w:ascii="Roboto Light;sans-serif" w:hAnsi="Roboto Light;sans-serif"/>
          <w:b w:val="false"/>
          <w:color w:val="000000"/>
          <w:sz w:val="18"/>
        </w:rPr>
        <w:t>The charts below illustrate that the majority of each NEO’s annual total target compensation</w:t>
      </w:r>
      <w:r>
        <w:rPr>
          <w:rFonts w:ascii="Roboto Light;sans-serif" w:hAnsi="Roboto Light;sans-serif"/>
          <w:b w:val="false"/>
          <w:color w:val="000000"/>
          <w:sz w:val="12"/>
        </w:rPr>
        <w:t>(1)</w:t>
      </w:r>
      <w:r>
        <w:rPr>
          <w:color w:val="000000"/>
        </w:rPr>
        <w:t xml:space="preserve"> </w:t>
      </w:r>
      <w:r>
        <w:rPr>
          <w:rFonts w:ascii="Roboto Light;sans-serif" w:hAnsi="Roboto Light;sans-serif"/>
          <w:b w:val="false"/>
          <w:color w:val="000000"/>
          <w:sz w:val="18"/>
        </w:rPr>
        <w:t>for 2025 was performance-based and at-risk based on the Company’s performance:</w:t>
      </w:r>
    </w:p>
    <w:p>
      <w:pPr>
        <w:pStyle w:val="TextBody"/>
        <w:bidi w:val="0"/>
        <w:spacing w:before="0" w:after="240"/>
        <w:jc w:val="center"/>
        <w:rPr/>
      </w:pPr>
      <w:r>
        <w:rPr/>
      </w:r>
    </w:p>
    <w:p>
      <w:pPr>
        <w:pStyle w:val="TextBody"/>
        <w:bidi w:val="0"/>
        <w:spacing w:before="0" w:after="0"/>
        <w:jc w:val="center"/>
        <w:rPr/>
      </w:pPr>
      <w:r>
        <w:rPr/>
      </w:r>
    </w:p>
    <w:p>
      <w:pPr>
        <w:pStyle w:val="TextBody"/>
        <w:bidi w:val="0"/>
        <w:spacing w:lineRule="atLeast" w:line="240" w:before="0" w:after="240"/>
        <w:jc w:val="center"/>
        <w:rPr>
          <w:rFonts w:ascii="Roboto;sans-serif" w:hAnsi="Roboto;sans-serif"/>
          <w:b/>
          <w:color w:val="000000"/>
          <w:sz w:val="18"/>
        </w:rPr>
      </w:pPr>
      <w:r>
        <w:rPr>
          <w:rFonts w:ascii="Roboto;sans-serif" w:hAnsi="Roboto;sans-serif"/>
          <w:b/>
          <w:color w:val="000000"/>
          <w:sz w:val="18"/>
        </w:rPr>
        <w:t>CEO Pay Mix</w:t>
      </w:r>
    </w:p>
    <w:p>
      <w:pPr>
        <w:pStyle w:val="TextBody"/>
        <w:bidi w:val="0"/>
        <w:spacing w:before="0" w:after="0"/>
        <w:jc w:val="center"/>
        <w:rPr/>
      </w:pPr>
      <w:r>
        <w:rPr/>
        <w:drawing>
          <wp:inline distT="0" distB="0" distL="0" distR="0">
            <wp:extent cx="1733550" cy="1733550"/>
            <wp:effectExtent l="0" t="0" r="0" b="0"/>
            <wp:docPr id="359"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245" descr=""/>
                    <pic:cNvPicPr>
                      <a:picLocks noChangeAspect="1" noChangeArrowheads="1"/>
                    </pic:cNvPicPr>
                  </pic:nvPicPr>
                  <pic:blipFill>
                    <a:blip r:embed="rId301"/>
                    <a:stretch>
                      <a:fillRect/>
                    </a:stretch>
                  </pic:blipFill>
                  <pic:spPr bwMode="auto">
                    <a:xfrm>
                      <a:off x="0" y="0"/>
                      <a:ext cx="1733550" cy="1733550"/>
                    </a:xfrm>
                    <a:prstGeom prst="rect">
                      <a:avLst/>
                    </a:prstGeom>
                  </pic:spPr>
                </pic:pic>
              </a:graphicData>
            </a:graphic>
          </wp:inline>
        </w:drawing>
      </w:r>
      <w:bookmarkStart w:id="300" w:name="i-245"/>
      <w:bookmarkEnd w:id="300"/>
    </w:p>
    <w:p>
      <w:pPr>
        <w:pStyle w:val="TextBody"/>
        <w:bidi w:val="0"/>
        <w:spacing w:lineRule="atLeast" w:line="240" w:before="0" w:after="240"/>
        <w:jc w:val="center"/>
        <w:rPr>
          <w:rFonts w:ascii="Roboto;sans-serif" w:hAnsi="Roboto;sans-serif"/>
          <w:b/>
          <w:color w:val="000000"/>
          <w:sz w:val="18"/>
        </w:rPr>
      </w:pPr>
      <w:r>
        <w:rPr>
          <w:rFonts w:ascii="Roboto;sans-serif" w:hAnsi="Roboto;sans-serif"/>
          <w:b/>
          <w:color w:val="000000"/>
          <w:sz w:val="18"/>
        </w:rPr>
        <w:t>Other NEO Pay Mix (Average)</w:t>
      </w:r>
    </w:p>
    <w:p>
      <w:pPr>
        <w:pStyle w:val="TextBody"/>
        <w:bidi w:val="0"/>
        <w:spacing w:before="0" w:after="0"/>
        <w:jc w:val="center"/>
        <w:rPr/>
      </w:pPr>
      <w:r>
        <w:rPr/>
        <w:drawing>
          <wp:inline distT="0" distB="0" distL="0" distR="0">
            <wp:extent cx="1733550" cy="1733550"/>
            <wp:effectExtent l="0" t="0" r="0" b="0"/>
            <wp:docPr id="360"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246" descr=""/>
                    <pic:cNvPicPr>
                      <a:picLocks noChangeAspect="1" noChangeArrowheads="1"/>
                    </pic:cNvPicPr>
                  </pic:nvPicPr>
                  <pic:blipFill>
                    <a:blip r:embed="rId302"/>
                    <a:stretch>
                      <a:fillRect/>
                    </a:stretch>
                  </pic:blipFill>
                  <pic:spPr bwMode="auto">
                    <a:xfrm>
                      <a:off x="0" y="0"/>
                      <a:ext cx="1733550" cy="1733550"/>
                    </a:xfrm>
                    <a:prstGeom prst="rect">
                      <a:avLst/>
                    </a:prstGeom>
                  </pic:spPr>
                </pic:pic>
              </a:graphicData>
            </a:graphic>
          </wp:inline>
        </w:drawing>
      </w:r>
      <w:bookmarkStart w:id="301" w:name="i-246"/>
      <w:bookmarkEnd w:id="301"/>
    </w:p>
    <w:tbl>
      <w:tblPr>
        <w:tblW w:w="6968" w:type="dxa"/>
        <w:jc w:val="center"/>
        <w:tblInd w:w="0" w:type="dxa"/>
        <w:tblLayout w:type="fixed"/>
        <w:tblCellMar>
          <w:top w:w="28" w:type="dxa"/>
          <w:left w:w="28" w:type="dxa"/>
          <w:bottom w:w="28" w:type="dxa"/>
          <w:right w:w="28" w:type="dxa"/>
        </w:tblCellMar>
      </w:tblPr>
      <w:tblGrid>
        <w:gridCol w:w="472"/>
        <w:gridCol w:w="414"/>
        <w:gridCol w:w="418"/>
        <w:gridCol w:w="109"/>
        <w:gridCol w:w="109"/>
        <w:gridCol w:w="109"/>
        <w:gridCol w:w="834"/>
        <w:gridCol w:w="834"/>
        <w:gridCol w:w="837"/>
        <w:gridCol w:w="109"/>
        <w:gridCol w:w="109"/>
        <w:gridCol w:w="109"/>
        <w:gridCol w:w="734"/>
        <w:gridCol w:w="734"/>
        <w:gridCol w:w="1037"/>
      </w:tblGrid>
      <w:tr>
        <w:trPr/>
        <w:tc>
          <w:tcPr>
            <w:tcW w:w="47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Wingdings;sans-serif" w:hAnsi="Wingdings;sans-serif"/>
                <w:b w:val="false"/>
                <w:color w:val="01024A"/>
                <w:sz w:val="16"/>
              </w:rPr>
              <w:t>n</w:t>
            </w:r>
            <w:r>
              <w:rPr>
                <w:color w:val="000000"/>
              </w:rPr>
              <w:t xml:space="preserve"> </w:t>
            </w:r>
            <w:r>
              <w:rPr>
                <w:rFonts w:ascii="Roboto;sans-serif" w:hAnsi="Roboto;sans-serif"/>
                <w:b w:val="false"/>
                <w:color w:val="000000"/>
                <w:sz w:val="16"/>
              </w:rPr>
              <w:t>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Wingdings;sans-serif" w:hAnsi="Wingdings;sans-serif"/>
                <w:b w:val="false"/>
                <w:color w:val="1946C8"/>
                <w:sz w:val="16"/>
              </w:rPr>
              <w:t>n</w:t>
            </w:r>
            <w:r>
              <w:rPr>
                <w:color w:val="1946C8"/>
              </w:rPr>
              <w:t xml:space="preserve"> </w:t>
            </w:r>
            <w:r>
              <w:rPr>
                <w:rFonts w:ascii="Roboto;sans-serif" w:hAnsi="Roboto;sans-serif"/>
                <w:b w:val="false"/>
                <w:color w:val="000000"/>
                <w:sz w:val="16"/>
              </w:rPr>
              <w:t>Annual Incentives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Wingdings;sans-serif" w:hAnsi="Wingdings;sans-serif"/>
                <w:b w:val="false"/>
                <w:color w:val="96D0FF"/>
                <w:sz w:val="16"/>
              </w:rPr>
              <w:t>n</w:t>
            </w:r>
            <w:r>
              <w:rPr>
                <w:color w:val="4B3702"/>
              </w:rPr>
              <w:t xml:space="preserve"> </w:t>
            </w:r>
            <w:r>
              <w:rPr>
                <w:rFonts w:ascii="Roboto;sans-serif" w:hAnsi="Roboto;sans-serif"/>
                <w:b w:val="false"/>
                <w:color w:val="000000"/>
                <w:sz w:val="16"/>
              </w:rPr>
              <w:t>Performance RSUs</w:t>
            </w:r>
          </w:p>
        </w:tc>
      </w:tr>
      <w:tr>
        <w:trPr/>
        <w:tc>
          <w:tcPr>
            <w:tcW w:w="1304"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Wingdings;sans-serif" w:hAnsi="Wingdings;sans-serif"/>
                <w:b w:val="false"/>
                <w:color w:val="D0E6FD"/>
                <w:sz w:val="16"/>
              </w:rPr>
              <w:t>n</w:t>
            </w:r>
            <w:r>
              <w:rPr>
                <w:color w:val="D0E6FD"/>
              </w:rPr>
              <w:t xml:space="preserve"> </w:t>
            </w:r>
            <w:r>
              <w:rPr>
                <w:rFonts w:ascii="Roboto;sans-serif" w:hAnsi="Roboto;sans-serif"/>
                <w:b w:val="false"/>
                <w:color w:val="000000"/>
                <w:sz w:val="16"/>
              </w:rPr>
              <w:t>Time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Wingdings;sans-serif" w:hAnsi="Wingdings;sans-serif"/>
                <w:b w:val="false"/>
                <w:color w:val="F48888"/>
                <w:sz w:val="16"/>
              </w:rPr>
              <w:t>n</w:t>
            </w:r>
            <w:r>
              <w:rPr>
                <w:color w:val="E81111"/>
              </w:rPr>
              <w:t xml:space="preserve"> </w:t>
            </w:r>
            <w:r>
              <w:rPr>
                <w:rFonts w:ascii="Roboto;sans-serif" w:hAnsi="Roboto;sans-serif"/>
                <w:b w:val="false"/>
                <w:color w:val="000000"/>
                <w:sz w:val="16"/>
              </w:rPr>
              <w:t>Short-Term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Wingdings;sans-serif" w:hAnsi="Wingdings;sans-serif"/>
                <w:b w:val="false"/>
                <w:color w:val="E81111"/>
                <w:sz w:val="16"/>
              </w:rPr>
              <w:t>n</w:t>
            </w:r>
            <w:r>
              <w:rPr>
                <w:color w:val="E81111"/>
              </w:rPr>
              <w:t xml:space="preserve"> </w:t>
            </w:r>
            <w:r>
              <w:rPr>
                <w:rFonts w:ascii="Roboto;sans-serif" w:hAnsi="Roboto;sans-serif"/>
                <w:b w:val="false"/>
                <w:color w:val="000000"/>
                <w:sz w:val="16"/>
              </w:rPr>
              <w:t>Long-Term Compensation</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324"/>
        <w:gridCol w:w="324"/>
        <w:gridCol w:w="324"/>
        <w:gridCol w:w="324"/>
        <w:gridCol w:w="324"/>
        <w:gridCol w:w="324"/>
        <w:gridCol w:w="324"/>
        <w:gridCol w:w="324"/>
        <w:gridCol w:w="324"/>
        <w:gridCol w:w="324"/>
        <w:gridCol w:w="324"/>
        <w:gridCol w:w="324"/>
        <w:gridCol w:w="324"/>
        <w:gridCol w:w="324"/>
        <w:gridCol w:w="324"/>
        <w:gridCol w:w="324"/>
        <w:gridCol w:w="324"/>
        <w:gridCol w:w="324"/>
        <w:gridCol w:w="324"/>
        <w:gridCol w:w="324"/>
        <w:gridCol w:w="324"/>
        <w:gridCol w:w="324"/>
        <w:gridCol w:w="324"/>
        <w:gridCol w:w="324"/>
        <w:gridCol w:w="324"/>
        <w:gridCol w:w="324"/>
        <w:gridCol w:w="324"/>
        <w:gridCol w:w="324"/>
        <w:gridCol w:w="324"/>
        <w:gridCol w:w="4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120"/>
              <w:ind w:left="0" w:right="0" w:hanging="360"/>
              <w:jc w:val="right"/>
              <w:rPr>
                <w:rFonts w:ascii="Roboto Light;sans-serif" w:hAnsi="Roboto Light;sans-serif"/>
                <w:b w:val="false"/>
                <w:color w:val="000000"/>
                <w:sz w:val="14"/>
              </w:rPr>
            </w:pPr>
            <w:r>
              <w:rPr>
                <w:rFonts w:ascii="Roboto Light;sans-serif" w:hAnsi="Roboto Light;sans-serif"/>
                <w:b w:val="false"/>
                <w:color w:val="000000"/>
                <w:sz w:val="14"/>
              </w:rPr>
              <w:t>1.</w:t>
            </w:r>
          </w:p>
        </w:tc>
        <w:tc>
          <w:tcPr>
            <w:tcW w:w="9863" w:type="dxa"/>
            <w:gridSpan w:val="30"/>
            <w:tcBorders/>
            <w:tcMar>
              <w:top w:w="0" w:type="dxa"/>
              <w:left w:w="0" w:type="dxa"/>
              <w:bottom w:w="0" w:type="dxa"/>
              <w:right w:w="0" w:type="dxa"/>
            </w:tcMar>
            <w:vAlign w:val="center"/>
          </w:tcPr>
          <w:p>
            <w:pPr>
              <w:pStyle w:val="TableContents"/>
              <w:bidi w:val="0"/>
              <w:spacing w:lineRule="auto" w:line="312" w:before="0" w:after="120"/>
              <w:jc w:val="left"/>
              <w:rPr>
                <w:rFonts w:ascii="Roboto Light;sans-serif" w:hAnsi="Roboto Light;sans-serif"/>
                <w:b w:val="false"/>
                <w:color w:val="000000"/>
                <w:sz w:val="14"/>
              </w:rPr>
            </w:pPr>
            <w:r>
              <w:rPr>
                <w:rFonts w:ascii="Roboto Light;sans-serif" w:hAnsi="Roboto Light;sans-serif"/>
                <w:b w:val="false"/>
                <w:color w:val="000000"/>
                <w:sz w:val="14"/>
              </w:rPr>
              <w:t>Reflects fiscal year-end annual base salary, year-end annual target bonus, and target grant value of all equity awards granted in the year (assuming target performance for performance-based RSUs).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263525"/>
                <wp:effectExtent l="0" t="0" r="0" b="0"/>
                <wp:wrapNone/>
                <wp:docPr id="361" name="Frame60"/>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362"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247" descr=""/>
                                          <pic:cNvPicPr>
                                            <a:picLocks noChangeAspect="1" noChangeArrowheads="1"/>
                                          </pic:cNvPicPr>
                                        </pic:nvPicPr>
                                        <pic:blipFill>
                                          <a:blip r:embed="rId303"/>
                                          <a:stretch>
                                            <a:fillRect/>
                                          </a:stretch>
                                        </pic:blipFill>
                                        <pic:spPr bwMode="auto">
                                          <a:xfrm>
                                            <a:off x="0" y="0"/>
                                            <a:ext cx="266700" cy="200025"/>
                                          </a:xfrm>
                                          <a:prstGeom prst="rect">
                                            <a:avLst/>
                                          </a:prstGeom>
                                        </pic:spPr>
                                      </pic:pic>
                                    </a:graphicData>
                                  </a:graphic>
                                </wp:inline>
                              </w:drawing>
                            </w:r>
                            <w:bookmarkStart w:id="302" w:name="i-247"/>
                            <w:bookmarkEnd w:id="30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363"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247" descr=""/>
                                    <pic:cNvPicPr>
                                      <a:picLocks noChangeAspect="1" noChangeArrowheads="1"/>
                                    </pic:cNvPicPr>
                                  </pic:nvPicPr>
                                  <pic:blipFill>
                                    <a:blip r:embed="rId304"/>
                                    <a:stretch>
                                      <a:fillRect/>
                                    </a:stretch>
                                  </pic:blipFill>
                                  <pic:spPr bwMode="auto">
                                    <a:xfrm>
                                      <a:off x="0" y="0"/>
                                      <a:ext cx="266700" cy="200025"/>
                                    </a:xfrm>
                                    <a:prstGeom prst="rect">
                                      <a:avLst/>
                                    </a:prstGeom>
                                  </pic:spPr>
                                </pic:pic>
                              </a:graphicData>
                            </a:graphic>
                          </wp:inline>
                        </w:drawing>
                      </w:r>
                      <w:bookmarkStart w:id="303" w:name="i-247"/>
                      <w:bookmarkEnd w:id="303"/>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55</w:t>
            </w:r>
          </w:p>
        </w:tc>
      </w:tr>
    </w:tbl>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Base Salary</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 base salaries of our NEOs are set based on position, experience, market, job responsibilities, individual performance, and internal pay equity. Adjustments to salary levels are considered annually as part of our performance review process, typically in the first quarter, but can also be made throughout the year, including in connection with a promotion or other change in job responsibilities.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The following table summarizes the base salaries of the NEOs as in effect on the last day of fiscal 2024 and 2025. The actual salary amounts earned by the NEOs for 2025 are reported in the Summary Compensation Table. Each NEO received a base salary increase as part of their performance review and to improve market competitiveness. </w:t>
      </w:r>
    </w:p>
    <w:tbl>
      <w:tblPr>
        <w:tblW w:w="8714" w:type="dxa"/>
        <w:jc w:val="left"/>
        <w:tblInd w:w="0" w:type="dxa"/>
        <w:tblLayout w:type="fixed"/>
        <w:tblCellMar>
          <w:top w:w="28" w:type="dxa"/>
          <w:left w:w="28" w:type="dxa"/>
          <w:bottom w:w="28" w:type="dxa"/>
          <w:right w:w="28" w:type="dxa"/>
        </w:tblCellMar>
      </w:tblPr>
      <w:tblGrid>
        <w:gridCol w:w="563"/>
        <w:gridCol w:w="496"/>
        <w:gridCol w:w="500"/>
        <w:gridCol w:w="869"/>
        <w:gridCol w:w="869"/>
        <w:gridCol w:w="872"/>
        <w:gridCol w:w="869"/>
        <w:gridCol w:w="869"/>
        <w:gridCol w:w="872"/>
        <w:gridCol w:w="566"/>
        <w:gridCol w:w="566"/>
        <w:gridCol w:w="803"/>
      </w:tblGrid>
      <w:tr>
        <w:trPr/>
        <w:tc>
          <w:tcPr>
            <w:tcW w:w="56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FFFFFF"/>
                <w:sz w:val="16"/>
              </w:rPr>
            </w:pPr>
            <w:r>
              <w:rPr>
                <w:rFonts w:ascii="Roboto;sans-serif" w:hAnsi="Roboto;sans-serif"/>
                <w:b/>
                <w:color w:val="FFFFFF"/>
                <w:sz w:val="16"/>
              </w:rPr>
              <w:t>Name</w:t>
            </w:r>
          </w:p>
        </w:tc>
        <w:tc>
          <w:tcPr>
            <w:tcW w:w="2610"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Year-End 2024 Base Salary</w:t>
            </w:r>
          </w:p>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w:t>
            </w:r>
          </w:p>
        </w:tc>
        <w:tc>
          <w:tcPr>
            <w:tcW w:w="2610"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Year-End 2025 Base Salary</w:t>
            </w:r>
          </w:p>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w:t>
            </w:r>
          </w:p>
        </w:tc>
        <w:tc>
          <w:tcPr>
            <w:tcW w:w="1935"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Percentage Change</w:t>
            </w:r>
          </w:p>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w:t>
            </w:r>
          </w:p>
        </w:tc>
      </w:tr>
      <w:tr>
        <w:trPr/>
        <w:tc>
          <w:tcPr>
            <w:tcW w:w="155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000000"/>
                <w:sz w:val="16"/>
              </w:rPr>
            </w:pPr>
            <w:r>
              <w:rPr>
                <w:rFonts w:ascii="Roboto;sans-serif" w:hAnsi="Roboto;sans-serif"/>
                <w:b/>
                <w:color w:val="000000"/>
                <w:sz w:val="16"/>
              </w:rPr>
              <w:t>Steve Lawrence</w:t>
            </w:r>
          </w:p>
        </w:tc>
        <w:tc>
          <w:tcPr>
            <w:tcW w:w="2610"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1,050,000</w:t>
            </w:r>
          </w:p>
        </w:tc>
        <w:tc>
          <w:tcPr>
            <w:tcW w:w="2610"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1,085,000</w:t>
            </w:r>
          </w:p>
        </w:tc>
        <w:tc>
          <w:tcPr>
            <w:tcW w:w="1935"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3.3</w:t>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000000"/>
                <w:sz w:val="16"/>
              </w:rPr>
            </w:pPr>
            <w:r>
              <w:rPr>
                <w:rFonts w:ascii="Roboto;sans-serif" w:hAnsi="Roboto;sans-serif"/>
                <w:b/>
                <w:color w:val="000000"/>
                <w:sz w:val="16"/>
              </w:rPr>
              <w:t>Sam Johnson</w:t>
            </w:r>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840,000</w:t>
            </w:r>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865,000</w:t>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3.0</w:t>
            </w:r>
          </w:p>
        </w:tc>
      </w:tr>
      <w:tr>
        <w:trPr/>
        <w:tc>
          <w:tcPr>
            <w:tcW w:w="1559"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000000"/>
                <w:sz w:val="16"/>
              </w:rPr>
            </w:pPr>
            <w:r>
              <w:rPr>
                <w:rFonts w:ascii="Roboto;sans-serif" w:hAnsi="Roboto;sans-serif"/>
                <w:b/>
                <w:color w:val="000000"/>
                <w:sz w:val="16"/>
              </w:rPr>
              <w:t>Carl Ford</w:t>
            </w:r>
          </w:p>
        </w:tc>
        <w:tc>
          <w:tcPr>
            <w:tcW w:w="2610"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525,000</w:t>
            </w:r>
          </w:p>
        </w:tc>
        <w:tc>
          <w:tcPr>
            <w:tcW w:w="2610"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550,000</w:t>
            </w:r>
          </w:p>
        </w:tc>
        <w:tc>
          <w:tcPr>
            <w:tcW w:w="1935"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4.8</w:t>
            </w:r>
          </w:p>
        </w:tc>
      </w:tr>
      <w:tr>
        <w:trPr/>
        <w:tc>
          <w:tcPr>
            <w:tcW w:w="1559"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0"/>
              <w:jc w:val="left"/>
              <w:rPr>
                <w:rFonts w:ascii="Roboto;sans-serif" w:hAnsi="Roboto;sans-serif"/>
                <w:b/>
                <w:color w:val="000000"/>
                <w:sz w:val="16"/>
              </w:rPr>
            </w:pPr>
            <w:r>
              <w:rPr>
                <w:rFonts w:ascii="Roboto;sans-serif" w:hAnsi="Roboto;sans-serif"/>
                <w:b/>
                <w:color w:val="000000"/>
                <w:sz w:val="16"/>
              </w:rPr>
              <w:t>Matt McCabe</w:t>
            </w:r>
          </w:p>
        </w:tc>
        <w:tc>
          <w:tcPr>
            <w:tcW w:w="2610"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525,000</w:t>
            </w:r>
          </w:p>
        </w:tc>
        <w:tc>
          <w:tcPr>
            <w:tcW w:w="2610"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550,000</w:t>
            </w:r>
          </w:p>
        </w:tc>
        <w:tc>
          <w:tcPr>
            <w:tcW w:w="1935"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4.8</w:t>
            </w:r>
          </w:p>
        </w:tc>
      </w:tr>
    </w:tbl>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2025 Executive Team Bonus Plan</w:t>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Bonus Plan Design</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We seek to tie a significant portion of NEO compensation to performance. To accomplish this objective, we provide our NEOs the opportunity to earn annual cash bonuses tied to the achievement of both Company (weighted 90%) and individual (weighted 10%) performance metrics. Each NEO may earn from 0% to 200% of their target bonus opportunity. Any earned bonus payments are generally subject to the NEO’s continued employment through the payment date, which typically occurs in April following the end of the applicable fiscal year.</w:t>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Target Opportunities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Target bonus opportunities are expressed as a percentage of each NEO’s annual base salary. For fiscal 2025, each NEO’s target bonus opportunity remained unchanged from the end of fiscal 2024: 175% for Mr. Lawrence, 140% for Mr. Johnson, and 120% for each of Messrs. Ford, and McCabe.</w:t>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Performance Metrics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During first quarter 2025, the Committee finalized and approved the performance metrics for the Executive Bonus Plan. In setting the goals described below, the Committee established what it believed were stretch goals that would incentivize and reward exceptional employee performance without any guarantee that we would meet or exceed such metrics in the prevailing business environment.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For NEOs to be eligible to receive any payout under the Executive Bonus Plan, the Company must achieve a minimum Adj. EBIT result of at least 80% of the Adj. EBIT target set and approved by the Committee. If this threshold is not met, no bonuses will be paid under the Executive Bonus Plan.</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 Company performance metrics represent 90% of each NEO’s total annual bonus opportunity under the Executive Bonus Plan. For 2025, the Committee approved Adj. EBIT (45%) and Net Sales (45%) as the two Company performance metrics. Adj. EBIT reflects the profitability of the Company inclusive of depreciation and amortization impacts. Net Sales reflect the primary means of growth for the Company. For both metrics, the Committee set performance targets above prior</w:t>
        <w:noBreakHyphen/>
        <w:t>year results to reinforce a pay</w:t>
        <w:noBreakHyphen/>
        <w:t>for</w:t>
        <w:noBreakHyphen/>
        <w:t>performance philosophy and ensure continued progress against our strategic objectives.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263525"/>
                <wp:effectExtent l="0" t="0" r="0" b="0"/>
                <wp:wrapNone/>
                <wp:docPr id="364" name="Frame61"/>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365"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248" descr=""/>
                                          <pic:cNvPicPr>
                                            <a:picLocks noChangeAspect="1" noChangeArrowheads="1"/>
                                          </pic:cNvPicPr>
                                        </pic:nvPicPr>
                                        <pic:blipFill>
                                          <a:blip r:embed="rId305"/>
                                          <a:stretch>
                                            <a:fillRect/>
                                          </a:stretch>
                                        </pic:blipFill>
                                        <pic:spPr bwMode="auto">
                                          <a:xfrm>
                                            <a:off x="0" y="0"/>
                                            <a:ext cx="266700" cy="200025"/>
                                          </a:xfrm>
                                          <a:prstGeom prst="rect">
                                            <a:avLst/>
                                          </a:prstGeom>
                                        </pic:spPr>
                                      </pic:pic>
                                    </a:graphicData>
                                  </a:graphic>
                                </wp:inline>
                              </w:drawing>
                            </w:r>
                            <w:bookmarkStart w:id="304" w:name="i-248"/>
                            <w:bookmarkEnd w:id="30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366"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248" descr=""/>
                                    <pic:cNvPicPr>
                                      <a:picLocks noChangeAspect="1" noChangeArrowheads="1"/>
                                    </pic:cNvPicPr>
                                  </pic:nvPicPr>
                                  <pic:blipFill>
                                    <a:blip r:embed="rId306"/>
                                    <a:stretch>
                                      <a:fillRect/>
                                    </a:stretch>
                                  </pic:blipFill>
                                  <pic:spPr bwMode="auto">
                                    <a:xfrm>
                                      <a:off x="0" y="0"/>
                                      <a:ext cx="266700" cy="200025"/>
                                    </a:xfrm>
                                    <a:prstGeom prst="rect">
                                      <a:avLst/>
                                    </a:prstGeom>
                                  </pic:spPr>
                                </pic:pic>
                              </a:graphicData>
                            </a:graphic>
                          </wp:inline>
                        </w:drawing>
                      </w:r>
                      <w:bookmarkStart w:id="305" w:name="i-248"/>
                      <w:bookmarkEnd w:id="305"/>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For the Company performance metrics, we use linear interpolation to determine the payout percentage where the level of achievement falls between minimum and target or target and maximum levels of achievement.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 individual performance metric represents the remaining 10% of each NEO’s annual bonus opportunity. The individual performance metric goals consisted of key merchandising, marketing, leadership, financial, and operational objectives that support our Company’s long-range strategies to achieve our vision to be the best sports and outdoors retailer in the country with a focus on both results achieved and the NEO’s demonstration of our values – Customer focus and service, Excellence in all we do, Responsible leadership, Initiative with urgency, Students of the business, Integrity always, and Positive impact on our communities. In March 2025, Mr. Lawrence, in his role as CEO, recommended individual performance goals for the NEOs other than himself to the Committee for its approval. The Committee set Mr. Lawrence’s individual performance goals.</w:t>
      </w:r>
    </w:p>
    <w:p>
      <w:pPr>
        <w:pStyle w:val="TextBody"/>
        <w:bidi w:val="0"/>
        <w:spacing w:lineRule="auto" w:line="312" w:before="0" w:after="180"/>
        <w:jc w:val="left"/>
        <w:rPr>
          <w:rFonts w:ascii="Roboto;sans-serif" w:hAnsi="Roboto;sans-serif"/>
          <w:b/>
          <w:color w:val="1946C8"/>
          <w:sz w:val="24"/>
        </w:rPr>
      </w:pPr>
      <w:r>
        <w:rPr>
          <w:rFonts w:ascii="Roboto;sans-serif" w:hAnsi="Roboto;sans-serif"/>
          <w:b/>
          <w:color w:val="1946C8"/>
          <w:sz w:val="24"/>
        </w:rPr>
        <w:t xml:space="preserve">Achievement of Performance Goals </w:t>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2025 Executive Bonus Plan Company Performance Results</w:t>
      </w:r>
    </w:p>
    <w:p>
      <w:pPr>
        <w:pStyle w:val="TextBody"/>
        <w:bidi w:val="0"/>
        <w:spacing w:lineRule="atLeast" w:line="240" w:before="0" w:after="180"/>
        <w:jc w:val="left"/>
        <w:rPr>
          <w:rFonts w:ascii="Roboto Light;sans-serif" w:hAnsi="Roboto Light;sans-serif"/>
          <w:b w:val="false"/>
          <w:color w:val="000000"/>
          <w:sz w:val="18"/>
        </w:rPr>
      </w:pPr>
      <w:r>
        <w:rPr>
          <w:rFonts w:ascii="Roboto Light;sans-serif" w:hAnsi="Roboto Light;sans-serif"/>
          <w:b w:val="false"/>
          <w:color w:val="000000"/>
          <w:sz w:val="18"/>
        </w:rPr>
        <w:t>The following table summarizes the 2025 Executive Bonus Plan Company performance results:</w:t>
      </w:r>
    </w:p>
    <w:tbl>
      <w:tblPr>
        <w:tblW w:w="9030" w:type="dxa"/>
        <w:jc w:val="left"/>
        <w:tblInd w:w="0" w:type="dxa"/>
        <w:tblLayout w:type="fixed"/>
        <w:tblCellMar>
          <w:top w:w="28" w:type="dxa"/>
          <w:left w:w="28" w:type="dxa"/>
          <w:bottom w:w="28" w:type="dxa"/>
          <w:right w:w="28" w:type="dxa"/>
        </w:tblCellMar>
      </w:tblPr>
      <w:tblGrid>
        <w:gridCol w:w="489"/>
        <w:gridCol w:w="429"/>
        <w:gridCol w:w="432"/>
        <w:gridCol w:w="309"/>
        <w:gridCol w:w="309"/>
        <w:gridCol w:w="311"/>
        <w:gridCol w:w="749"/>
        <w:gridCol w:w="749"/>
        <w:gridCol w:w="752"/>
        <w:gridCol w:w="350"/>
        <w:gridCol w:w="350"/>
        <w:gridCol w:w="351"/>
        <w:gridCol w:w="259"/>
        <w:gridCol w:w="259"/>
        <w:gridCol w:w="263"/>
        <w:gridCol w:w="330"/>
        <w:gridCol w:w="330"/>
        <w:gridCol w:w="331"/>
        <w:gridCol w:w="435"/>
        <w:gridCol w:w="435"/>
        <w:gridCol w:w="436"/>
        <w:gridCol w:w="109"/>
        <w:gridCol w:w="109"/>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vMerge w:val="restart"/>
            <w:tcBorders>
              <w:top w:val="single" w:sz="12" w:space="0" w:color="1946C8"/>
              <w:bottom w:val="single" w:sz="12" w:space="0" w:color="E81111"/>
            </w:tcBorders>
            <w:shd w:fill="ECF8FE" w:val="clear"/>
            <w:tcMar>
              <w:top w:w="30" w:type="dxa"/>
              <w:left w:w="0" w:type="dxa"/>
              <w:bottom w:w="30" w:type="dxa"/>
              <w:right w:w="0" w:type="dxa"/>
            </w:tcMar>
            <w:vAlign w:val="center"/>
          </w:tcPr>
          <w:p>
            <w:pPr>
              <w:pStyle w:val="TableContents"/>
              <w:bidi w:val="0"/>
              <w:spacing w:lineRule="auto" w:line="288" w:before="0" w:after="0"/>
              <w:ind w:left="0" w:right="0" w:hanging="240"/>
              <w:jc w:val="center"/>
              <w:rPr>
                <w:rFonts w:ascii="Arial;sans-serif" w:hAnsi="Arial;sans-serif"/>
                <w:b/>
                <w:color w:val="000000"/>
                <w:sz w:val="16"/>
              </w:rPr>
            </w:pPr>
            <w:r>
              <w:rPr>
                <w:rFonts w:ascii="Arial;sans-serif" w:hAnsi="Arial;sans-serif"/>
                <w:b/>
                <w:color w:val="000000"/>
                <w:sz w:val="16"/>
              </w:rPr>
              <w:t>Company</w:t>
            </w:r>
          </w:p>
          <w:p>
            <w:pPr>
              <w:pStyle w:val="TableContents"/>
              <w:bidi w:val="0"/>
              <w:spacing w:lineRule="auto" w:line="288" w:before="0" w:after="20"/>
              <w:ind w:left="0" w:right="0" w:hanging="240"/>
              <w:jc w:val="center"/>
              <w:rPr>
                <w:rFonts w:ascii="Arial;sans-serif" w:hAnsi="Arial;sans-serif"/>
                <w:b/>
                <w:color w:val="000000"/>
                <w:sz w:val="16"/>
              </w:rPr>
            </w:pPr>
            <w:r>
              <w:rPr>
                <w:rFonts w:ascii="Arial;sans-serif" w:hAnsi="Arial;sans-serif"/>
                <w:b/>
                <w:color w:val="000000"/>
                <w:sz w:val="16"/>
              </w:rPr>
              <w:t>Performance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(weighted 90%)</w:t>
            </w:r>
          </w:p>
        </w:tc>
        <w:tc>
          <w:tcPr>
            <w:tcW w:w="929" w:type="dxa"/>
            <w:gridSpan w:val="3"/>
            <w:tcBorders>
              <w:top w:val="single" w:sz="12" w:space="0" w:color="1946C8"/>
            </w:tcBorders>
            <w:shd w:fill="1946C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12" w:space="0" w:color="1946C8"/>
            </w:tcBorders>
            <w:shd w:fill="1946C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9" w:type="dxa"/>
            <w:gridSpan w:val="12"/>
            <w:tcBorders>
              <w:top w:val="single" w:sz="12" w:space="0" w:color="1946C8"/>
            </w:tcBorders>
            <w:shd w:fill="1946C8" w:val="clear"/>
            <w:tcMar>
              <w:top w:w="3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FFFFFF"/>
                <w:sz w:val="16"/>
              </w:rPr>
            </w:pPr>
            <w:r>
              <w:rPr>
                <w:rFonts w:ascii="Roboto;sans-serif" w:hAnsi="Roboto;sans-serif"/>
                <w:b/>
                <w:color w:val="FFFFFF"/>
                <w:sz w:val="16"/>
              </w:rPr>
              <w:t>Level of Achievement</w:t>
            </w:r>
          </w:p>
        </w:tc>
        <w:tc>
          <w:tcPr>
            <w:tcW w:w="372" w:type="dxa"/>
            <w:gridSpan w:val="3"/>
            <w:tcBorders>
              <w:top w:val="single" w:sz="12" w:space="0" w:color="1946C8"/>
            </w:tcBorders>
            <w:shd w:fill="1946C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vMerge w:val="continue"/>
            <w:tcBorders>
              <w:top w:val="single" w:sz="12" w:space="0" w:color="1946C8"/>
              <w:bottom w:val="single" w:sz="12" w:space="0" w:color="E81111"/>
            </w:tcBorders>
            <w:shd w:fill="ECF8FE" w:val="clear"/>
            <w:tcMar>
              <w:top w:w="30" w:type="dxa"/>
              <w:left w:w="0" w:type="dxa"/>
              <w:bottom w:w="30" w:type="dxa"/>
              <w:right w:w="0" w:type="dxa"/>
            </w:tcMar>
            <w:vAlign w:val="center"/>
          </w:tcPr>
          <w:p>
            <w:pPr>
              <w:pStyle w:val="Normal"/>
              <w:bidi w:val="0"/>
              <w:jc w:val="left"/>
              <w:rPr/>
            </w:pPr>
            <w:r>
              <w:rPr/>
            </w:r>
          </w:p>
        </w:tc>
        <w:tc>
          <w:tcPr>
            <w:tcW w:w="929"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FFFFFF"/>
                <w:sz w:val="16"/>
              </w:rPr>
            </w:pPr>
            <w:r>
              <w:rPr>
                <w:rFonts w:ascii="Roboto;sans-serif" w:hAnsi="Roboto;sans-serif"/>
                <w:b/>
                <w:color w:val="FFFFFF"/>
                <w:sz w:val="16"/>
              </w:rPr>
              <w:t>Metrics </w:t>
            </w:r>
          </w:p>
        </w:tc>
        <w:tc>
          <w:tcPr>
            <w:tcW w:w="225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6"/>
              </w:rPr>
            </w:pPr>
            <w:r>
              <w:rPr>
                <w:rFonts w:ascii="Roboto;sans-serif" w:hAnsi="Roboto;sans-serif"/>
                <w:b/>
                <w:color w:val="FFFFFF"/>
                <w:sz w:val="16"/>
              </w:rPr>
              <w:t>Threshold</w:t>
            </w:r>
          </w:p>
        </w:tc>
        <w:tc>
          <w:tcPr>
            <w:tcW w:w="781"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Target</w:t>
            </w:r>
          </w:p>
        </w:tc>
        <w:tc>
          <w:tcPr>
            <w:tcW w:w="991"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6"/>
              </w:rPr>
            </w:pPr>
            <w:r>
              <w:rPr>
                <w:rFonts w:ascii="Roboto;sans-serif" w:hAnsi="Roboto;sans-serif"/>
                <w:b/>
                <w:color w:val="FFFFFF"/>
                <w:sz w:val="16"/>
              </w:rPr>
              <w:t>Maximum</w:t>
            </w:r>
          </w:p>
        </w:tc>
        <w:tc>
          <w:tcPr>
            <w:tcW w:w="1306"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6"/>
              </w:rPr>
            </w:pPr>
            <w:r>
              <w:rPr>
                <w:rFonts w:ascii="Roboto;sans-serif" w:hAnsi="Roboto;sans-serif"/>
                <w:b/>
                <w:color w:val="FFFFFF"/>
                <w:sz w:val="16"/>
              </w:rPr>
              <w:t>Achievement</w:t>
            </w:r>
          </w:p>
        </w:tc>
        <w:tc>
          <w:tcPr>
            <w:tcW w:w="37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vMerge w:val="continue"/>
            <w:tcBorders>
              <w:top w:val="single" w:sz="12" w:space="0" w:color="1946C8"/>
              <w:bottom w:val="single" w:sz="12" w:space="0" w:color="E81111"/>
            </w:tcBorders>
            <w:shd w:fill="ECF8FE" w:val="clear"/>
            <w:tcMar>
              <w:top w:w="30" w:type="dxa"/>
              <w:left w:w="0" w:type="dxa"/>
              <w:bottom w:w="30" w:type="dxa"/>
              <w:right w:w="0" w:type="dxa"/>
            </w:tcMar>
            <w:vAlign w:val="center"/>
          </w:tcPr>
          <w:p>
            <w:pPr>
              <w:pStyle w:val="Normal"/>
              <w:bidi w:val="0"/>
              <w:jc w:val="left"/>
              <w:rPr/>
            </w:pPr>
            <w:r>
              <w:rPr/>
            </w:r>
          </w:p>
        </w:tc>
        <w:tc>
          <w:tcPr>
            <w:tcW w:w="92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vMerge w:val="continue"/>
            <w:tcBorders>
              <w:top w:val="single" w:sz="12" w:space="0" w:color="1946C8"/>
              <w:bottom w:val="single" w:sz="12" w:space="0" w:color="E81111"/>
            </w:tcBorders>
            <w:shd w:fill="ECF8FE" w:val="clear"/>
            <w:tcMar>
              <w:top w:w="30" w:type="dxa"/>
              <w:left w:w="0" w:type="dxa"/>
              <w:bottom w:w="30" w:type="dxa"/>
              <w:right w:w="0" w:type="dxa"/>
            </w:tcMar>
            <w:vAlign w:val="center"/>
          </w:tcPr>
          <w:p>
            <w:pPr>
              <w:pStyle w:val="Normal"/>
              <w:bidi w:val="0"/>
              <w:jc w:val="left"/>
              <w:rPr/>
            </w:pPr>
            <w:r>
              <w:rPr/>
            </w:r>
          </w:p>
        </w:tc>
        <w:tc>
          <w:tcPr>
            <w:tcW w:w="929" w:type="dxa"/>
            <w:gridSpan w:val="3"/>
            <w:vMerge w:val="restart"/>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Adj. EBIT*</w:t>
              <w:br/>
              <w:t>(45%)</w:t>
            </w:r>
          </w:p>
        </w:tc>
        <w:tc>
          <w:tcPr>
            <w:tcW w:w="22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Goal (in millions)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$537.63</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$632.50</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$727.38</w:t>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Roboto;sans-serif" w:hAnsi="Roboto;sans-serif"/>
                <w:b w:val="false"/>
                <w:color w:val="000000"/>
                <w:sz w:val="16"/>
              </w:rPr>
            </w:pPr>
            <w:r>
              <w:rPr>
                <w:rFonts w:ascii="Roboto;sans-serif" w:hAnsi="Roboto;sans-serif"/>
                <w:b w:val="false"/>
                <w:color w:val="000000"/>
                <w:sz w:val="16"/>
              </w:rPr>
              <w:t>$594.74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vMerge w:val="continue"/>
            <w:tcBorders>
              <w:top w:val="single" w:sz="12" w:space="0" w:color="1946C8"/>
              <w:bottom w:val="single" w:sz="12" w:space="0" w:color="E81111"/>
            </w:tcBorders>
            <w:shd w:fill="ECF8FE" w:val="clear"/>
            <w:tcMar>
              <w:top w:w="30" w:type="dxa"/>
              <w:left w:w="0" w:type="dxa"/>
              <w:bottom w:w="30" w:type="dxa"/>
              <w:right w:w="0" w:type="dxa"/>
            </w:tcMar>
            <w:vAlign w:val="center"/>
          </w:tcPr>
          <w:p>
            <w:pPr>
              <w:pStyle w:val="Normal"/>
              <w:bidi w:val="0"/>
              <w:jc w:val="left"/>
              <w:rPr/>
            </w:pPr>
            <w:r>
              <w:rPr/>
            </w:r>
          </w:p>
        </w:tc>
        <w:tc>
          <w:tcPr>
            <w:tcW w:w="92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225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Goal as % of Target (%)</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85.0</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100.0</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115.0</w:t>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94.0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vMerge w:val="continue"/>
            <w:tcBorders>
              <w:top w:val="single" w:sz="12" w:space="0" w:color="1946C8"/>
              <w:bottom w:val="single" w:sz="12" w:space="0" w:color="E81111"/>
            </w:tcBorders>
            <w:shd w:fill="ECF8FE" w:val="clear"/>
            <w:tcMar>
              <w:top w:w="30" w:type="dxa"/>
              <w:left w:w="0" w:type="dxa"/>
              <w:bottom w:w="30" w:type="dxa"/>
              <w:right w:w="0" w:type="dxa"/>
            </w:tcMar>
            <w:vAlign w:val="center"/>
          </w:tcPr>
          <w:p>
            <w:pPr>
              <w:pStyle w:val="Normal"/>
              <w:bidi w:val="0"/>
              <w:jc w:val="left"/>
              <w:rPr/>
            </w:pPr>
            <w:r>
              <w:rPr/>
            </w:r>
          </w:p>
        </w:tc>
        <w:tc>
          <w:tcPr>
            <w:tcW w:w="92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225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Payout as % of Target (%)</w:t>
            </w:r>
          </w:p>
        </w:tc>
        <w:tc>
          <w:tcPr>
            <w:tcW w:w="105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50.0</w:t>
            </w:r>
          </w:p>
        </w:tc>
        <w:tc>
          <w:tcPr>
            <w:tcW w:w="78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100.0</w:t>
            </w:r>
          </w:p>
        </w:tc>
        <w:tc>
          <w:tcPr>
            <w:tcW w:w="99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200.0</w:t>
            </w:r>
          </w:p>
        </w:tc>
        <w:tc>
          <w:tcPr>
            <w:tcW w:w="130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80.1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vMerge w:val="continue"/>
            <w:tcBorders>
              <w:top w:val="single" w:sz="12" w:space="0" w:color="1946C8"/>
              <w:bottom w:val="single" w:sz="12" w:space="0" w:color="E81111"/>
            </w:tcBorders>
            <w:shd w:fill="ECF8FE" w:val="clear"/>
            <w:tcMar>
              <w:top w:w="30" w:type="dxa"/>
              <w:left w:w="0" w:type="dxa"/>
              <w:bottom w:w="30" w:type="dxa"/>
              <w:right w:w="0" w:type="dxa"/>
            </w:tcMar>
            <w:vAlign w:val="center"/>
          </w:tcPr>
          <w:p>
            <w:pPr>
              <w:pStyle w:val="Normal"/>
              <w:bidi w:val="0"/>
              <w:jc w:val="left"/>
              <w:rPr/>
            </w:pPr>
            <w:r>
              <w:rPr/>
            </w:r>
          </w:p>
        </w:tc>
        <w:tc>
          <w:tcPr>
            <w:tcW w:w="929" w:type="dxa"/>
            <w:gridSpan w:val="3"/>
            <w:vMerge w:val="restart"/>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Net Sales</w:t>
              <w:br/>
              <w:t>(45%)</w:t>
            </w:r>
          </w:p>
        </w:tc>
        <w:tc>
          <w:tcPr>
            <w:tcW w:w="2250"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Goal (in billions)</w:t>
            </w:r>
          </w:p>
        </w:tc>
        <w:tc>
          <w:tcPr>
            <w:tcW w:w="105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$5.91</w:t>
            </w:r>
          </w:p>
        </w:tc>
        <w:tc>
          <w:tcPr>
            <w:tcW w:w="78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$6.36</w:t>
            </w:r>
          </w:p>
        </w:tc>
        <w:tc>
          <w:tcPr>
            <w:tcW w:w="99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$6.67</w:t>
            </w:r>
          </w:p>
        </w:tc>
        <w:tc>
          <w:tcPr>
            <w:tcW w:w="130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$6.05</w:t>
            </w:r>
          </w:p>
        </w:tc>
        <w:tc>
          <w:tcPr>
            <w:tcW w:w="372" w:type="dxa"/>
            <w:gridSpan w:val="3"/>
            <w:tcBorders>
              <w:top w:val="single" w:sz="4" w:space="0" w:color="1946C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vMerge w:val="continue"/>
            <w:tcBorders>
              <w:top w:val="single" w:sz="12" w:space="0" w:color="1946C8"/>
              <w:bottom w:val="single" w:sz="12" w:space="0" w:color="E81111"/>
            </w:tcBorders>
            <w:shd w:fill="ECF8FE" w:val="clear"/>
            <w:tcMar>
              <w:top w:w="30" w:type="dxa"/>
              <w:left w:w="0" w:type="dxa"/>
              <w:bottom w:w="30" w:type="dxa"/>
              <w:right w:w="0" w:type="dxa"/>
            </w:tcMar>
            <w:vAlign w:val="center"/>
          </w:tcPr>
          <w:p>
            <w:pPr>
              <w:pStyle w:val="Normal"/>
              <w:bidi w:val="0"/>
              <w:jc w:val="left"/>
              <w:rPr/>
            </w:pPr>
            <w:r>
              <w:rPr/>
            </w:r>
          </w:p>
        </w:tc>
        <w:tc>
          <w:tcPr>
            <w:tcW w:w="929" w:type="dxa"/>
            <w:gridSpan w:val="3"/>
            <w:vMerge w:val="continue"/>
            <w:tcBorders>
              <w:bottom w:val="single" w:sz="12" w:space="0" w:color="E81111"/>
            </w:tcBorders>
            <w:shd w:fill="FFFFFF" w:val="clear"/>
            <w:tcMar>
              <w:top w:w="0" w:type="dxa"/>
              <w:left w:w="0" w:type="dxa"/>
              <w:bottom w:w="30" w:type="dxa"/>
              <w:right w:w="0" w:type="dxa"/>
            </w:tcMar>
            <w:vAlign w:val="center"/>
          </w:tcPr>
          <w:p>
            <w:pPr>
              <w:pStyle w:val="Normal"/>
              <w:bidi w:val="0"/>
              <w:jc w:val="left"/>
              <w:rPr/>
            </w:pPr>
            <w:r>
              <w:rPr/>
            </w:r>
          </w:p>
        </w:tc>
        <w:tc>
          <w:tcPr>
            <w:tcW w:w="225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Goal as % of Target (%)</w:t>
            </w:r>
          </w:p>
        </w:tc>
        <w:tc>
          <w:tcPr>
            <w:tcW w:w="105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93.0</w:t>
            </w:r>
          </w:p>
        </w:tc>
        <w:tc>
          <w:tcPr>
            <w:tcW w:w="78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100.0</w:t>
            </w:r>
          </w:p>
        </w:tc>
        <w:tc>
          <w:tcPr>
            <w:tcW w:w="99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105.0</w:t>
            </w:r>
          </w:p>
        </w:tc>
        <w:tc>
          <w:tcPr>
            <w:tcW w:w="130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95.2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vMerge w:val="continue"/>
            <w:tcBorders>
              <w:top w:val="single" w:sz="12" w:space="0" w:color="1946C8"/>
              <w:bottom w:val="single" w:sz="12" w:space="0" w:color="E81111"/>
            </w:tcBorders>
            <w:shd w:fill="ECF8FE" w:val="clear"/>
            <w:tcMar>
              <w:top w:w="30" w:type="dxa"/>
              <w:left w:w="0" w:type="dxa"/>
              <w:bottom w:w="30" w:type="dxa"/>
              <w:right w:w="0" w:type="dxa"/>
            </w:tcMar>
            <w:vAlign w:val="center"/>
          </w:tcPr>
          <w:p>
            <w:pPr>
              <w:pStyle w:val="Normal"/>
              <w:bidi w:val="0"/>
              <w:jc w:val="left"/>
              <w:rPr/>
            </w:pPr>
            <w:r>
              <w:rPr/>
            </w:r>
          </w:p>
        </w:tc>
        <w:tc>
          <w:tcPr>
            <w:tcW w:w="929" w:type="dxa"/>
            <w:gridSpan w:val="3"/>
            <w:vMerge w:val="continue"/>
            <w:tcBorders>
              <w:bottom w:val="single" w:sz="12" w:space="0" w:color="E81111"/>
            </w:tcBorders>
            <w:shd w:fill="FFFFFF" w:val="clear"/>
            <w:tcMar>
              <w:top w:w="0" w:type="dxa"/>
              <w:left w:w="0" w:type="dxa"/>
              <w:bottom w:w="30" w:type="dxa"/>
              <w:right w:w="0" w:type="dxa"/>
            </w:tcMar>
            <w:vAlign w:val="center"/>
          </w:tcPr>
          <w:p>
            <w:pPr>
              <w:pStyle w:val="Normal"/>
              <w:bidi w:val="0"/>
              <w:jc w:val="left"/>
              <w:rPr/>
            </w:pPr>
            <w:r>
              <w:rPr/>
            </w:r>
          </w:p>
        </w:tc>
        <w:tc>
          <w:tcPr>
            <w:tcW w:w="2250"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Payout as % of Target (%)</w:t>
            </w:r>
          </w:p>
        </w:tc>
        <w:tc>
          <w:tcPr>
            <w:tcW w:w="1051"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50.0</w:t>
            </w:r>
          </w:p>
        </w:tc>
        <w:tc>
          <w:tcPr>
            <w:tcW w:w="781"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100.0</w:t>
            </w:r>
          </w:p>
        </w:tc>
        <w:tc>
          <w:tcPr>
            <w:tcW w:w="991"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200.0</w:t>
            </w:r>
          </w:p>
        </w:tc>
        <w:tc>
          <w:tcPr>
            <w:tcW w:w="1306"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66.0</w:t>
            </w:r>
          </w:p>
        </w:tc>
        <w:tc>
          <w:tcPr>
            <w:tcW w:w="372" w:type="dxa"/>
            <w:gridSpan w:val="3"/>
            <w:tcBorders>
              <w:bottom w:val="single" w:sz="12" w:space="0" w:color="E81111"/>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40" w:before="0" w:after="360"/>
        <w:jc w:val="left"/>
        <w:rPr>
          <w:rFonts w:ascii="Roboto Light;sans-serif" w:hAnsi="Roboto Light;sans-serif"/>
          <w:b w:val="false"/>
          <w:i/>
          <w:color w:val="000000"/>
          <w:sz w:val="16"/>
        </w:rPr>
      </w:pPr>
      <w:r>
        <w:rPr>
          <w:rFonts w:ascii="Roboto Light;sans-serif" w:hAnsi="Roboto Light;sans-serif"/>
          <w:b w:val="false"/>
          <w:i/>
          <w:color w:val="000000"/>
          <w:sz w:val="16"/>
        </w:rPr>
        <w:t>*Adj. EBIT is a non-GAAP financial measure. See “Annex A - Reconciliations of GAAP to Non-GAAP Financial Measures” below for reconciliations of non-GAAP financial measures used in this Proxy Statement to their most directly comparable GAAP financial measures. In calculating the Company’s 2025 Adj. EBIT for Executive Bonus Plan purposes, the Committee further adjusted the results to exclude private brand tariff expenses that exceeded planned tariff costs for the year. The Committee determined that this adjustment was appropriate in light of unanticipated and extraordinary macroeconomic effects of the tariffs during the year. This adjustment did not cause the Adj. EBIT results to move from below</w:t>
        <w:noBreakHyphen/>
        <w:t>threshold to above</w:t>
        <w:noBreakHyphen/>
        <w:t>threshold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263525"/>
                <wp:effectExtent l="0" t="0" r="0" b="0"/>
                <wp:wrapNone/>
                <wp:docPr id="367" name="Frame62"/>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368"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249" descr=""/>
                                          <pic:cNvPicPr>
                                            <a:picLocks noChangeAspect="1" noChangeArrowheads="1"/>
                                          </pic:cNvPicPr>
                                        </pic:nvPicPr>
                                        <pic:blipFill>
                                          <a:blip r:embed="rId307"/>
                                          <a:stretch>
                                            <a:fillRect/>
                                          </a:stretch>
                                        </pic:blipFill>
                                        <pic:spPr bwMode="auto">
                                          <a:xfrm>
                                            <a:off x="0" y="0"/>
                                            <a:ext cx="266700" cy="200025"/>
                                          </a:xfrm>
                                          <a:prstGeom prst="rect">
                                            <a:avLst/>
                                          </a:prstGeom>
                                        </pic:spPr>
                                      </pic:pic>
                                    </a:graphicData>
                                  </a:graphic>
                                </wp:inline>
                              </w:drawing>
                            </w:r>
                            <w:bookmarkStart w:id="306" w:name="i-249"/>
                            <w:bookmarkEnd w:id="30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369"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249" descr=""/>
                                    <pic:cNvPicPr>
                                      <a:picLocks noChangeAspect="1" noChangeArrowheads="1"/>
                                    </pic:cNvPicPr>
                                  </pic:nvPicPr>
                                  <pic:blipFill>
                                    <a:blip r:embed="rId308"/>
                                    <a:stretch>
                                      <a:fillRect/>
                                    </a:stretch>
                                  </pic:blipFill>
                                  <pic:spPr bwMode="auto">
                                    <a:xfrm>
                                      <a:off x="0" y="0"/>
                                      <a:ext cx="266700" cy="200025"/>
                                    </a:xfrm>
                                    <a:prstGeom prst="rect">
                                      <a:avLst/>
                                    </a:prstGeom>
                                  </pic:spPr>
                                </pic:pic>
                              </a:graphicData>
                            </a:graphic>
                          </wp:inline>
                        </w:drawing>
                      </w:r>
                      <w:bookmarkStart w:id="307" w:name="i-249"/>
                      <w:bookmarkEnd w:id="307"/>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57</w:t>
            </w:r>
          </w:p>
        </w:tc>
      </w:tr>
    </w:tbl>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2025 Executive Bonus Plan Individual Performance Results</w:t>
      </w:r>
    </w:p>
    <w:p>
      <w:pPr>
        <w:pStyle w:val="TextBody"/>
        <w:bidi w:val="0"/>
        <w:spacing w:lineRule="atLeast" w:line="240" w:before="0" w:after="180"/>
        <w:jc w:val="left"/>
        <w:rPr>
          <w:rFonts w:ascii="Roboto Light;sans-serif" w:hAnsi="Roboto Light;sans-serif"/>
          <w:b w:val="false"/>
          <w:color w:val="000000"/>
          <w:sz w:val="18"/>
        </w:rPr>
      </w:pPr>
      <w:r>
        <w:rPr>
          <w:rFonts w:ascii="Roboto Light;sans-serif" w:hAnsi="Roboto Light;sans-serif"/>
          <w:b w:val="false"/>
          <w:color w:val="000000"/>
          <w:sz w:val="18"/>
        </w:rPr>
        <w:t>Following the completion of the fiscal year, Mr. Lawrence evaluated each NEO’s, other than his own, individual performance achievement based on his holistic assessment of the extent to which each NEO’s individual contributions exceeded or fell short of their individual goals for the year, each NEO’s contribution to our overall Company performance, and their individual impact on advancing the Company’s strategic growth plan, while taking into account the NEO’s demonstration and role in modeling our values. Mr. Lawrence then recommended such performance assessments to the Committee for their final approval. The Committee determined Mr. Lawrence’s performance achievement independently. In determining Mr. Lawrence’s individual achievement, the Committee took a holistic view that considered the Company’s many strategic and operational advancements as well as its below target financial performance. The following table summarizes select 2025 results taken into account in determining individual performance results for the NEOs.</w:t>
      </w:r>
    </w:p>
    <w:tbl>
      <w:tblPr>
        <w:tblW w:w="10205" w:type="dxa"/>
        <w:jc w:val="left"/>
        <w:tblInd w:w="0" w:type="dxa"/>
        <w:tblLayout w:type="fixed"/>
        <w:tblCellMar>
          <w:top w:w="28" w:type="dxa"/>
          <w:left w:w="28" w:type="dxa"/>
          <w:bottom w:w="28" w:type="dxa"/>
          <w:right w:w="28" w:type="dxa"/>
        </w:tblCellMar>
      </w:tblPr>
      <w:tblGrid>
        <w:gridCol w:w="480"/>
        <w:gridCol w:w="423"/>
        <w:gridCol w:w="424"/>
        <w:gridCol w:w="759"/>
        <w:gridCol w:w="759"/>
        <w:gridCol w:w="760"/>
        <w:gridCol w:w="1932"/>
        <w:gridCol w:w="1932"/>
        <w:gridCol w:w="2736"/>
      </w:tblGrid>
      <w:tr>
        <w:trPr/>
        <w:tc>
          <w:tcPr>
            <w:tcW w:w="48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r>
      <w:tr>
        <w:trPr/>
        <w:tc>
          <w:tcPr>
            <w:tcW w:w="1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FFFFFF"/>
                <w:sz w:val="16"/>
              </w:rPr>
            </w:pPr>
            <w:r>
              <w:rPr>
                <w:rFonts w:ascii="Roboto;sans-serif" w:hAnsi="Roboto;sans-serif"/>
                <w:b/>
                <w:color w:val="FFFFFF"/>
                <w:sz w:val="16"/>
              </w:rPr>
              <w:t>Name &amp; Position</w:t>
            </w:r>
          </w:p>
        </w:tc>
        <w:tc>
          <w:tcPr>
            <w:tcW w:w="2278"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FFFFFF"/>
                <w:sz w:val="16"/>
              </w:rPr>
            </w:pPr>
            <w:r>
              <w:rPr>
                <w:rFonts w:ascii="Roboto;sans-serif" w:hAnsi="Roboto;sans-serif"/>
                <w:b/>
                <w:color w:val="FFFFFF"/>
                <w:sz w:val="16"/>
              </w:rPr>
              <w:t>2025 Individual Performance Attainment</w:t>
            </w:r>
          </w:p>
        </w:tc>
        <w:tc>
          <w:tcPr>
            <w:tcW w:w="6600"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FFFFFF"/>
                <w:sz w:val="16"/>
              </w:rPr>
            </w:pPr>
            <w:r>
              <w:rPr>
                <w:rFonts w:ascii="Roboto;sans-serif" w:hAnsi="Roboto;sans-serif"/>
                <w:b/>
                <w:color w:val="FFFFFF"/>
                <w:sz w:val="16"/>
              </w:rPr>
              <w:t>2025 Individual Performance Results</w:t>
            </w:r>
          </w:p>
        </w:tc>
      </w:tr>
      <w:tr>
        <w:trPr/>
        <w:tc>
          <w:tcPr>
            <w:tcW w:w="1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000000"/>
                <w:sz w:val="16"/>
              </w:rPr>
            </w:pPr>
            <w:r>
              <w:rPr>
                <w:rFonts w:ascii="Roboto;sans-serif" w:hAnsi="Roboto;sans-serif"/>
                <w:b/>
                <w:color w:val="000000"/>
                <w:sz w:val="16"/>
              </w:rPr>
              <w:t>Steve Lawrence</w:t>
            </w:r>
          </w:p>
          <w:p>
            <w:pPr>
              <w:pStyle w:val="TableContents"/>
              <w:bidi w:val="0"/>
              <w:spacing w:lineRule="auto" w:line="312" w:before="0" w:after="0"/>
              <w:jc w:val="left"/>
              <w:rPr>
                <w:rFonts w:ascii="Roboto;sans-serif" w:hAnsi="Roboto;sans-serif"/>
                <w:b/>
                <w:color w:val="000000"/>
                <w:sz w:val="16"/>
              </w:rPr>
            </w:pPr>
            <w:r>
              <w:rPr>
                <w:rFonts w:ascii="Roboto;sans-serif" w:hAnsi="Roboto;sans-serif"/>
                <w:b/>
                <w:color w:val="000000"/>
                <w:sz w:val="16"/>
              </w:rPr>
              <w:t>CEO</w:t>
            </w:r>
          </w:p>
          <w:p>
            <w:pPr>
              <w:pStyle w:val="TableContents"/>
              <w:bidi w:val="0"/>
              <w:spacing w:before="0" w:after="0"/>
              <w:jc w:val="left"/>
              <w:rPr/>
            </w:pPr>
            <w:r>
              <w:rPr/>
            </w:r>
          </w:p>
        </w:tc>
        <w:tc>
          <w:tcPr>
            <w:tcW w:w="2278"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Achieved target</w:t>
            </w:r>
          </w:p>
        </w:tc>
        <w:tc>
          <w:tcPr>
            <w:tcW w:w="6600" w:type="dxa"/>
            <w:gridSpan w:val="3"/>
            <w:tcBorders/>
            <w:shd w:fill="ECF8FE" w:val="clear"/>
            <w:tcMar>
              <w:top w:w="0" w:type="dxa"/>
              <w:left w:w="0" w:type="dxa"/>
              <w:bottom w:w="0" w:type="dxa"/>
              <w:right w:w="0" w:type="dxa"/>
            </w:tcMar>
            <w:vAlign w:val="center"/>
          </w:tcPr>
          <w:p>
            <w:pPr>
              <w:pStyle w:val="TableContents"/>
              <w:bidi w:val="0"/>
              <w:spacing w:lineRule="auto" w:line="312" w:before="0" w:after="0"/>
              <w:ind w:left="0" w:right="0" w:hanging="288"/>
              <w:jc w:val="left"/>
              <w:rPr/>
            </w:pPr>
            <w:r>
              <w:rPr>
                <w:color w:val="000000"/>
              </w:rPr>
              <w:t>•</w:t>
            </w:r>
            <w:r>
              <w:rPr>
                <w:rFonts w:ascii="Roboto;sans-serif" w:hAnsi="Roboto;sans-serif"/>
                <w:b w:val="false"/>
                <w:color w:val="000000"/>
                <w:sz w:val="16"/>
              </w:rPr>
              <w:t>Under his leadership, the Company:</w:t>
            </w:r>
          </w:p>
          <w:p>
            <w:pPr>
              <w:pStyle w:val="TableContents"/>
              <w:bidi w:val="0"/>
              <w:spacing w:lineRule="auto" w:line="312" w:before="0" w:after="0"/>
              <w:ind w:left="0" w:right="0" w:hanging="270"/>
              <w:jc w:val="left"/>
              <w:rPr/>
            </w:pPr>
            <w:r>
              <w:rPr>
                <w:color w:val="000000"/>
              </w:rPr>
              <w:t>◦</w:t>
            </w:r>
            <w:r>
              <w:rPr>
                <w:rFonts w:ascii="Roboto;sans-serif" w:hAnsi="Roboto;sans-serif"/>
                <w:b w:val="false"/>
                <w:color w:val="000000"/>
                <w:sz w:val="16"/>
              </w:rPr>
              <w:t>Delivered top line sales growth of 2% and a 90bp gross margin increase over prior year.</w:t>
            </w:r>
          </w:p>
          <w:p>
            <w:pPr>
              <w:pStyle w:val="TableContents"/>
              <w:bidi w:val="0"/>
              <w:spacing w:lineRule="auto" w:line="312" w:before="0" w:after="0"/>
              <w:ind w:left="0" w:right="0" w:hanging="270"/>
              <w:jc w:val="left"/>
              <w:rPr/>
            </w:pPr>
            <w:r>
              <w:rPr>
                <w:color w:val="000000"/>
              </w:rPr>
              <w:t>◦</w:t>
            </w:r>
            <w:r>
              <w:rPr>
                <w:rFonts w:ascii="Roboto;sans-serif" w:hAnsi="Roboto;sans-serif"/>
                <w:b w:val="false"/>
                <w:color w:val="000000"/>
                <w:sz w:val="16"/>
              </w:rPr>
              <w:t>Aggressively mitigated much of the Company’s substantial unplanned expense due to regulatory changes.</w:t>
            </w:r>
          </w:p>
          <w:p>
            <w:pPr>
              <w:pStyle w:val="TableContents"/>
              <w:bidi w:val="0"/>
              <w:spacing w:lineRule="auto" w:line="312" w:before="0" w:after="0"/>
              <w:ind w:left="0" w:right="0" w:hanging="270"/>
              <w:jc w:val="left"/>
              <w:rPr/>
            </w:pPr>
            <w:r>
              <w:rPr>
                <w:color w:val="000000"/>
              </w:rPr>
              <w:t>◦</w:t>
            </w:r>
            <w:r>
              <w:rPr>
                <w:rFonts w:ascii="Roboto;sans-serif" w:hAnsi="Roboto;sans-serif"/>
                <w:b w:val="false"/>
                <w:color w:val="000000"/>
                <w:sz w:val="16"/>
              </w:rPr>
              <w:t>Successfully oversaw the opening of 24 stores, a 50% increase in new locations to prior year, which in aggregate generated $143 million in additional 2025 sales for the Company.</w:t>
            </w:r>
          </w:p>
          <w:p>
            <w:pPr>
              <w:pStyle w:val="TableContents"/>
              <w:bidi w:val="0"/>
              <w:spacing w:lineRule="auto" w:line="312" w:before="0" w:after="0"/>
              <w:ind w:left="0" w:right="0" w:hanging="270"/>
              <w:jc w:val="left"/>
              <w:rPr/>
            </w:pPr>
            <w:r>
              <w:rPr>
                <w:color w:val="000000"/>
              </w:rPr>
              <w:t>◦</w:t>
            </w:r>
            <w:r>
              <w:rPr>
                <w:rFonts w:ascii="Roboto;sans-serif" w:hAnsi="Roboto;sans-serif"/>
                <w:b w:val="false"/>
                <w:color w:val="000000"/>
                <w:sz w:val="16"/>
              </w:rPr>
              <w:t>Oversaw a 13.6% increase in Academy.com sales year-over-year and grew net sales penetration by 120bp, driven largely by a focus on site experience.</w:t>
            </w:r>
          </w:p>
          <w:p>
            <w:pPr>
              <w:pStyle w:val="TableContents"/>
              <w:bidi w:val="0"/>
              <w:spacing w:lineRule="auto" w:line="312" w:before="0" w:after="0"/>
              <w:ind w:left="0" w:right="0" w:hanging="270"/>
              <w:jc w:val="left"/>
              <w:rPr/>
            </w:pPr>
            <w:r>
              <w:rPr>
                <w:color w:val="000000"/>
              </w:rPr>
              <w:t>◦</w:t>
            </w:r>
            <w:r>
              <w:rPr>
                <w:rFonts w:ascii="Roboto;sans-serif" w:hAnsi="Roboto;sans-serif"/>
                <w:b w:val="false"/>
                <w:color w:val="000000"/>
                <w:sz w:val="16"/>
              </w:rPr>
              <w:t>Returned $234 million to stockholders through share repurchases and dividends, inclusive of raising the quarterly dividend to $0.13 cents or up ~18% versus prior year.</w:t>
            </w:r>
          </w:p>
          <w:p>
            <w:pPr>
              <w:pStyle w:val="TableContents"/>
              <w:bidi w:val="0"/>
              <w:spacing w:lineRule="auto" w:line="312" w:before="0" w:after="0"/>
              <w:ind w:left="0" w:right="0" w:hanging="270"/>
              <w:jc w:val="left"/>
              <w:rPr/>
            </w:pPr>
            <w:r>
              <w:rPr>
                <w:color w:val="000000"/>
              </w:rPr>
              <w:t>◦</w:t>
            </w:r>
            <w:r>
              <w:rPr>
                <w:rFonts w:ascii="Roboto;sans-serif" w:hAnsi="Roboto;sans-serif"/>
                <w:b w:val="false"/>
                <w:color w:val="000000"/>
                <w:sz w:val="16"/>
              </w:rPr>
              <w:t>Launched Jordan Brand in 145 locations and expanded key categories out to all locations.</w:t>
            </w:r>
          </w:p>
          <w:p>
            <w:pPr>
              <w:pStyle w:val="TableContents"/>
              <w:bidi w:val="0"/>
              <w:spacing w:lineRule="auto" w:line="312" w:before="0" w:after="0"/>
              <w:ind w:left="0" w:right="0" w:hanging="270"/>
              <w:jc w:val="left"/>
              <w:rPr/>
            </w:pPr>
            <w:r>
              <w:rPr>
                <w:color w:val="000000"/>
              </w:rPr>
              <w:t>◦</w:t>
            </w:r>
            <w:r>
              <w:rPr>
                <w:rFonts w:ascii="Roboto;sans-serif" w:hAnsi="Roboto;sans-serif"/>
                <w:b w:val="false"/>
                <w:color w:val="000000"/>
                <w:sz w:val="16"/>
              </w:rPr>
              <w:t>Fell short of expectations for top line profit which was materially impacted by significant unplanned regulatory changes.</w:t>
            </w:r>
          </w:p>
        </w:tc>
      </w:tr>
      <w:tr>
        <w:trPr/>
        <w:tc>
          <w:tcPr>
            <w:tcW w:w="1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00000"/>
                <w:sz w:val="16"/>
              </w:rPr>
            </w:pPr>
            <w:r>
              <w:rPr>
                <w:rFonts w:ascii="Roboto;sans-serif" w:hAnsi="Roboto;sans-serif"/>
                <w:b/>
                <w:color w:val="000000"/>
                <w:sz w:val="16"/>
              </w:rPr>
              <w:t>Sam Johnson</w:t>
              <w:br/>
              <w:t>President</w:t>
            </w:r>
          </w:p>
        </w:tc>
        <w:tc>
          <w:tcPr>
            <w:tcW w:w="2278"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Achieved target</w:t>
            </w:r>
          </w:p>
        </w:tc>
        <w:tc>
          <w:tcPr>
            <w:tcW w:w="6600" w:type="dxa"/>
            <w:gridSpan w:val="3"/>
            <w:tcBorders/>
            <w:tcMar>
              <w:top w:w="0" w:type="dxa"/>
              <w:left w:w="0" w:type="dxa"/>
              <w:bottom w:w="0" w:type="dxa"/>
              <w:right w:w="0" w:type="dxa"/>
            </w:tcMar>
            <w:vAlign w:val="center"/>
          </w:tcPr>
          <w:p>
            <w:pPr>
              <w:pStyle w:val="TableContents"/>
              <w:bidi w:val="0"/>
              <w:spacing w:lineRule="auto" w:line="312" w:before="0" w:after="0"/>
              <w:ind w:left="0" w:right="0" w:hanging="288"/>
              <w:jc w:val="left"/>
              <w:rPr/>
            </w:pPr>
            <w:r>
              <w:rPr>
                <w:color w:val="000000"/>
              </w:rPr>
              <w:t>•</w:t>
            </w:r>
            <w:r>
              <w:rPr>
                <w:rFonts w:ascii="Roboto;sans-serif" w:hAnsi="Roboto;sans-serif"/>
                <w:b w:val="false"/>
                <w:color w:val="000000"/>
                <w:sz w:val="16"/>
              </w:rPr>
              <w:t>Successfully oversaw the opening of 24 stores, a 50% increase in new locations to prior year, which in aggregate generated $143 million in additional 2025 sales for the Company.</w:t>
            </w:r>
          </w:p>
          <w:p>
            <w:pPr>
              <w:pStyle w:val="TableContents"/>
              <w:bidi w:val="0"/>
              <w:spacing w:lineRule="auto" w:line="312" w:before="0" w:after="0"/>
              <w:ind w:left="0" w:right="0" w:hanging="288"/>
              <w:jc w:val="left"/>
              <w:rPr/>
            </w:pPr>
            <w:r>
              <w:rPr>
                <w:color w:val="000000"/>
              </w:rPr>
              <w:t>•</w:t>
            </w:r>
            <w:r>
              <w:rPr>
                <w:rFonts w:ascii="Roboto;sans-serif" w:hAnsi="Roboto;sans-serif"/>
                <w:b w:val="false"/>
                <w:color w:val="000000"/>
                <w:sz w:val="16"/>
              </w:rPr>
              <w:t>Increased our overall customer service scores by 210bp versus prior year.</w:t>
            </w:r>
          </w:p>
          <w:p>
            <w:pPr>
              <w:pStyle w:val="TableContents"/>
              <w:bidi w:val="0"/>
              <w:spacing w:lineRule="auto" w:line="312" w:before="0" w:after="0"/>
              <w:ind w:left="0" w:right="0" w:hanging="288"/>
              <w:jc w:val="left"/>
              <w:rPr/>
            </w:pPr>
            <w:r>
              <w:rPr>
                <w:color w:val="000000"/>
              </w:rPr>
              <w:t>•</w:t>
            </w:r>
            <w:r>
              <w:rPr>
                <w:rFonts w:ascii="Roboto;sans-serif" w:hAnsi="Roboto;sans-serif"/>
                <w:b w:val="false"/>
                <w:color w:val="000000"/>
                <w:sz w:val="16"/>
              </w:rPr>
              <w:t>Reduced supply chain expense 9% to prior year and 7% to plan, while improving overall productivity by 2%.</w:t>
            </w:r>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00000"/>
                <w:sz w:val="16"/>
              </w:rPr>
            </w:pPr>
            <w:r>
              <w:rPr>
                <w:rFonts w:ascii="Roboto;sans-serif" w:hAnsi="Roboto;sans-serif"/>
                <w:b/>
                <w:color w:val="000000"/>
                <w:sz w:val="16"/>
              </w:rPr>
              <w:t>Carl Ford</w:t>
              <w:br/>
              <w:t>EVP and CFO</w:t>
            </w:r>
          </w:p>
        </w:tc>
        <w:tc>
          <w:tcPr>
            <w:tcW w:w="2278"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Achieved target</w:t>
            </w:r>
          </w:p>
        </w:tc>
        <w:tc>
          <w:tcPr>
            <w:tcW w:w="6600" w:type="dxa"/>
            <w:gridSpan w:val="3"/>
            <w:tcBorders/>
            <w:shd w:fill="ECF8FE" w:val="clear"/>
            <w:tcMar>
              <w:top w:w="0" w:type="dxa"/>
              <w:left w:w="0" w:type="dxa"/>
              <w:bottom w:w="0" w:type="dxa"/>
              <w:right w:w="0" w:type="dxa"/>
            </w:tcMar>
            <w:vAlign w:val="center"/>
          </w:tcPr>
          <w:p>
            <w:pPr>
              <w:pStyle w:val="TableContents"/>
              <w:bidi w:val="0"/>
              <w:spacing w:lineRule="auto" w:line="312" w:before="0" w:after="0"/>
              <w:ind w:left="0" w:right="0" w:hanging="288"/>
              <w:jc w:val="left"/>
              <w:rPr/>
            </w:pPr>
            <w:r>
              <w:rPr>
                <w:color w:val="000000"/>
              </w:rPr>
              <w:t>•</w:t>
            </w:r>
            <w:r>
              <w:rPr>
                <w:rFonts w:ascii="Roboto;sans-serif" w:hAnsi="Roboto;sans-serif"/>
                <w:b w:val="false"/>
                <w:color w:val="000000"/>
                <w:sz w:val="16"/>
              </w:rPr>
              <w:t>Aggressively mitigated much of the Company’s substantial unplanned expense due to regulatory changes.</w:t>
            </w:r>
          </w:p>
          <w:p>
            <w:pPr>
              <w:pStyle w:val="TableContents"/>
              <w:bidi w:val="0"/>
              <w:spacing w:lineRule="auto" w:line="312" w:before="0" w:after="0"/>
              <w:ind w:left="0" w:right="0" w:hanging="288"/>
              <w:jc w:val="left"/>
              <w:rPr/>
            </w:pPr>
            <w:r>
              <w:rPr>
                <w:color w:val="000000"/>
              </w:rPr>
              <w:t>•</w:t>
            </w:r>
            <w:r>
              <w:rPr>
                <w:rFonts w:ascii="Roboto;sans-serif" w:hAnsi="Roboto;sans-serif"/>
                <w:b w:val="false"/>
                <w:color w:val="000000"/>
                <w:sz w:val="16"/>
              </w:rPr>
              <w:t>Returned $234 million to stockholders through share repurchases and dividends, inclusive of raising the quarterly dividend to $0.13 cents or up ~18% versus prior year.</w:t>
            </w:r>
          </w:p>
          <w:p>
            <w:pPr>
              <w:pStyle w:val="TableContents"/>
              <w:bidi w:val="0"/>
              <w:spacing w:lineRule="auto" w:line="312" w:before="0" w:after="0"/>
              <w:ind w:left="0" w:right="0" w:hanging="288"/>
              <w:jc w:val="left"/>
              <w:rPr/>
            </w:pPr>
            <w:r>
              <w:rPr>
                <w:color w:val="000000"/>
              </w:rPr>
              <w:t>•</w:t>
            </w:r>
            <w:r>
              <w:rPr>
                <w:rFonts w:ascii="Roboto;sans-serif" w:hAnsi="Roboto;sans-serif"/>
                <w:b w:val="false"/>
                <w:color w:val="000000"/>
                <w:sz w:val="16"/>
              </w:rPr>
              <w:t>Delivered capital expense spend 14% below plan.</w:t>
            </w:r>
          </w:p>
        </w:tc>
      </w:tr>
      <w:tr>
        <w:trPr/>
        <w:tc>
          <w:tcPr>
            <w:tcW w:w="1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00000"/>
                <w:sz w:val="16"/>
              </w:rPr>
            </w:pPr>
            <w:r>
              <w:rPr>
                <w:rFonts w:ascii="Roboto;sans-serif" w:hAnsi="Roboto;sans-serif"/>
                <w:b/>
                <w:color w:val="000000"/>
                <w:sz w:val="16"/>
              </w:rPr>
              <w:t>Matt McCabe</w:t>
              <w:br/>
              <w:t>EVP and CMO</w:t>
            </w:r>
          </w:p>
        </w:tc>
        <w:tc>
          <w:tcPr>
            <w:tcW w:w="2278"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Achieved target</w:t>
            </w:r>
          </w:p>
        </w:tc>
        <w:tc>
          <w:tcPr>
            <w:tcW w:w="6600" w:type="dxa"/>
            <w:gridSpan w:val="3"/>
            <w:tcBorders/>
            <w:tcMar>
              <w:top w:w="0" w:type="dxa"/>
              <w:left w:w="0" w:type="dxa"/>
              <w:bottom w:w="0" w:type="dxa"/>
              <w:right w:w="0" w:type="dxa"/>
            </w:tcMar>
            <w:vAlign w:val="center"/>
          </w:tcPr>
          <w:p>
            <w:pPr>
              <w:pStyle w:val="TableContents"/>
              <w:bidi w:val="0"/>
              <w:spacing w:lineRule="auto" w:line="312" w:before="0" w:after="0"/>
              <w:ind w:left="0" w:right="0" w:hanging="288"/>
              <w:jc w:val="left"/>
              <w:rPr/>
            </w:pPr>
            <w:r>
              <w:rPr>
                <w:color w:val="000000"/>
              </w:rPr>
              <w:t>•</w:t>
            </w:r>
            <w:r>
              <w:rPr>
                <w:rFonts w:ascii="Roboto;sans-serif" w:hAnsi="Roboto;sans-serif"/>
                <w:b w:val="false"/>
                <w:color w:val="000000"/>
                <w:sz w:val="16"/>
              </w:rPr>
              <w:t>Delivered top line sales growth of 2% and a 90bp gross margin increase over prior year.</w:t>
            </w:r>
          </w:p>
          <w:p>
            <w:pPr>
              <w:pStyle w:val="TableContents"/>
              <w:bidi w:val="0"/>
              <w:spacing w:lineRule="auto" w:line="312" w:before="0" w:after="0"/>
              <w:ind w:left="0" w:right="0" w:hanging="288"/>
              <w:jc w:val="left"/>
              <w:rPr/>
            </w:pPr>
            <w:r>
              <w:rPr>
                <w:color w:val="000000"/>
              </w:rPr>
              <w:t>•</w:t>
            </w:r>
            <w:r>
              <w:rPr>
                <w:rFonts w:ascii="Roboto;sans-serif" w:hAnsi="Roboto;sans-serif"/>
                <w:b w:val="false"/>
                <w:color w:val="000000"/>
                <w:sz w:val="16"/>
              </w:rPr>
              <w:t>Aggressively mitigated much of the Company’s substantial unplanned expense due to regulatory changes.</w:t>
            </w:r>
          </w:p>
          <w:p>
            <w:pPr>
              <w:pStyle w:val="TableContents"/>
              <w:bidi w:val="0"/>
              <w:spacing w:lineRule="auto" w:line="312" w:before="0" w:after="0"/>
              <w:ind w:left="0" w:right="0" w:hanging="288"/>
              <w:jc w:val="left"/>
              <w:rPr/>
            </w:pPr>
            <w:r>
              <w:rPr>
                <w:color w:val="000000"/>
              </w:rPr>
              <w:t>•</w:t>
            </w:r>
            <w:r>
              <w:rPr>
                <w:rFonts w:ascii="Roboto;sans-serif" w:hAnsi="Roboto;sans-serif"/>
                <w:b w:val="false"/>
                <w:color w:val="000000"/>
                <w:sz w:val="16"/>
              </w:rPr>
              <w:t>Launched Jordan Brand in 145 locations and expanded key categories out to all locations.</w:t>
            </w:r>
          </w:p>
          <w:p>
            <w:pPr>
              <w:pStyle w:val="TableContents"/>
              <w:bidi w:val="0"/>
              <w:spacing w:lineRule="auto" w:line="312" w:before="0" w:after="0"/>
              <w:ind w:left="0" w:right="0" w:hanging="288"/>
              <w:jc w:val="left"/>
              <w:rPr/>
            </w:pPr>
            <w:r>
              <w:rPr>
                <w:color w:val="000000"/>
              </w:rPr>
              <w:t>•</w:t>
            </w:r>
            <w:r>
              <w:rPr>
                <w:rFonts w:ascii="Roboto;sans-serif" w:hAnsi="Roboto;sans-serif"/>
                <w:b w:val="false"/>
                <w:color w:val="000000"/>
                <w:sz w:val="16"/>
              </w:rPr>
              <w:t>Improved inventory in-stocks ~500bp to prior year.</w:t>
            </w:r>
          </w:p>
        </w:tc>
      </w:tr>
      <w:tr>
        <w:trPr/>
        <w:tc>
          <w:tcPr>
            <w:tcW w:w="1327" w:type="dxa"/>
            <w:gridSpan w:val="3"/>
            <w:tcBorders>
              <w:bottom w:val="single" w:sz="12" w:space="0" w:color="E81111"/>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bottom w:val="single" w:sz="12" w:space="0" w:color="E81111"/>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bottom w:val="single" w:sz="12" w:space="0" w:color="E81111"/>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263525"/>
                <wp:effectExtent l="0" t="0" r="0" b="0"/>
                <wp:wrapNone/>
                <wp:docPr id="370" name="Frame63"/>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371"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250" descr=""/>
                                          <pic:cNvPicPr>
                                            <a:picLocks noChangeAspect="1" noChangeArrowheads="1"/>
                                          </pic:cNvPicPr>
                                        </pic:nvPicPr>
                                        <pic:blipFill>
                                          <a:blip r:embed="rId309"/>
                                          <a:stretch>
                                            <a:fillRect/>
                                          </a:stretch>
                                        </pic:blipFill>
                                        <pic:spPr bwMode="auto">
                                          <a:xfrm>
                                            <a:off x="0" y="0"/>
                                            <a:ext cx="266700" cy="200025"/>
                                          </a:xfrm>
                                          <a:prstGeom prst="rect">
                                            <a:avLst/>
                                          </a:prstGeom>
                                        </pic:spPr>
                                      </pic:pic>
                                    </a:graphicData>
                                  </a:graphic>
                                </wp:inline>
                              </w:drawing>
                            </w:r>
                            <w:bookmarkStart w:id="308" w:name="i-250"/>
                            <w:bookmarkEnd w:id="30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372"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250" descr=""/>
                                    <pic:cNvPicPr>
                                      <a:picLocks noChangeAspect="1" noChangeArrowheads="1"/>
                                    </pic:cNvPicPr>
                                  </pic:nvPicPr>
                                  <pic:blipFill>
                                    <a:blip r:embed="rId310"/>
                                    <a:stretch>
                                      <a:fillRect/>
                                    </a:stretch>
                                  </pic:blipFill>
                                  <pic:spPr bwMode="auto">
                                    <a:xfrm>
                                      <a:off x="0" y="0"/>
                                      <a:ext cx="266700" cy="200025"/>
                                    </a:xfrm>
                                    <a:prstGeom prst="rect">
                                      <a:avLst/>
                                    </a:prstGeom>
                                  </pic:spPr>
                                </pic:pic>
                              </a:graphicData>
                            </a:graphic>
                          </wp:inline>
                        </w:drawing>
                      </w:r>
                      <w:bookmarkStart w:id="309" w:name="i-250"/>
                      <w:bookmarkEnd w:id="309"/>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p>
      <w:pPr>
        <w:pStyle w:val="TextBody"/>
        <w:bidi w:val="0"/>
        <w:spacing w:lineRule="auto" w:line="312" w:before="360" w:after="60"/>
        <w:jc w:val="left"/>
        <w:rPr>
          <w:rFonts w:ascii="Roboto;sans-serif" w:hAnsi="Roboto;sans-serif"/>
          <w:b/>
          <w:color w:val="01024A"/>
          <w:sz w:val="20"/>
        </w:rPr>
      </w:pPr>
      <w:r>
        <w:rPr>
          <w:rFonts w:ascii="Roboto;sans-serif" w:hAnsi="Roboto;sans-serif"/>
          <w:b/>
          <w:color w:val="01024A"/>
          <w:sz w:val="20"/>
        </w:rPr>
        <w:t>2025 Bonuses Earned</w:t>
      </w:r>
    </w:p>
    <w:p>
      <w:pPr>
        <w:pStyle w:val="TextBody"/>
        <w:bidi w:val="0"/>
        <w:spacing w:lineRule="atLeast" w:line="240" w:before="0" w:after="180"/>
        <w:jc w:val="left"/>
        <w:rPr>
          <w:rFonts w:ascii="Roboto Light;sans-serif" w:hAnsi="Roboto Light;sans-serif"/>
          <w:b w:val="false"/>
          <w:color w:val="000000"/>
          <w:sz w:val="18"/>
        </w:rPr>
      </w:pPr>
      <w:r>
        <w:rPr>
          <w:rFonts w:ascii="Roboto Light;sans-serif" w:hAnsi="Roboto Light;sans-serif"/>
          <w:b w:val="false"/>
          <w:color w:val="000000"/>
          <w:sz w:val="18"/>
        </w:rPr>
        <w:t>The following table summarizes the 2025 bonuses earned under the 2025 Executive Bonus Plan based on actual performance, as compared to the target opportunity, for each of our NEOs:</w:t>
      </w:r>
    </w:p>
    <w:tbl>
      <w:tblPr>
        <w:tblW w:w="10205" w:type="dxa"/>
        <w:jc w:val="left"/>
        <w:tblInd w:w="0" w:type="dxa"/>
        <w:tblLayout w:type="fixed"/>
        <w:tblCellMar>
          <w:top w:w="28" w:type="dxa"/>
          <w:left w:w="28" w:type="dxa"/>
          <w:bottom w:w="28" w:type="dxa"/>
          <w:right w:w="28" w:type="dxa"/>
        </w:tblCellMar>
      </w:tblPr>
      <w:tblGrid>
        <w:gridCol w:w="369"/>
        <w:gridCol w:w="325"/>
        <w:gridCol w:w="328"/>
        <w:gridCol w:w="485"/>
        <w:gridCol w:w="244"/>
        <w:gridCol w:w="246"/>
        <w:gridCol w:w="247"/>
        <w:gridCol w:w="247"/>
        <w:gridCol w:w="248"/>
        <w:gridCol w:w="389"/>
        <w:gridCol w:w="305"/>
        <w:gridCol w:w="306"/>
        <w:gridCol w:w="574"/>
        <w:gridCol w:w="574"/>
        <w:gridCol w:w="575"/>
        <w:gridCol w:w="629"/>
        <w:gridCol w:w="629"/>
        <w:gridCol w:w="631"/>
        <w:gridCol w:w="491"/>
        <w:gridCol w:w="491"/>
        <w:gridCol w:w="492"/>
        <w:gridCol w:w="350"/>
        <w:gridCol w:w="322"/>
        <w:gridCol w:w="323"/>
        <w:gridCol w:w="109"/>
        <w:gridCol w:w="109"/>
        <w:gridCol w:w="167"/>
      </w:tblGrid>
      <w:tr>
        <w:trPr/>
        <w:tc>
          <w:tcPr>
            <w:tcW w:w="36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02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FFFFFF"/>
                <w:sz w:val="16"/>
              </w:rPr>
            </w:pPr>
            <w:r>
              <w:rPr>
                <w:rFonts w:ascii="Roboto;sans-serif" w:hAnsi="Roboto;sans-serif"/>
                <w:b/>
                <w:color w:val="FFFFFF"/>
                <w:sz w:val="16"/>
              </w:rPr>
              <w:t>Name</w:t>
            </w:r>
          </w:p>
        </w:tc>
        <w:tc>
          <w:tcPr>
            <w:tcW w:w="975" w:type="dxa"/>
            <w:gridSpan w:val="3"/>
            <w:tcBorders/>
            <w:shd w:fill="1946C8" w:val="clear"/>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2025 Base Salary</w:t>
            </w:r>
          </w:p>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w:t>
            </w:r>
          </w:p>
        </w:tc>
        <w:tc>
          <w:tcPr>
            <w:tcW w:w="742" w:type="dxa"/>
            <w:gridSpan w:val="3"/>
            <w:tcBorders/>
            <w:shd w:fill="1946C8" w:val="clear"/>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Target Bonus</w:t>
            </w:r>
          </w:p>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w:t>
            </w:r>
          </w:p>
        </w:tc>
        <w:tc>
          <w:tcPr>
            <w:tcW w:w="1000" w:type="dxa"/>
            <w:gridSpan w:val="3"/>
            <w:tcBorders/>
            <w:shd w:fill="1946C8" w:val="clear"/>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Target Bonus Amount</w:t>
            </w:r>
          </w:p>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w:t>
            </w:r>
          </w:p>
        </w:tc>
        <w:tc>
          <w:tcPr>
            <w:tcW w:w="1723"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 of Target Bonus Earned for Achievement of</w:t>
            </w:r>
          </w:p>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Company Performance Metrics</w:t>
            </w:r>
          </w:p>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w:t>
            </w:r>
          </w:p>
        </w:tc>
        <w:tc>
          <w:tcPr>
            <w:tcW w:w="1889"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 of Target Bonus Earned for Achievement of Individual Performance Metric</w:t>
            </w:r>
          </w:p>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w:t>
            </w:r>
          </w:p>
        </w:tc>
        <w:tc>
          <w:tcPr>
            <w:tcW w:w="1474"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Overall Achievement Factor of Target Bonus</w:t>
            </w:r>
          </w:p>
          <w:p>
            <w:pPr>
              <w:pStyle w:val="TableContents"/>
              <w:bidi w:val="0"/>
              <w:spacing w:lineRule="auto" w:line="312" w:before="0" w:after="0"/>
              <w:jc w:val="right"/>
              <w:rPr/>
            </w:pPr>
            <w:r>
              <w:rPr>
                <w:rFonts w:ascii="Roboto;sans-serif" w:hAnsi="Roboto;sans-serif"/>
                <w:b/>
                <w:color w:val="FFFFFF"/>
                <w:sz w:val="16"/>
              </w:rPr>
              <w:t>(%)</w:t>
            </w:r>
            <w:r>
              <w:rPr>
                <w:rFonts w:ascii="Roboto;sans-serif" w:hAnsi="Roboto;sans-serif"/>
                <w:b/>
                <w:color w:val="FFFFFF"/>
                <w:sz w:val="10"/>
              </w:rPr>
              <w:t>(1)</w:t>
            </w:r>
          </w:p>
        </w:tc>
        <w:tc>
          <w:tcPr>
            <w:tcW w:w="995"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Final Bonus Payment</w:t>
            </w:r>
          </w:p>
          <w:p>
            <w:pPr>
              <w:pStyle w:val="TableContents"/>
              <w:bidi w:val="0"/>
              <w:spacing w:lineRule="auto" w:line="312" w:before="0" w:after="0"/>
              <w:jc w:val="right"/>
              <w:rPr/>
            </w:pPr>
            <w:r>
              <w:rPr>
                <w:rFonts w:ascii="Roboto;sans-serif" w:hAnsi="Roboto;sans-serif"/>
                <w:b/>
                <w:color w:val="FFFFFF"/>
                <w:sz w:val="16"/>
              </w:rPr>
              <w:t>($)</w:t>
            </w:r>
            <w:r>
              <w:rPr>
                <w:rFonts w:ascii="Roboto;sans-serif" w:hAnsi="Roboto;sans-serif"/>
                <w:b/>
                <w:color w:val="FFFFFF"/>
                <w:sz w:val="10"/>
              </w:rPr>
              <w:t>(2)</w:t>
            </w:r>
          </w:p>
        </w:tc>
        <w:tc>
          <w:tcPr>
            <w:tcW w:w="38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000000"/>
                <w:sz w:val="16"/>
              </w:rPr>
            </w:pPr>
            <w:r>
              <w:rPr>
                <w:rFonts w:ascii="Roboto;sans-serif" w:hAnsi="Roboto;sans-serif"/>
                <w:b/>
                <w:color w:val="000000"/>
                <w:sz w:val="16"/>
              </w:rPr>
              <w:t>Steve Lawrence</w:t>
            </w:r>
          </w:p>
        </w:tc>
        <w:tc>
          <w:tcPr>
            <w:tcW w:w="975"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1,085,000</w:t>
            </w:r>
          </w:p>
        </w:tc>
        <w:tc>
          <w:tcPr>
            <w:tcW w:w="742"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right"/>
              <w:rPr>
                <w:rFonts w:ascii="Roboto;sans-serif" w:hAnsi="Roboto;sans-serif"/>
                <w:b w:val="false"/>
                <w:color w:val="000000"/>
                <w:sz w:val="16"/>
              </w:rPr>
            </w:pPr>
            <w:r>
              <w:rPr>
                <w:rFonts w:ascii="Roboto;sans-serif" w:hAnsi="Roboto;sans-serif"/>
                <w:b w:val="false"/>
                <w:color w:val="000000"/>
                <w:sz w:val="16"/>
              </w:rPr>
              <w:t>175</w:t>
            </w:r>
          </w:p>
        </w:tc>
        <w:tc>
          <w:tcPr>
            <w:tcW w:w="1000"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1,898,750</w:t>
            </w:r>
          </w:p>
        </w:tc>
        <w:tc>
          <w:tcPr>
            <w:tcW w:w="1723"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65.7</w:t>
            </w:r>
          </w:p>
        </w:tc>
        <w:tc>
          <w:tcPr>
            <w:tcW w:w="1889"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10.0</w:t>
            </w:r>
          </w:p>
        </w:tc>
        <w:tc>
          <w:tcPr>
            <w:tcW w:w="1474"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75.7</w:t>
            </w:r>
          </w:p>
        </w:tc>
        <w:tc>
          <w:tcPr>
            <w:tcW w:w="995"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1,438,155</w:t>
            </w:r>
          </w:p>
        </w:tc>
        <w:tc>
          <w:tcPr>
            <w:tcW w:w="38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000000"/>
                <w:sz w:val="16"/>
              </w:rPr>
            </w:pPr>
            <w:r>
              <w:rPr>
                <w:rFonts w:ascii="Roboto;sans-serif" w:hAnsi="Roboto;sans-serif"/>
                <w:b/>
                <w:color w:val="000000"/>
                <w:sz w:val="16"/>
              </w:rPr>
              <w:t>Sam Johnson</w:t>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865,000</w:t>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right"/>
              <w:rPr>
                <w:rFonts w:ascii="Roboto;sans-serif" w:hAnsi="Roboto;sans-serif"/>
                <w:b w:val="false"/>
                <w:color w:val="000000"/>
                <w:sz w:val="16"/>
              </w:rPr>
            </w:pPr>
            <w:r>
              <w:rPr>
                <w:rFonts w:ascii="Roboto;sans-serif" w:hAnsi="Roboto;sans-serif"/>
                <w:b w:val="false"/>
                <w:color w:val="000000"/>
                <w:sz w:val="16"/>
              </w:rPr>
              <w:t>140</w:t>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1,211,000</w:t>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65.7</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10.0</w:t>
            </w:r>
          </w:p>
        </w:tc>
        <w:tc>
          <w:tcPr>
            <w:tcW w:w="147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75.7</w:t>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917,238</w:t>
            </w:r>
          </w:p>
        </w:tc>
        <w:tc>
          <w:tcPr>
            <w:tcW w:w="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00000"/>
                <w:sz w:val="16"/>
              </w:rPr>
            </w:pPr>
            <w:r>
              <w:rPr>
                <w:rFonts w:ascii="Roboto;sans-serif" w:hAnsi="Roboto;sans-serif"/>
                <w:b/>
                <w:color w:val="000000"/>
                <w:sz w:val="16"/>
              </w:rPr>
              <w:t>Carl Ford</w:t>
            </w:r>
          </w:p>
        </w:tc>
        <w:tc>
          <w:tcPr>
            <w:tcW w:w="975"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550,000</w:t>
            </w:r>
          </w:p>
        </w:tc>
        <w:tc>
          <w:tcPr>
            <w:tcW w:w="742"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right"/>
              <w:rPr>
                <w:rFonts w:ascii="Roboto;sans-serif" w:hAnsi="Roboto;sans-serif"/>
                <w:b w:val="false"/>
                <w:color w:val="000000"/>
                <w:sz w:val="16"/>
              </w:rPr>
            </w:pPr>
            <w:r>
              <w:rPr>
                <w:rFonts w:ascii="Roboto;sans-serif" w:hAnsi="Roboto;sans-serif"/>
                <w:b w:val="false"/>
                <w:color w:val="000000"/>
                <w:sz w:val="16"/>
              </w:rPr>
              <w:t>120</w:t>
            </w:r>
          </w:p>
        </w:tc>
        <w:tc>
          <w:tcPr>
            <w:tcW w:w="1000"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660,000</w:t>
            </w:r>
          </w:p>
        </w:tc>
        <w:tc>
          <w:tcPr>
            <w:tcW w:w="1723"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65.7</w:t>
            </w:r>
          </w:p>
        </w:tc>
        <w:tc>
          <w:tcPr>
            <w:tcW w:w="1889"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10.0</w:t>
            </w:r>
          </w:p>
        </w:tc>
        <w:tc>
          <w:tcPr>
            <w:tcW w:w="1474"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75.7</w:t>
            </w:r>
          </w:p>
        </w:tc>
        <w:tc>
          <w:tcPr>
            <w:tcW w:w="995"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499,899</w:t>
            </w:r>
          </w:p>
        </w:tc>
        <w:tc>
          <w:tcPr>
            <w:tcW w:w="38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2"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0"/>
              <w:jc w:val="left"/>
              <w:rPr>
                <w:rFonts w:ascii="Roboto;sans-serif" w:hAnsi="Roboto;sans-serif"/>
                <w:b/>
                <w:color w:val="000000"/>
                <w:sz w:val="16"/>
              </w:rPr>
            </w:pPr>
            <w:r>
              <w:rPr>
                <w:rFonts w:ascii="Roboto;sans-serif" w:hAnsi="Roboto;sans-serif"/>
                <w:b/>
                <w:color w:val="000000"/>
                <w:sz w:val="16"/>
              </w:rPr>
              <w:t>Matt McCabe</w:t>
            </w:r>
          </w:p>
        </w:tc>
        <w:tc>
          <w:tcPr>
            <w:tcW w:w="975"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550,000</w:t>
            </w:r>
          </w:p>
        </w:tc>
        <w:tc>
          <w:tcPr>
            <w:tcW w:w="742"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0"/>
              <w:jc w:val="right"/>
              <w:rPr>
                <w:rFonts w:ascii="Roboto;sans-serif" w:hAnsi="Roboto;sans-serif"/>
                <w:b w:val="false"/>
                <w:color w:val="000000"/>
                <w:sz w:val="16"/>
              </w:rPr>
            </w:pPr>
            <w:r>
              <w:rPr>
                <w:rFonts w:ascii="Roboto;sans-serif" w:hAnsi="Roboto;sans-serif"/>
                <w:b w:val="false"/>
                <w:color w:val="000000"/>
                <w:sz w:val="16"/>
              </w:rPr>
              <w:t>120</w:t>
            </w:r>
          </w:p>
        </w:tc>
        <w:tc>
          <w:tcPr>
            <w:tcW w:w="1000"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660,000</w:t>
            </w:r>
          </w:p>
        </w:tc>
        <w:tc>
          <w:tcPr>
            <w:tcW w:w="1723"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65.7</w:t>
            </w:r>
          </w:p>
        </w:tc>
        <w:tc>
          <w:tcPr>
            <w:tcW w:w="1889"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10.0</w:t>
            </w:r>
          </w:p>
        </w:tc>
        <w:tc>
          <w:tcPr>
            <w:tcW w:w="1474"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75.7</w:t>
            </w:r>
          </w:p>
        </w:tc>
        <w:tc>
          <w:tcPr>
            <w:tcW w:w="995"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499,899</w:t>
            </w:r>
          </w:p>
        </w:tc>
        <w:tc>
          <w:tcPr>
            <w:tcW w:w="385" w:type="dxa"/>
            <w:gridSpan w:val="3"/>
            <w:tcBorders>
              <w:bottom w:val="single" w:sz="12" w:space="0" w:color="E81111"/>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6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1.Overall Achievement Factor of Target Bonus is the sum of the % of Target Bonus Earned for Achievement of Company Performance Metrics plus % of Target Bonus Earned for Achievement of Individual Performance Metric. The percentages were rounded to the nearest tenth of a percent in the “2025 Bonuses Earned” table for presentation purposes.</w:t>
      </w:r>
    </w:p>
    <w:p>
      <w:pPr>
        <w:pStyle w:val="TextBody"/>
        <w:bidi w:val="0"/>
        <w:spacing w:lineRule="auto" w:line="312" w:before="0" w:after="12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2.Bonus payments under the Bonus Plan were calculated by multiplying the NEO’s “2025 Base Salary ($)” at year end by their “Target Bonus (%)”, which was then adjusted by an overall achievement factor of target bonus based on the combined weighted achievement of the Company and individual performance metrics.</w:t>
      </w:r>
    </w:p>
    <w:p>
      <w:pPr>
        <w:pStyle w:val="TextBody"/>
        <w:bidi w:val="0"/>
        <w:spacing w:before="0" w:after="300"/>
        <w:jc w:val="left"/>
        <w:rPr/>
      </w:pPr>
      <w:r>
        <w:rPr/>
      </w:r>
    </w:p>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Long-Term Equity Incentive Compensation</w:t>
      </w:r>
    </w:p>
    <w:p>
      <w:pPr>
        <w:pStyle w:val="TextBody"/>
        <w:bidi w:val="0"/>
        <w:spacing w:lineRule="auto" w:line="288" w:before="0" w:after="120"/>
        <w:jc w:val="left"/>
        <w:rPr>
          <w:rFonts w:ascii="Roboto;sans-serif" w:hAnsi="Roboto;sans-serif"/>
          <w:b/>
          <w:color w:val="01024A"/>
          <w:sz w:val="20"/>
        </w:rPr>
      </w:pPr>
      <w:r>
        <w:rPr>
          <w:rFonts w:ascii="Roboto;sans-serif" w:hAnsi="Roboto;sans-serif"/>
          <w:b/>
          <w:color w:val="01024A"/>
          <w:sz w:val="20"/>
        </w:rPr>
        <w:t>2025 Equity Incentive Awards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 Committee grants equity incentive awards to our NEOs annually as part of the overall compensation package. The Committee may also grant equity awards to address special situations that may arise from time to time. The use of long-term equity incentives creates a link between executive compensation and our long-term performance and growth, thereby creating alignment between executive officer and stockholder interests. The Committee considers market data and compensation peer practices, as well as the Company’s compensation strategy and place in the business cycle, to determine the appropriate mix of awards for participants.</w:t>
      </w:r>
    </w:p>
    <w:p>
      <w:pPr>
        <w:pStyle w:val="TextBody"/>
        <w:bidi w:val="0"/>
        <w:spacing w:lineRule="atLeast" w:line="240" w:before="0" w:after="180"/>
        <w:jc w:val="left"/>
        <w:rPr/>
      </w:pPr>
      <w:r>
        <w:rPr>
          <w:rFonts w:ascii="Roboto Light;sans-serif" w:hAnsi="Roboto Light;sans-serif"/>
          <w:b w:val="false"/>
          <w:color w:val="000000"/>
          <w:sz w:val="18"/>
          <w:shd w:fill="FFFFFF" w:val="clear"/>
        </w:rPr>
        <w:t xml:space="preserve">For 2025, the Committee, in consultation with </w:t>
      </w:r>
      <w:r>
        <w:rPr>
          <w:rFonts w:ascii="Roboto Light;sans-serif" w:hAnsi="Roboto Light;sans-serif"/>
          <w:b w:val="false"/>
          <w:color w:val="000000"/>
          <w:sz w:val="18"/>
        </w:rPr>
        <w:t>Committee’s executive compensation consultant, FW Cook</w:t>
      </w:r>
      <w:r>
        <w:rPr>
          <w:rFonts w:ascii="Roboto Light;sans-serif" w:hAnsi="Roboto Light;sans-serif"/>
          <w:b w:val="false"/>
          <w:color w:val="000000"/>
          <w:sz w:val="18"/>
          <w:shd w:fill="FFFFFF" w:val="clear"/>
        </w:rPr>
        <w:t>, and after a review of market practices, determined the equity program design, which generally remained the same as in 2024:</w:t>
      </w:r>
    </w:p>
    <w:p>
      <w:pPr>
        <w:pStyle w:val="TextBody"/>
        <w:bidi w:val="0"/>
        <w:spacing w:lineRule="atLeast" w:line="240" w:before="0" w:after="240"/>
        <w:ind w:left="0" w:right="0" w:hanging="288"/>
        <w:jc w:val="left"/>
        <w:rPr/>
      </w:pPr>
      <w:r>
        <w:rPr>
          <w:color w:val="000000"/>
        </w:rPr>
        <w:t>•</w:t>
      </w:r>
      <w:r>
        <w:rPr>
          <w:rFonts w:ascii="Roboto Light;sans-serif" w:hAnsi="Roboto Light;sans-serif"/>
          <w:b w:val="false"/>
          <w:color w:val="000000"/>
          <w:sz w:val="18"/>
        </w:rPr>
        <w:t xml:space="preserve">50% of the target grant value is in performance-based RSUs that may be earned at 0% to 200% of target based on achievement of two performance metrics, Adjusted Pre-Tax Net Income (weighted approximately 75%) and ROIC (weighted approximately 25%), each measured and cliff vesting after a 3-year cumulative performance period covering fiscal 2025 to fiscal 2027. These metrics were selected by the Committee because of their alignment to our long-range strategic plans and long-term stockholder interests.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If the metric achievement is 115% or more of the target metric goal, then 200% of the RSUs granted for the metric will be earned. If the metric achievement is 85% of the target metric goal, then 50% of the granted RSUs will be earned. If the metric achievement is between 115% and 85%, then we use linear interpolation to determine the number of RSUs earned. RSUs earned are rounded down to the nearest whole unit. No RSUs are earned for performance below 85% of the target metric.</w:t>
      </w:r>
    </w:p>
    <w:p>
      <w:pPr>
        <w:pStyle w:val="TextBody"/>
        <w:bidi w:val="0"/>
        <w:spacing w:lineRule="atLeast" w:line="240" w:before="0" w:after="240"/>
        <w:ind w:left="0" w:right="0" w:hanging="288"/>
        <w:jc w:val="left"/>
        <w:rPr/>
      </w:pPr>
      <w:r>
        <w:rPr>
          <w:color w:val="000000"/>
        </w:rPr>
        <w:t>•</w:t>
      </w:r>
      <w:r>
        <w:rPr>
          <w:rFonts w:ascii="Roboto Light;sans-serif" w:hAnsi="Roboto Light;sans-serif"/>
          <w:b w:val="false"/>
          <w:color w:val="000000"/>
          <w:sz w:val="18"/>
        </w:rPr>
        <w:t>50% of the target grant value is in time-based RSUs that vest ratably over three years subject to continued service.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263525"/>
                <wp:effectExtent l="0" t="0" r="0" b="0"/>
                <wp:wrapNone/>
                <wp:docPr id="373" name="Frame64"/>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374"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251" descr=""/>
                                          <pic:cNvPicPr>
                                            <a:picLocks noChangeAspect="1" noChangeArrowheads="1"/>
                                          </pic:cNvPicPr>
                                        </pic:nvPicPr>
                                        <pic:blipFill>
                                          <a:blip r:embed="rId311"/>
                                          <a:stretch>
                                            <a:fillRect/>
                                          </a:stretch>
                                        </pic:blipFill>
                                        <pic:spPr bwMode="auto">
                                          <a:xfrm>
                                            <a:off x="0" y="0"/>
                                            <a:ext cx="266700" cy="200025"/>
                                          </a:xfrm>
                                          <a:prstGeom prst="rect">
                                            <a:avLst/>
                                          </a:prstGeom>
                                        </pic:spPr>
                                      </pic:pic>
                                    </a:graphicData>
                                  </a:graphic>
                                </wp:inline>
                              </w:drawing>
                            </w:r>
                            <w:bookmarkStart w:id="310" w:name="i-251"/>
                            <w:bookmarkEnd w:id="31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375"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251" descr=""/>
                                    <pic:cNvPicPr>
                                      <a:picLocks noChangeAspect="1" noChangeArrowheads="1"/>
                                    </pic:cNvPicPr>
                                  </pic:nvPicPr>
                                  <pic:blipFill>
                                    <a:blip r:embed="rId312"/>
                                    <a:stretch>
                                      <a:fillRect/>
                                    </a:stretch>
                                  </pic:blipFill>
                                  <pic:spPr bwMode="auto">
                                    <a:xfrm>
                                      <a:off x="0" y="0"/>
                                      <a:ext cx="266700" cy="200025"/>
                                    </a:xfrm>
                                    <a:prstGeom prst="rect">
                                      <a:avLst/>
                                    </a:prstGeom>
                                  </pic:spPr>
                                </pic:pic>
                              </a:graphicData>
                            </a:graphic>
                          </wp:inline>
                        </w:drawing>
                      </w:r>
                      <w:bookmarkStart w:id="311" w:name="i-251"/>
                      <w:bookmarkEnd w:id="311"/>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59</w:t>
            </w:r>
          </w:p>
        </w:tc>
      </w:tr>
    </w:tbl>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This mix of equity awards, metrics, and terms were selected by the Committee to align an appropriate level of performance-based variable pay with incentive opportunities, while being market competitive and in alignment with stockholder interests.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On March 25, 2025, the Company granted the following performance-based and time-based RSUs to our NEOs. </w:t>
      </w:r>
    </w:p>
    <w:tbl>
      <w:tblPr>
        <w:tblW w:w="10205" w:type="dxa"/>
        <w:jc w:val="left"/>
        <w:tblInd w:w="0" w:type="dxa"/>
        <w:tblLayout w:type="fixed"/>
        <w:tblCellMar>
          <w:top w:w="28" w:type="dxa"/>
          <w:left w:w="28" w:type="dxa"/>
          <w:bottom w:w="28" w:type="dxa"/>
          <w:right w:w="28" w:type="dxa"/>
        </w:tblCellMar>
      </w:tblPr>
      <w:tblGrid>
        <w:gridCol w:w="474"/>
        <w:gridCol w:w="416"/>
        <w:gridCol w:w="422"/>
        <w:gridCol w:w="946"/>
        <w:gridCol w:w="946"/>
        <w:gridCol w:w="948"/>
        <w:gridCol w:w="866"/>
        <w:gridCol w:w="866"/>
        <w:gridCol w:w="869"/>
        <w:gridCol w:w="496"/>
        <w:gridCol w:w="496"/>
        <w:gridCol w:w="498"/>
        <w:gridCol w:w="527"/>
        <w:gridCol w:w="527"/>
        <w:gridCol w:w="529"/>
        <w:gridCol w:w="109"/>
        <w:gridCol w:w="109"/>
        <w:gridCol w:w="161"/>
      </w:tblGrid>
      <w:tr>
        <w:trPr/>
        <w:tc>
          <w:tcPr>
            <w:tcW w:w="47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1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2"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FFFFFF"/>
                <w:sz w:val="16"/>
              </w:rPr>
            </w:pPr>
            <w:r>
              <w:rPr>
                <w:rFonts w:ascii="Roboto;sans-serif" w:hAnsi="Roboto;sans-serif"/>
                <w:b/>
                <w:color w:val="FFFFFF"/>
                <w:sz w:val="16"/>
              </w:rPr>
              <w:t>NEO</w:t>
            </w:r>
          </w:p>
        </w:tc>
        <w:tc>
          <w:tcPr>
            <w:tcW w:w="2840"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6"/>
              </w:rPr>
            </w:pPr>
            <w:r>
              <w:rPr>
                <w:rFonts w:ascii="Roboto;sans-serif" w:hAnsi="Roboto;sans-serif"/>
                <w:b/>
                <w:color w:val="FFFFFF"/>
                <w:sz w:val="16"/>
              </w:rPr>
              <w:t>Target # of Performance-Based RSUs</w:t>
            </w:r>
          </w:p>
        </w:tc>
        <w:tc>
          <w:tcPr>
            <w:tcW w:w="2601"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right"/>
              <w:rPr/>
            </w:pPr>
            <w:r>
              <w:rPr>
                <w:rFonts w:ascii="Roboto;sans-serif" w:hAnsi="Roboto;sans-serif"/>
                <w:b/>
                <w:color w:val="FFFFFF"/>
                <w:sz w:val="16"/>
              </w:rPr>
              <w:t>$ Value of Performance Based RSUs</w:t>
            </w:r>
            <w:r>
              <w:rPr>
                <w:rFonts w:ascii="Roboto;sans-serif" w:hAnsi="Roboto;sans-serif"/>
                <w:b/>
                <w:color w:val="FFFFFF"/>
                <w:sz w:val="10"/>
              </w:rPr>
              <w:t>(1)</w:t>
            </w:r>
          </w:p>
        </w:tc>
        <w:tc>
          <w:tcPr>
            <w:tcW w:w="1490"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6"/>
              </w:rPr>
            </w:pPr>
            <w:r>
              <w:rPr>
                <w:rFonts w:ascii="Roboto;sans-serif" w:hAnsi="Roboto;sans-serif"/>
                <w:b/>
                <w:color w:val="FFFFFF"/>
                <w:sz w:val="16"/>
              </w:rPr>
              <w:t xml:space="preserve"># of </w:t>
              <w:br/>
              <w:t>Time-Based RSUs</w:t>
            </w:r>
          </w:p>
        </w:tc>
        <w:tc>
          <w:tcPr>
            <w:tcW w:w="1583"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 xml:space="preserve">$ Value of </w:t>
            </w:r>
          </w:p>
          <w:p>
            <w:pPr>
              <w:pStyle w:val="TableContents"/>
              <w:bidi w:val="0"/>
              <w:spacing w:lineRule="auto" w:line="312" w:before="0" w:after="0"/>
              <w:jc w:val="right"/>
              <w:rPr/>
            </w:pPr>
            <w:r>
              <w:rPr>
                <w:rFonts w:ascii="Roboto;sans-serif" w:hAnsi="Roboto;sans-serif"/>
                <w:b/>
                <w:color w:val="FFFFFF"/>
                <w:sz w:val="16"/>
              </w:rPr>
              <w:t>Time-Based RSUs</w:t>
            </w:r>
            <w:r>
              <w:rPr>
                <w:rFonts w:ascii="Roboto;sans-serif" w:hAnsi="Roboto;sans-serif"/>
                <w:b/>
                <w:color w:val="FFFFFF"/>
                <w:sz w:val="10"/>
              </w:rPr>
              <w:t>(1)</w:t>
            </w:r>
          </w:p>
        </w:tc>
        <w:tc>
          <w:tcPr>
            <w:tcW w:w="37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2"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000000"/>
                <w:sz w:val="16"/>
              </w:rPr>
            </w:pPr>
            <w:r>
              <w:rPr>
                <w:rFonts w:ascii="Roboto;sans-serif" w:hAnsi="Roboto;sans-serif"/>
                <w:b/>
                <w:color w:val="000000"/>
                <w:sz w:val="16"/>
              </w:rPr>
              <w:t>Steve Lawrence</w:t>
            </w:r>
          </w:p>
        </w:tc>
        <w:tc>
          <w:tcPr>
            <w:tcW w:w="2840"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69,958</w:t>
            </w:r>
          </w:p>
        </w:tc>
        <w:tc>
          <w:tcPr>
            <w:tcW w:w="260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3,499,999</w:t>
            </w:r>
          </w:p>
        </w:tc>
        <w:tc>
          <w:tcPr>
            <w:tcW w:w="1490"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69,958</w:t>
            </w:r>
          </w:p>
        </w:tc>
        <w:tc>
          <w:tcPr>
            <w:tcW w:w="1583"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3,499,999</w:t>
            </w:r>
          </w:p>
        </w:tc>
        <w:tc>
          <w:tcPr>
            <w:tcW w:w="37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2"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000000"/>
                <w:sz w:val="16"/>
              </w:rPr>
            </w:pPr>
            <w:r>
              <w:rPr>
                <w:rFonts w:ascii="Roboto;sans-serif" w:hAnsi="Roboto;sans-serif"/>
                <w:b/>
                <w:color w:val="000000"/>
                <w:sz w:val="16"/>
              </w:rPr>
              <w:t>Sam Johnson</w:t>
            </w:r>
          </w:p>
        </w:tc>
        <w:tc>
          <w:tcPr>
            <w:tcW w:w="284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29,982</w:t>
            </w:r>
          </w:p>
        </w:tc>
        <w:tc>
          <w:tcPr>
            <w:tcW w:w="260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1,499,999</w:t>
            </w:r>
          </w:p>
        </w:tc>
        <w:tc>
          <w:tcPr>
            <w:tcW w:w="149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29,982</w:t>
            </w:r>
          </w:p>
        </w:tc>
        <w:tc>
          <w:tcPr>
            <w:tcW w:w="158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1,499,999</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2"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00000"/>
                <w:sz w:val="16"/>
              </w:rPr>
            </w:pPr>
            <w:r>
              <w:rPr>
                <w:rFonts w:ascii="Roboto;sans-serif" w:hAnsi="Roboto;sans-serif"/>
                <w:b/>
                <w:color w:val="000000"/>
                <w:sz w:val="16"/>
              </w:rPr>
              <w:t>Carl Ford</w:t>
            </w:r>
          </w:p>
        </w:tc>
        <w:tc>
          <w:tcPr>
            <w:tcW w:w="2840"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9,994</w:t>
            </w:r>
          </w:p>
        </w:tc>
        <w:tc>
          <w:tcPr>
            <w:tcW w:w="260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500,000</w:t>
            </w:r>
          </w:p>
        </w:tc>
        <w:tc>
          <w:tcPr>
            <w:tcW w:w="1490"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9,994</w:t>
            </w:r>
          </w:p>
        </w:tc>
        <w:tc>
          <w:tcPr>
            <w:tcW w:w="1583"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500,000</w:t>
            </w:r>
          </w:p>
        </w:tc>
        <w:tc>
          <w:tcPr>
            <w:tcW w:w="37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2"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0"/>
              <w:jc w:val="left"/>
              <w:rPr>
                <w:rFonts w:ascii="Roboto;sans-serif" w:hAnsi="Roboto;sans-serif"/>
                <w:b/>
                <w:color w:val="000000"/>
                <w:sz w:val="16"/>
              </w:rPr>
            </w:pPr>
            <w:r>
              <w:rPr>
                <w:rFonts w:ascii="Roboto;sans-serif" w:hAnsi="Roboto;sans-serif"/>
                <w:b/>
                <w:color w:val="000000"/>
                <w:sz w:val="16"/>
              </w:rPr>
              <w:t>Matt McCabe</w:t>
            </w:r>
          </w:p>
        </w:tc>
        <w:tc>
          <w:tcPr>
            <w:tcW w:w="2840"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9,994</w:t>
            </w:r>
          </w:p>
        </w:tc>
        <w:tc>
          <w:tcPr>
            <w:tcW w:w="2601"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500,000</w:t>
            </w:r>
          </w:p>
        </w:tc>
        <w:tc>
          <w:tcPr>
            <w:tcW w:w="1490"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9,994</w:t>
            </w:r>
          </w:p>
        </w:tc>
        <w:tc>
          <w:tcPr>
            <w:tcW w:w="1583"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500,000</w:t>
            </w:r>
          </w:p>
        </w:tc>
        <w:tc>
          <w:tcPr>
            <w:tcW w:w="379" w:type="dxa"/>
            <w:gridSpan w:val="3"/>
            <w:tcBorders>
              <w:bottom w:val="single" w:sz="12" w:space="0" w:color="E81111"/>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36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1.The amounts reported in these columns represent the grant date fair value of the time-based RSUs, and performance-based RSUs granted to each of the NEOs in 2025, computed in accordance with FASB Accounting Standards Codification Topic 718. The valuation assumptions used in determining such amounts are described in Note 8, Share-Based Compensation to our audited consolidated financial statements included in our Annual Report on Form 10-K. The grant date fair value of the performance-based RSUs is based upon the probable outcome of the performance conditions at the date of grant and assumes the “target” level of performance is achieved.</w:t>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Achievement for 2022 and 2023 Performance-based RSUs</w:t>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2022 Performance-based RSUs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In fiscal 2022, the NEOs were awarded performance-based RSUs with the following metrics:</w:t>
      </w:r>
    </w:p>
    <w:p>
      <w:pPr>
        <w:pStyle w:val="TextBody"/>
        <w:bidi w:val="0"/>
        <w:spacing w:lineRule="atLeast" w:line="240" w:before="0" w:after="120"/>
        <w:ind w:left="0" w:right="0" w:hanging="288"/>
        <w:jc w:val="left"/>
        <w:rPr/>
      </w:pPr>
      <w:r>
        <w:rPr>
          <w:color w:val="000000"/>
        </w:rPr>
        <w:t>•</w:t>
      </w:r>
      <w:r>
        <w:rPr>
          <w:rFonts w:ascii="Roboto Light;sans-serif" w:hAnsi="Roboto Light;sans-serif"/>
          <w:b w:val="false"/>
          <w:color w:val="000000"/>
          <w:sz w:val="18"/>
        </w:rPr>
        <w:t>A one-year (fiscal 2022) Adjusted EBIT $ goal, and</w:t>
      </w:r>
    </w:p>
    <w:p>
      <w:pPr>
        <w:pStyle w:val="TextBody"/>
        <w:bidi w:val="0"/>
        <w:spacing w:lineRule="atLeast" w:line="240" w:before="0" w:after="240"/>
        <w:ind w:left="0" w:right="0" w:hanging="288"/>
        <w:jc w:val="left"/>
        <w:rPr/>
      </w:pPr>
      <w:r>
        <w:rPr>
          <w:color w:val="000000"/>
        </w:rPr>
        <w:t>•</w:t>
      </w:r>
      <w:r>
        <w:rPr>
          <w:rFonts w:ascii="Roboto Light;sans-serif" w:hAnsi="Roboto Light;sans-serif"/>
          <w:b w:val="false"/>
          <w:color w:val="000000"/>
          <w:sz w:val="18"/>
        </w:rPr>
        <w:t>If the Adjusted EBIT goal was not fully achieved, any remaining portion of the award could still be earned if, at the end of the four</w:t>
        <w:noBreakHyphen/>
        <w:t>year vesting period, which ended on January 30, 2026, the Committee determined the Company’s 20 trading-day average stock price was at or above $52.40.</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In fiscal 2022, the Company achieved $889M or 98.7% of the 2022 Adjusted EBIT $ goal of $900M. Based on the 98.7% of target achievement, 93.7% of the 2022 performance-based RSUs were earned and vested per the award agreement. Approximately 6.3% of the RSUs were not earned and were eligible to be earned based on the stock price metric. As of January 30, 2026, the Committee determined the Company’s 20 trading-day average stock price was $56.09, exceeding the target price of $52.40, thus the remaining outstanding unvested 2022 performance-based RSUs were earned.</w:t>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2023 Performance-based RSUs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In fiscal 2023, each of the NEOs were awarded performance-based RSUs with the following metrics, each metric measured over a cumulative three fiscal year period ended January 31, 2026:</w:t>
      </w:r>
    </w:p>
    <w:p>
      <w:pPr>
        <w:pStyle w:val="TextBody"/>
        <w:bidi w:val="0"/>
        <w:spacing w:lineRule="atLeast" w:line="240" w:before="0" w:after="120"/>
        <w:ind w:left="0" w:right="0" w:hanging="288"/>
        <w:jc w:val="left"/>
        <w:rPr/>
      </w:pPr>
      <w:r>
        <w:rPr>
          <w:color w:val="000000"/>
        </w:rPr>
        <w:t>•</w:t>
      </w:r>
      <w:r>
        <w:rPr>
          <w:rFonts w:ascii="Roboto Light;sans-serif" w:hAnsi="Roboto Light;sans-serif"/>
          <w:b w:val="false"/>
          <w:color w:val="000000"/>
          <w:sz w:val="18"/>
        </w:rPr>
        <w:t>Adjusted Pre-Tax Income (weighted at 75%), and</w:t>
      </w:r>
    </w:p>
    <w:p>
      <w:pPr>
        <w:pStyle w:val="TextBody"/>
        <w:bidi w:val="0"/>
        <w:spacing w:lineRule="atLeast" w:line="240" w:before="0" w:after="240"/>
        <w:ind w:left="0" w:right="0" w:hanging="288"/>
        <w:jc w:val="left"/>
        <w:rPr/>
      </w:pPr>
      <w:r>
        <w:rPr>
          <w:color w:val="000000"/>
        </w:rPr>
        <w:t>•</w:t>
      </w:r>
      <w:r>
        <w:rPr>
          <w:rFonts w:ascii="Roboto Light;sans-serif" w:hAnsi="Roboto Light;sans-serif"/>
          <w:b w:val="false"/>
          <w:color w:val="000000"/>
          <w:sz w:val="18"/>
        </w:rPr>
        <w:t>ROIC (weighted at 25%).</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For the 2023 performance-based RSUs, the Company achieved:</w:t>
      </w:r>
    </w:p>
    <w:p>
      <w:pPr>
        <w:pStyle w:val="TextBody"/>
        <w:bidi w:val="0"/>
        <w:spacing w:lineRule="atLeast" w:line="240" w:before="0" w:after="120"/>
        <w:ind w:left="0" w:right="0" w:hanging="288"/>
        <w:jc w:val="left"/>
        <w:rPr/>
      </w:pPr>
      <w:r>
        <w:rPr>
          <w:color w:val="000000"/>
        </w:rPr>
        <w:t>•</w:t>
      </w:r>
      <w:r>
        <w:rPr>
          <w:rFonts w:ascii="Roboto Light;sans-serif" w:hAnsi="Roboto Light;sans-serif"/>
          <w:b w:val="false"/>
          <w:color w:val="000000"/>
          <w:sz w:val="18"/>
        </w:rPr>
        <w:t>62.8% of the Adjusted Pre-Tax Income goal, and</w:t>
      </w:r>
    </w:p>
    <w:p>
      <w:pPr>
        <w:pStyle w:val="TextBody"/>
        <w:bidi w:val="0"/>
        <w:spacing w:lineRule="atLeast" w:line="240" w:before="0" w:after="240"/>
        <w:ind w:left="0" w:right="0" w:hanging="288"/>
        <w:jc w:val="left"/>
        <w:rPr/>
      </w:pPr>
      <w:r>
        <w:rPr>
          <w:color w:val="000000"/>
        </w:rPr>
        <w:t>•</w:t>
      </w:r>
      <w:r>
        <w:rPr>
          <w:rFonts w:ascii="Roboto Light;sans-serif" w:hAnsi="Roboto Light;sans-serif"/>
          <w:b w:val="false"/>
          <w:color w:val="000000"/>
          <w:sz w:val="18"/>
        </w:rPr>
        <w:t>78.6% of the ROIC goal.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263525"/>
                <wp:effectExtent l="0" t="0" r="0" b="0"/>
                <wp:wrapNone/>
                <wp:docPr id="376" name="Frame65"/>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377"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252" descr=""/>
                                          <pic:cNvPicPr>
                                            <a:picLocks noChangeAspect="1" noChangeArrowheads="1"/>
                                          </pic:cNvPicPr>
                                        </pic:nvPicPr>
                                        <pic:blipFill>
                                          <a:blip r:embed="rId313"/>
                                          <a:stretch>
                                            <a:fillRect/>
                                          </a:stretch>
                                        </pic:blipFill>
                                        <pic:spPr bwMode="auto">
                                          <a:xfrm>
                                            <a:off x="0" y="0"/>
                                            <a:ext cx="266700" cy="200025"/>
                                          </a:xfrm>
                                          <a:prstGeom prst="rect">
                                            <a:avLst/>
                                          </a:prstGeom>
                                        </pic:spPr>
                                      </pic:pic>
                                    </a:graphicData>
                                  </a:graphic>
                                </wp:inline>
                              </w:drawing>
                            </w:r>
                            <w:bookmarkStart w:id="312" w:name="i-252"/>
                            <w:bookmarkEnd w:id="31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378"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252" descr=""/>
                                    <pic:cNvPicPr>
                                      <a:picLocks noChangeAspect="1" noChangeArrowheads="1"/>
                                    </pic:cNvPicPr>
                                  </pic:nvPicPr>
                                  <pic:blipFill>
                                    <a:blip r:embed="rId314"/>
                                    <a:stretch>
                                      <a:fillRect/>
                                    </a:stretch>
                                  </pic:blipFill>
                                  <pic:spPr bwMode="auto">
                                    <a:xfrm>
                                      <a:off x="0" y="0"/>
                                      <a:ext cx="266700" cy="200025"/>
                                    </a:xfrm>
                                    <a:prstGeom prst="rect">
                                      <a:avLst/>
                                    </a:prstGeom>
                                  </pic:spPr>
                                </pic:pic>
                              </a:graphicData>
                            </a:graphic>
                          </wp:inline>
                        </w:drawing>
                      </w:r>
                      <w:bookmarkStart w:id="313" w:name="i-252"/>
                      <w:bookmarkEnd w:id="313"/>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Since the achievement for both metrics fell below the threshold of 85% of goal, the Committee determined that no RSUs were earned, and the 2023 performance-based RSUs were forfeited. While disappointing, this outcome reflects our pay</w:t>
        <w:noBreakHyphen/>
        <w:t>for</w:t>
        <w:noBreakHyphen/>
        <w:t>performance philosophy—executives receive no value when performance does not meet minimum expectations.</w:t>
      </w:r>
    </w:p>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Looking Ahead - Changes Impacting the 2026 Executive Team Bonus and 2026 Annual Equity Incentive Awards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In early 2026, following a comprehensive review of our short- and long</w:t>
        <w:noBreakHyphen/>
        <w:t>term incentive plans in consultation with FW Cook, the Committee adjusted both programs for our NEOs. The Committee updated the Company’s incentive plans to drive the achievement of key financial and strategic objectives and address increased volatility and anticipated uncertainty expected in the coming years. The changes are intended to provide goals that remain challenging yet achievable, appropriately reward performance, discourage excessive risk</w:t>
        <w:noBreakHyphen/>
        <w:t>taking, and maintain strong alignment between executive and stockholder interests. The adjustments were as follows:</w:t>
      </w:r>
    </w:p>
    <w:p>
      <w:pPr>
        <w:pStyle w:val="TextBody"/>
        <w:bidi w:val="0"/>
        <w:spacing w:lineRule="atLeast" w:line="240" w:before="0" w:after="120"/>
        <w:ind w:left="0" w:right="0" w:hanging="288"/>
        <w:jc w:val="left"/>
        <w:rPr/>
      </w:pPr>
      <w:r>
        <w:rPr>
          <w:color w:val="000000"/>
        </w:rPr>
        <w:t>•</w:t>
      </w:r>
      <w:r>
        <w:rPr>
          <w:rFonts w:ascii="Roboto Light;sans-serif" w:hAnsi="Roboto Light;sans-serif"/>
          <w:b w:val="false"/>
          <w:color w:val="000000"/>
          <w:sz w:val="18"/>
        </w:rPr>
        <w:t>2026 Executive Team Bonus</w:t>
      </w:r>
    </w:p>
    <w:p>
      <w:pPr>
        <w:pStyle w:val="TextBody"/>
        <w:bidi w:val="0"/>
        <w:spacing w:lineRule="atLeast" w:line="240" w:before="0" w:after="120"/>
        <w:ind w:left="0" w:right="0" w:hanging="288"/>
        <w:jc w:val="left"/>
        <w:rPr/>
      </w:pPr>
      <w:r>
        <w:rPr>
          <w:color w:val="000000"/>
        </w:rPr>
        <w:t>◦</w:t>
      </w:r>
      <w:r>
        <w:rPr>
          <w:rFonts w:ascii="Roboto Light;sans-serif" w:hAnsi="Roboto Light;sans-serif"/>
          <w:b w:val="false"/>
          <w:color w:val="000000"/>
          <w:sz w:val="18"/>
        </w:rPr>
        <w:t>Replaced the 10% individual performance metric with a 20% strategic initiative team metric (reducing both the Adj. EBIT and Net Sales weights to 40% each). This change reflects the Company’s increased emphasis on advancing key strategic initiatives that support our long</w:t>
        <w:noBreakHyphen/>
        <w:t>term strategy and long</w:t>
        <w:noBreakHyphen/>
        <w:t>range business objectives. These initiatives represent critical, enterprise</w:t>
        <w:noBreakHyphen/>
        <w:t>level priorities that may not be fully captured or rewarded through the financial performance portion of the annual bonus. By shifting to a team</w:t>
        <w:noBreakHyphen/>
        <w:t>based strategic initiative metric with a higher weighting, the 2026 Executive Team Bonus Plan more effectively incentivizes collaboration, aligns rewards with progress on high</w:t>
        <w:noBreakHyphen/>
        <w:t>impact priorities, and helps to ensure meaningful recognition of efforts that drive long</w:t>
        <w:noBreakHyphen/>
        <w:t>term value creation.</w:t>
      </w:r>
    </w:p>
    <w:p>
      <w:pPr>
        <w:pStyle w:val="TextBody"/>
        <w:bidi w:val="0"/>
        <w:spacing w:lineRule="atLeast" w:line="240" w:before="0" w:after="240"/>
        <w:ind w:left="0" w:right="0" w:hanging="288"/>
        <w:jc w:val="left"/>
        <w:rPr/>
      </w:pPr>
      <w:r>
        <w:rPr>
          <w:color w:val="000000"/>
        </w:rPr>
        <w:t>◦</w:t>
      </w:r>
      <w:r>
        <w:rPr>
          <w:rFonts w:ascii="Roboto Light;sans-serif" w:hAnsi="Roboto Light;sans-serif"/>
          <w:b w:val="false"/>
          <w:color w:val="000000"/>
          <w:sz w:val="18"/>
        </w:rPr>
        <w:t>Adjusted the payout range for the Adj. EBIT performance metric for a threshold payout of 25% of target if Adj. EBIT achievement is 80% while increasing the performance level required to achieve a 200% payout from 115% to 120% of target.</w:t>
      </w:r>
    </w:p>
    <w:p>
      <w:pPr>
        <w:pStyle w:val="TextBody"/>
        <w:bidi w:val="0"/>
        <w:spacing w:lineRule="atLeast" w:line="240" w:before="0" w:after="120"/>
        <w:ind w:left="0" w:right="0" w:hanging="288"/>
        <w:jc w:val="left"/>
        <w:rPr/>
      </w:pPr>
      <w:r>
        <w:rPr>
          <w:color w:val="000000"/>
        </w:rPr>
        <w:t>•</w:t>
      </w:r>
      <w:r>
        <w:rPr>
          <w:rFonts w:ascii="Roboto Light;sans-serif" w:hAnsi="Roboto Light;sans-serif"/>
          <w:b w:val="false"/>
          <w:color w:val="000000"/>
          <w:sz w:val="18"/>
        </w:rPr>
        <w:t>2026 Performance-based RSUs</w:t>
      </w:r>
    </w:p>
    <w:p>
      <w:pPr>
        <w:pStyle w:val="TextBody"/>
        <w:bidi w:val="0"/>
        <w:spacing w:lineRule="atLeast" w:line="240" w:before="0" w:after="120"/>
        <w:ind w:left="0" w:right="0" w:hanging="288"/>
        <w:jc w:val="left"/>
        <w:rPr/>
      </w:pPr>
      <w:r>
        <w:rPr>
          <w:color w:val="000000"/>
        </w:rPr>
        <w:t>◦</w:t>
      </w:r>
      <w:r>
        <w:rPr>
          <w:rFonts w:ascii="Roboto Light;sans-serif" w:hAnsi="Roboto Light;sans-serif"/>
          <w:b w:val="false"/>
          <w:color w:val="000000"/>
          <w:sz w:val="18"/>
        </w:rPr>
        <w:t>Added Adjusted Free Cash Flow as a new metric, weighted at 25% of the award. To accommodate this addition, the weighting of Adjusted Pre</w:t>
        <w:noBreakHyphen/>
        <w:t>Tax Income was reduced from 75% to 50%. These changes were made to better align the incentive plan with our long</w:t>
        <w:noBreakHyphen/>
        <w:t>range financial priorities, particularly the importance of driving strong and sustainable cash flow generation.</w:t>
      </w:r>
    </w:p>
    <w:p>
      <w:pPr>
        <w:pStyle w:val="TextBody"/>
        <w:bidi w:val="0"/>
        <w:spacing w:lineRule="atLeast" w:line="240" w:before="0" w:after="120"/>
        <w:ind w:left="0" w:right="0" w:hanging="288"/>
        <w:jc w:val="left"/>
        <w:rPr/>
      </w:pPr>
      <w:r>
        <w:rPr>
          <w:color w:val="000000"/>
        </w:rPr>
        <w:t>◦</w:t>
      </w:r>
      <w:r>
        <w:rPr>
          <w:rFonts w:ascii="Roboto Light;sans-serif" w:hAnsi="Roboto Light;sans-serif"/>
          <w:b w:val="false"/>
          <w:color w:val="000000"/>
          <w:sz w:val="18"/>
        </w:rPr>
        <w:t>The three</w:t>
        <w:noBreakHyphen/>
        <w:t>year cumulative target for the Adjusted Pre-Tax Income, Adjusted Free Cash Flow and ROIC metrics is built from a fixed goal established for the first year of the performance period. The goals for the second and third fiscal year of the performance period are then set as a defined percentage increase over the prior year’s actual results for the same metric, all set at the time of grant. This structure ensures that performance expectations remain both rigorous and responsive to actual business results, while maintaining a clear, formula</w:t>
        <w:noBreakHyphen/>
        <w:t>based approach to setting multi</w:t>
        <w:noBreakHyphen/>
        <w:t>year performance goals.</w:t>
      </w:r>
    </w:p>
    <w:p>
      <w:pPr>
        <w:pStyle w:val="TextBody"/>
        <w:bidi w:val="0"/>
        <w:spacing w:lineRule="atLeast" w:line="240" w:before="0" w:after="120"/>
        <w:ind w:left="0" w:right="0" w:hanging="288"/>
        <w:jc w:val="left"/>
        <w:rPr/>
      </w:pPr>
      <w:r>
        <w:rPr>
          <w:color w:val="000000"/>
        </w:rPr>
        <w:t>◦</w:t>
      </w:r>
      <w:r>
        <w:rPr>
          <w:rFonts w:ascii="Roboto Light;sans-serif" w:hAnsi="Roboto Light;sans-serif"/>
          <w:b w:val="false"/>
          <w:color w:val="000000"/>
          <w:sz w:val="18"/>
        </w:rPr>
        <w:t>Adjusted the payout range for a threshold payout of 25% of the target RSUs granted if performance results achieve 80% of targeted performance goals while increasing the performance level required to achieve a 200% payout from 115% to 120% of the targeted performance goals.</w:t>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263525"/>
                <wp:effectExtent l="0" t="0" r="0" b="0"/>
                <wp:wrapNone/>
                <wp:docPr id="379" name="Frame66"/>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380"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253" descr=""/>
                                          <pic:cNvPicPr>
                                            <a:picLocks noChangeAspect="1" noChangeArrowheads="1"/>
                                          </pic:cNvPicPr>
                                        </pic:nvPicPr>
                                        <pic:blipFill>
                                          <a:blip r:embed="rId315"/>
                                          <a:stretch>
                                            <a:fillRect/>
                                          </a:stretch>
                                        </pic:blipFill>
                                        <pic:spPr bwMode="auto">
                                          <a:xfrm>
                                            <a:off x="0" y="0"/>
                                            <a:ext cx="266700" cy="200025"/>
                                          </a:xfrm>
                                          <a:prstGeom prst="rect">
                                            <a:avLst/>
                                          </a:prstGeom>
                                        </pic:spPr>
                                      </pic:pic>
                                    </a:graphicData>
                                  </a:graphic>
                                </wp:inline>
                              </w:drawing>
                            </w:r>
                            <w:bookmarkStart w:id="314" w:name="i-253"/>
                            <w:bookmarkEnd w:id="31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381"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253" descr=""/>
                                    <pic:cNvPicPr>
                                      <a:picLocks noChangeAspect="1" noChangeArrowheads="1"/>
                                    </pic:cNvPicPr>
                                  </pic:nvPicPr>
                                  <pic:blipFill>
                                    <a:blip r:embed="rId316"/>
                                    <a:stretch>
                                      <a:fillRect/>
                                    </a:stretch>
                                  </pic:blipFill>
                                  <pic:spPr bwMode="auto">
                                    <a:xfrm>
                                      <a:off x="0" y="0"/>
                                      <a:ext cx="266700" cy="200025"/>
                                    </a:xfrm>
                                    <a:prstGeom prst="rect">
                                      <a:avLst/>
                                    </a:prstGeom>
                                  </pic:spPr>
                                </pic:pic>
                              </a:graphicData>
                            </a:graphic>
                          </wp:inline>
                        </w:drawing>
                      </w:r>
                      <w:bookmarkStart w:id="315" w:name="i-253"/>
                      <w:bookmarkEnd w:id="315"/>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61</w:t>
            </w:r>
          </w:p>
        </w:tc>
      </w:tr>
    </w:tbl>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Other Compensation</w:t>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General Benefits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Our NEOs are eligible to participate in the Company’s general benefit plans on the same terms as other team members. These plans include medical, dental and vision benefits, short-term disability, long-term disability, an Employee Stock Purchase Plan, a 401(k) Plan, and a 20% employee discount on most merchandise purchased in the Company’s stores or through our website.</w:t>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 xml:space="preserve">Perquisites and Other Benefits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 perquisites and other personal benefits described below are provided to the NEOs to eliminate potential distractions from performing their regular job duties and to promote productivity, health and well-being. We believe the cost of these programs is counterbalanced by an increase in productivity by the NEOs receiving access to them. All of the perquisites and personal benefits described below have been approved by the Committee.</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In order to maintain competitiveness in the market as well as to maintain continuity of leadership by encouraging physical and financial well-being, the Committee, in partnership with FW Cook, reviewed market data which included our executive compensation peer group and approved reimbursement for annual executive physicals up to $3,500. The Committee also approved providing each NEO with up to $12,000 in reimbursements for annual financial planning services. No tax gross-ups are provided on either of these benefits.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 Company partners with various athletic organizations for business purposes and these organizations may provide tickets to their events as part of our partnerships with them. The Company prioritizes the use of these tickets for business purposes and then secondarily makes them available to team members, including the NEOs, for personal use. Additionally, our team members, including certain of our NEOs, were eligible to receive preferred airline status as part of certain business travel purchases by the Company. There is no incremental cost to the Company for providing these event tickets or preferred airline status and therefore no amount is included in the Summary Compensation Table with respect to these benefits.</w:t>
      </w:r>
    </w:p>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How We Set Compensation</w:t>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Role of the Committee</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 Committee is comprised solely of independent non-employee directors. The Committee’s primary responsibilities are to determine the compensation of our CEO and other executive officers, evaluate our CEO’s performance, and administer our executive officer compensation and benefit programs. The Committee’s charter is described earlier in this Proxy Statement and available in the corporate governance section of our investor relations website at investors.academy.com.</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When selecting and setting the amount of each compensation element, the Committee generally considers the following factors: </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 xml:space="preserve">our performance against the financial and operational objectives established by the Committee; </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 xml:space="preserve">each individual executive officer’s skills, experience, and qualifications relative to other similarly-situated executive officers at the companies in our compensation peer group; </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 xml:space="preserve">the scope of each executive officer’s role compared to other similarly situated executive officers at the companies in our compensation peer group; </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 xml:space="preserve">the performance of each individual executive officer, based on a subjective assessment of their contributions to our overall performance, ability to lead their business unit or function, and work as part of a team, all in furtherance of our core values; </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 xml:space="preserve">internal pay equity among our executive officers, including the NEOs (other than our CEO); </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 xml:space="preserve">our performance relative to our compensation peer group; and </w:t>
      </w:r>
    </w:p>
    <w:p>
      <w:pPr>
        <w:pStyle w:val="TextBody"/>
        <w:bidi w:val="0"/>
        <w:spacing w:lineRule="auto" w:line="288" w:before="0" w:after="240"/>
        <w:ind w:left="0" w:right="0" w:hanging="288"/>
        <w:jc w:val="left"/>
        <w:rPr/>
      </w:pPr>
      <w:r>
        <w:rPr>
          <w:color w:val="000000"/>
        </w:rPr>
        <w:t>•</w:t>
      </w:r>
      <w:r>
        <w:rPr>
          <w:rFonts w:ascii="Roboto Light;sans-serif" w:hAnsi="Roboto Light;sans-serif"/>
          <w:b w:val="false"/>
          <w:color w:val="000000"/>
          <w:sz w:val="18"/>
        </w:rPr>
        <w:t xml:space="preserve">the compensation practices of our compensation peer group and how each executive officer’s target compensation compares to a ranking of similar positions in our compensation peer group.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263525"/>
                <wp:effectExtent l="0" t="0" r="0" b="0"/>
                <wp:wrapNone/>
                <wp:docPr id="382" name="Frame67"/>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383"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254" descr=""/>
                                          <pic:cNvPicPr>
                                            <a:picLocks noChangeAspect="1" noChangeArrowheads="1"/>
                                          </pic:cNvPicPr>
                                        </pic:nvPicPr>
                                        <pic:blipFill>
                                          <a:blip r:embed="rId317"/>
                                          <a:stretch>
                                            <a:fillRect/>
                                          </a:stretch>
                                        </pic:blipFill>
                                        <pic:spPr bwMode="auto">
                                          <a:xfrm>
                                            <a:off x="0" y="0"/>
                                            <a:ext cx="266700" cy="200025"/>
                                          </a:xfrm>
                                          <a:prstGeom prst="rect">
                                            <a:avLst/>
                                          </a:prstGeom>
                                        </pic:spPr>
                                      </pic:pic>
                                    </a:graphicData>
                                  </a:graphic>
                                </wp:inline>
                              </w:drawing>
                            </w:r>
                            <w:bookmarkStart w:id="316" w:name="i-254"/>
                            <w:bookmarkEnd w:id="31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384"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254" descr=""/>
                                    <pic:cNvPicPr>
                                      <a:picLocks noChangeAspect="1" noChangeArrowheads="1"/>
                                    </pic:cNvPicPr>
                                  </pic:nvPicPr>
                                  <pic:blipFill>
                                    <a:blip r:embed="rId318"/>
                                    <a:stretch>
                                      <a:fillRect/>
                                    </a:stretch>
                                  </pic:blipFill>
                                  <pic:spPr bwMode="auto">
                                    <a:xfrm>
                                      <a:off x="0" y="0"/>
                                      <a:ext cx="266700" cy="200025"/>
                                    </a:xfrm>
                                    <a:prstGeom prst="rect">
                                      <a:avLst/>
                                    </a:prstGeom>
                                  </pic:spPr>
                                </pic:pic>
                              </a:graphicData>
                            </a:graphic>
                          </wp:inline>
                        </w:drawing>
                      </w:r>
                      <w:bookmarkStart w:id="317" w:name="i-254"/>
                      <w:bookmarkEnd w:id="317"/>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In determining the amount of long-term equity incentive compensation for our executive officers as part of its annual compensation review, the Committee also considers the accounting impact of the proposed awards on our earnings and the proportion of our total shares outstanding used for annual employee long-term equity incentive compensation awards, or burn rate, in relation to the median proportions of the companies in retail sector benchmarks.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These factors provide the framework for compensation decision-making and final decisions regarding the compensation opportunity for each executive officer. No single factor is determinative in setting pay levels, nor is the impact of any factor on the determination of pay levels quantifiable. The Committee retains significant authority to adjust the compensation levels of our executive officers based on the foregoing, as well as other factors that it may deem appropriate to achieve our overall compensation goals.</w:t>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Role of Executive Compensation Team</w:t>
      </w:r>
    </w:p>
    <w:p>
      <w:pPr>
        <w:pStyle w:val="TextBody"/>
        <w:bidi w:val="0"/>
        <w:spacing w:lineRule="atLeast" w:line="240" w:before="0" w:after="200"/>
        <w:jc w:val="left"/>
        <w:rPr>
          <w:rFonts w:ascii="Roboto Light;sans-serif" w:hAnsi="Roboto Light;sans-serif"/>
          <w:b w:val="false"/>
          <w:color w:val="000000"/>
          <w:sz w:val="18"/>
        </w:rPr>
      </w:pPr>
      <w:r>
        <w:rPr>
          <w:rFonts w:ascii="Roboto Light;sans-serif" w:hAnsi="Roboto Light;sans-serif"/>
          <w:b w:val="false"/>
          <w:color w:val="000000"/>
          <w:sz w:val="18"/>
        </w:rPr>
        <w:t>In discharging its responsibilities, the Committee works with members of our executive compensation team (i.e., our CEO, Chief Administrative Officer, and Vice President of Compensation, Benefits, Human Resources Operations, and Payroll). The executive compensation team assists the Committee by providing information on our performance and the individual performance of our executive officers, as well as market and industry data, and the executive compensation team’s perspective and recommendations on compensation matters. The Committee solicits and considers our executive compensation team’s recommendations and proposals with respect to adjustments to base salaries, annual cash bonus opportunities, long-term incentive compensation opportunities, perquisites, program structures, and other compensation-related matters for our executive officers. The Committee reviews and discusses these recommendations and proposals with some or all of the members of our executive compensation team and uses them as one factor in determining and approving the compensation for our executive officers. In addition, the level of attainment of each individual NEOs performance goals pursuant to the Company’s Executive Team Bonus Plan (described in “2025 Executive Team Bonus Plan”) is recommended by our CEO (other than with respect to his own, which is determined by the Committee) to the Committee for its final approval. The executive officers on the executive compensation team recuse themselves from all Committee deliberations regarding their own individual compensation.</w:t>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Role of Compensation Consultant</w:t>
      </w:r>
    </w:p>
    <w:p>
      <w:pPr>
        <w:pStyle w:val="TextBody"/>
        <w:bidi w:val="0"/>
        <w:spacing w:lineRule="atLeast" w:line="240" w:before="0" w:after="200"/>
        <w:jc w:val="left"/>
        <w:rPr>
          <w:rFonts w:ascii="Roboto Light;sans-serif" w:hAnsi="Roboto Light;sans-serif"/>
          <w:b w:val="false"/>
          <w:color w:val="000000"/>
          <w:sz w:val="18"/>
        </w:rPr>
      </w:pPr>
      <w:r>
        <w:rPr>
          <w:rFonts w:ascii="Roboto Light;sans-serif" w:hAnsi="Roboto Light;sans-serif"/>
          <w:b w:val="false"/>
          <w:color w:val="000000"/>
          <w:sz w:val="18"/>
        </w:rPr>
        <w:t xml:space="preserve">Pursuant to its charter, the Committee has the authority to retain the services of external advisors, including compensation consultants, legal counsel, and other advisors, to assist in the performance of its responsibilities. For 2025, the Committee retained an independent nationally recognized executive compensation consultant, FW Cook. FW Cook performs no work for management and reports directly to the Committee. The Committee assessed the independence of FW Cook based on standards promulgated by the SEC and concluded that no conflicts of interest exist that would prevent FW Cook from serving as an independent consultant to the Committee.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For 2025, the Committee utilized FW Cook for general input and guidance on components of our executive officer compensation program. FW Cook also advised the Committee with respect to the compensation benchmarking peer group and market data reviewed for base salary, annual bonus, long-term equity compensation, and perquisites for similarly situated executive officers in the Company’s compensation peer group. FW Cook also advised the Committee on general executive compensation program elements and design.</w:t>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263525"/>
                <wp:effectExtent l="0" t="0" r="0" b="0"/>
                <wp:wrapNone/>
                <wp:docPr id="385" name="Frame68"/>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386"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255" descr=""/>
                                          <pic:cNvPicPr>
                                            <a:picLocks noChangeAspect="1" noChangeArrowheads="1"/>
                                          </pic:cNvPicPr>
                                        </pic:nvPicPr>
                                        <pic:blipFill>
                                          <a:blip r:embed="rId319"/>
                                          <a:stretch>
                                            <a:fillRect/>
                                          </a:stretch>
                                        </pic:blipFill>
                                        <pic:spPr bwMode="auto">
                                          <a:xfrm>
                                            <a:off x="0" y="0"/>
                                            <a:ext cx="266700" cy="200025"/>
                                          </a:xfrm>
                                          <a:prstGeom prst="rect">
                                            <a:avLst/>
                                          </a:prstGeom>
                                        </pic:spPr>
                                      </pic:pic>
                                    </a:graphicData>
                                  </a:graphic>
                                </wp:inline>
                              </w:drawing>
                            </w:r>
                            <w:bookmarkStart w:id="318" w:name="i-255"/>
                            <w:bookmarkEnd w:id="31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387"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255" descr=""/>
                                    <pic:cNvPicPr>
                                      <a:picLocks noChangeAspect="1" noChangeArrowheads="1"/>
                                    </pic:cNvPicPr>
                                  </pic:nvPicPr>
                                  <pic:blipFill>
                                    <a:blip r:embed="rId320"/>
                                    <a:stretch>
                                      <a:fillRect/>
                                    </a:stretch>
                                  </pic:blipFill>
                                  <pic:spPr bwMode="auto">
                                    <a:xfrm>
                                      <a:off x="0" y="0"/>
                                      <a:ext cx="266700" cy="200025"/>
                                    </a:xfrm>
                                    <a:prstGeom prst="rect">
                                      <a:avLst/>
                                    </a:prstGeom>
                                  </pic:spPr>
                                </pic:pic>
                              </a:graphicData>
                            </a:graphic>
                          </wp:inline>
                        </w:drawing>
                      </w:r>
                      <w:bookmarkStart w:id="319" w:name="i-255"/>
                      <w:bookmarkEnd w:id="319"/>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63</w:t>
            </w:r>
          </w:p>
        </w:tc>
      </w:tr>
    </w:tbl>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How We Determine and Use our Compensation Peer Group</w:t>
      </w:r>
    </w:p>
    <w:p>
      <w:pPr>
        <w:pStyle w:val="TextBody"/>
        <w:bidi w:val="0"/>
        <w:spacing w:lineRule="atLeast" w:line="240" w:before="0" w:after="180"/>
        <w:jc w:val="left"/>
        <w:rPr>
          <w:rFonts w:ascii="Roboto Light;sans-serif" w:hAnsi="Roboto Light;sans-serif"/>
          <w:b w:val="false"/>
          <w:color w:val="000000"/>
          <w:sz w:val="18"/>
        </w:rPr>
      </w:pPr>
      <w:r>
        <w:rPr>
          <w:rFonts w:ascii="Roboto Light;sans-serif" w:hAnsi="Roboto Light;sans-serif"/>
          <w:b w:val="false"/>
          <w:color w:val="000000"/>
          <w:sz w:val="18"/>
        </w:rPr>
        <w:t xml:space="preserve">For purposes of comparing our executive compensation to the competitive market, the Committee reviews and considers the compensation levels and practices of a group of comparable retail companies. In August 2024, the Committee, with the input of data and analysis from FW Cook developed and approved the compensation peer group immediately below which we used in 2025 for purposes of understanding the competitive market (“2025 Peer Group”): </w:t>
      </w:r>
    </w:p>
    <w:p>
      <w:pPr>
        <w:pStyle w:val="TextBody"/>
        <w:bidi w:val="0"/>
        <w:spacing w:lineRule="atLeast" w:line="240" w:before="0" w:after="60"/>
        <w:ind w:left="0" w:right="0" w:hanging="288"/>
        <w:jc w:val="left"/>
        <w:rPr/>
      </w:pPr>
      <w:r>
        <w:rPr>
          <w:color w:val="000000"/>
        </w:rPr>
        <w:t>•</w:t>
      </w:r>
      <w:r>
        <w:rPr>
          <w:rFonts w:ascii="Roboto Light;sans-serif" w:hAnsi="Roboto Light;sans-serif"/>
          <w:b w:val="false"/>
          <w:color w:val="000000"/>
          <w:sz w:val="18"/>
        </w:rPr>
        <w:t>American Eagle</w:t>
      </w:r>
    </w:p>
    <w:p>
      <w:pPr>
        <w:pStyle w:val="TextBody"/>
        <w:bidi w:val="0"/>
        <w:spacing w:lineRule="atLeast" w:line="240" w:before="0" w:after="60"/>
        <w:ind w:left="0" w:right="0" w:hanging="288"/>
        <w:jc w:val="left"/>
        <w:rPr/>
      </w:pPr>
      <w:r>
        <w:rPr>
          <w:color w:val="000000"/>
        </w:rPr>
        <w:t>•</w:t>
      </w:r>
      <w:r>
        <w:rPr>
          <w:rFonts w:ascii="Roboto Light;sans-serif" w:hAnsi="Roboto Light;sans-serif"/>
          <w:b w:val="false"/>
          <w:color w:val="000000"/>
          <w:sz w:val="18"/>
        </w:rPr>
        <w:t>Bath &amp; Body Works</w:t>
      </w:r>
    </w:p>
    <w:p>
      <w:pPr>
        <w:pStyle w:val="TextBody"/>
        <w:bidi w:val="0"/>
        <w:spacing w:lineRule="atLeast" w:line="240" w:before="0" w:after="60"/>
        <w:ind w:left="0" w:right="0" w:hanging="288"/>
        <w:jc w:val="left"/>
        <w:rPr/>
      </w:pPr>
      <w:r>
        <w:rPr>
          <w:color w:val="000000"/>
        </w:rPr>
        <w:t>•</w:t>
      </w:r>
      <w:r>
        <w:rPr>
          <w:rFonts w:ascii="Roboto Light;sans-serif" w:hAnsi="Roboto Light;sans-serif"/>
          <w:b w:val="false"/>
          <w:color w:val="000000"/>
          <w:sz w:val="18"/>
        </w:rPr>
        <w:t>Burlington Stores</w:t>
      </w:r>
    </w:p>
    <w:p>
      <w:pPr>
        <w:pStyle w:val="TextBody"/>
        <w:bidi w:val="0"/>
        <w:spacing w:lineRule="atLeast" w:line="240" w:before="0" w:after="60"/>
        <w:ind w:left="0" w:right="0" w:hanging="288"/>
        <w:jc w:val="left"/>
        <w:rPr/>
      </w:pPr>
      <w:r>
        <w:rPr>
          <w:color w:val="000000"/>
        </w:rPr>
        <w:t>•</w:t>
      </w:r>
      <w:r>
        <w:rPr>
          <w:rFonts w:ascii="Roboto Light;sans-serif" w:hAnsi="Roboto Light;sans-serif"/>
          <w:b w:val="false"/>
          <w:color w:val="000000"/>
          <w:sz w:val="18"/>
        </w:rPr>
        <w:t>Caleres</w:t>
      </w:r>
    </w:p>
    <w:p>
      <w:pPr>
        <w:pStyle w:val="TextBody"/>
        <w:bidi w:val="0"/>
        <w:spacing w:lineRule="atLeast" w:line="240" w:before="0" w:after="60"/>
        <w:ind w:left="0" w:right="0" w:hanging="288"/>
        <w:jc w:val="left"/>
        <w:rPr/>
      </w:pPr>
      <w:r>
        <w:rPr>
          <w:color w:val="000000"/>
        </w:rPr>
        <w:t>•</w:t>
      </w:r>
      <w:r>
        <w:rPr>
          <w:rFonts w:ascii="Roboto Light;sans-serif" w:hAnsi="Roboto Light;sans-serif"/>
          <w:b w:val="false"/>
          <w:color w:val="000000"/>
          <w:sz w:val="18"/>
        </w:rPr>
        <w:t>Carter’s</w:t>
      </w:r>
    </w:p>
    <w:p>
      <w:pPr>
        <w:pStyle w:val="TextBody"/>
        <w:bidi w:val="0"/>
        <w:spacing w:lineRule="atLeast" w:line="240" w:before="0" w:after="60"/>
        <w:ind w:left="0" w:right="0" w:hanging="288"/>
        <w:jc w:val="left"/>
        <w:rPr/>
      </w:pPr>
      <w:r>
        <w:rPr>
          <w:color w:val="000000"/>
        </w:rPr>
        <w:t>•</w:t>
      </w:r>
      <w:r>
        <w:rPr>
          <w:rFonts w:ascii="Roboto Light;sans-serif" w:hAnsi="Roboto Light;sans-serif"/>
          <w:b w:val="false"/>
          <w:color w:val="000000"/>
          <w:sz w:val="18"/>
        </w:rPr>
        <w:t>Designer Brands</w:t>
      </w:r>
    </w:p>
    <w:p>
      <w:pPr>
        <w:pStyle w:val="TextBody"/>
        <w:bidi w:val="0"/>
        <w:spacing w:lineRule="atLeast" w:line="240" w:before="0" w:after="60"/>
        <w:ind w:left="0" w:right="0" w:hanging="288"/>
        <w:jc w:val="left"/>
        <w:rPr/>
      </w:pPr>
      <w:r>
        <w:rPr>
          <w:color w:val="000000"/>
        </w:rPr>
        <w:t>•</w:t>
      </w:r>
      <w:r>
        <w:rPr>
          <w:rFonts w:ascii="Roboto Light;sans-serif" w:hAnsi="Roboto Light;sans-serif"/>
          <w:b w:val="false"/>
          <w:color w:val="000000"/>
          <w:sz w:val="18"/>
        </w:rPr>
        <w:t>DICK’s Sporting Goods</w:t>
      </w:r>
    </w:p>
    <w:p>
      <w:pPr>
        <w:pStyle w:val="TextBody"/>
        <w:bidi w:val="0"/>
        <w:spacing w:lineRule="atLeast" w:line="240" w:before="0" w:after="60"/>
        <w:ind w:left="0" w:right="0" w:hanging="288"/>
        <w:jc w:val="left"/>
        <w:rPr/>
      </w:pPr>
      <w:r>
        <w:rPr>
          <w:color w:val="000000"/>
        </w:rPr>
        <w:t>•</w:t>
      </w:r>
      <w:r>
        <w:rPr>
          <w:rFonts w:ascii="Roboto Light;sans-serif" w:hAnsi="Roboto Light;sans-serif"/>
          <w:b w:val="false"/>
          <w:color w:val="000000"/>
          <w:sz w:val="18"/>
        </w:rPr>
        <w:t>Five Below</w:t>
      </w:r>
    </w:p>
    <w:p>
      <w:pPr>
        <w:pStyle w:val="TextBody"/>
        <w:bidi w:val="0"/>
        <w:spacing w:lineRule="atLeast" w:line="240" w:before="0" w:after="60"/>
        <w:ind w:left="0" w:right="0" w:hanging="288"/>
        <w:jc w:val="left"/>
        <w:rPr/>
      </w:pPr>
      <w:r>
        <w:rPr>
          <w:color w:val="000000"/>
        </w:rPr>
        <w:t>•</w:t>
      </w:r>
      <w:r>
        <w:rPr>
          <w:rFonts w:ascii="Roboto Light;sans-serif" w:hAnsi="Roboto Light;sans-serif"/>
          <w:b w:val="false"/>
          <w:color w:val="000000"/>
          <w:sz w:val="18"/>
        </w:rPr>
        <w:t>Foot Locker</w:t>
      </w:r>
    </w:p>
    <w:p>
      <w:pPr>
        <w:pStyle w:val="TextBody"/>
        <w:bidi w:val="0"/>
        <w:spacing w:lineRule="atLeast" w:line="240" w:before="0" w:after="60"/>
        <w:ind w:left="0" w:right="0" w:hanging="288"/>
        <w:jc w:val="left"/>
        <w:rPr/>
      </w:pPr>
      <w:r>
        <w:rPr>
          <w:color w:val="000000"/>
        </w:rPr>
        <w:t>•</w:t>
      </w:r>
      <w:r>
        <w:rPr>
          <w:rFonts w:ascii="Roboto Light;sans-serif" w:hAnsi="Roboto Light;sans-serif"/>
          <w:b w:val="false"/>
          <w:color w:val="000000"/>
          <w:sz w:val="18"/>
        </w:rPr>
        <w:t>Hibbett</w:t>
      </w:r>
    </w:p>
    <w:p>
      <w:pPr>
        <w:pStyle w:val="TextBody"/>
        <w:bidi w:val="0"/>
        <w:spacing w:lineRule="atLeast" w:line="240" w:before="0" w:after="60"/>
        <w:ind w:left="0" w:right="0" w:hanging="288"/>
        <w:jc w:val="left"/>
        <w:rPr/>
      </w:pPr>
      <w:r>
        <w:rPr>
          <w:color w:val="000000"/>
        </w:rPr>
        <w:t>•</w:t>
      </w:r>
      <w:r>
        <w:rPr>
          <w:rFonts w:ascii="Roboto Light;sans-serif" w:hAnsi="Roboto Light;sans-serif"/>
          <w:b w:val="false"/>
          <w:color w:val="000000"/>
          <w:sz w:val="18"/>
        </w:rPr>
        <w:t>Ross Stores</w:t>
      </w:r>
    </w:p>
    <w:p>
      <w:pPr>
        <w:pStyle w:val="TextBody"/>
        <w:bidi w:val="0"/>
        <w:spacing w:lineRule="atLeast" w:line="240" w:before="0" w:after="60"/>
        <w:ind w:left="0" w:right="0" w:hanging="288"/>
        <w:jc w:val="left"/>
        <w:rPr/>
      </w:pPr>
      <w:r>
        <w:rPr>
          <w:color w:val="000000"/>
        </w:rPr>
        <w:t>•</w:t>
      </w:r>
      <w:r>
        <w:rPr>
          <w:rFonts w:ascii="Roboto Light;sans-serif" w:hAnsi="Roboto Light;sans-serif"/>
          <w:b w:val="false"/>
          <w:color w:val="000000"/>
          <w:sz w:val="18"/>
        </w:rPr>
        <w:t>Sally Beauty Holdings</w:t>
      </w:r>
    </w:p>
    <w:p>
      <w:pPr>
        <w:pStyle w:val="TextBody"/>
        <w:bidi w:val="0"/>
        <w:spacing w:lineRule="atLeast" w:line="240" w:before="0" w:after="60"/>
        <w:ind w:left="0" w:right="0" w:hanging="288"/>
        <w:jc w:val="left"/>
        <w:rPr/>
      </w:pPr>
      <w:r>
        <w:rPr>
          <w:color w:val="000000"/>
        </w:rPr>
        <w:t>•</w:t>
      </w:r>
      <w:r>
        <w:rPr>
          <w:rFonts w:ascii="Roboto Light;sans-serif" w:hAnsi="Roboto Light;sans-serif"/>
          <w:b w:val="false"/>
          <w:color w:val="000000"/>
          <w:sz w:val="18"/>
        </w:rPr>
        <w:t>Signet Jewelers</w:t>
      </w:r>
    </w:p>
    <w:p>
      <w:pPr>
        <w:pStyle w:val="TextBody"/>
        <w:bidi w:val="0"/>
        <w:spacing w:lineRule="atLeast" w:line="240" w:before="0" w:after="60"/>
        <w:ind w:left="0" w:right="0" w:hanging="288"/>
        <w:jc w:val="left"/>
        <w:rPr/>
      </w:pPr>
      <w:r>
        <w:rPr>
          <w:color w:val="000000"/>
        </w:rPr>
        <w:t>•</w:t>
      </w:r>
      <w:r>
        <w:rPr>
          <w:rFonts w:ascii="Roboto Light;sans-serif" w:hAnsi="Roboto Light;sans-serif"/>
          <w:b w:val="false"/>
          <w:color w:val="000000"/>
          <w:sz w:val="18"/>
        </w:rPr>
        <w:t>The Gap</w:t>
      </w:r>
    </w:p>
    <w:p>
      <w:pPr>
        <w:pStyle w:val="TextBody"/>
        <w:bidi w:val="0"/>
        <w:spacing w:lineRule="atLeast" w:line="240" w:before="0" w:after="60"/>
        <w:ind w:left="0" w:right="0" w:hanging="288"/>
        <w:jc w:val="left"/>
        <w:rPr/>
      </w:pPr>
      <w:r>
        <w:rPr>
          <w:color w:val="000000"/>
        </w:rPr>
        <w:t>•</w:t>
      </w:r>
      <w:r>
        <w:rPr>
          <w:rFonts w:ascii="Roboto Light;sans-serif" w:hAnsi="Roboto Light;sans-serif"/>
          <w:b w:val="false"/>
          <w:color w:val="000000"/>
          <w:sz w:val="18"/>
        </w:rPr>
        <w:t>Tractor Supply Company</w:t>
      </w:r>
    </w:p>
    <w:p>
      <w:pPr>
        <w:pStyle w:val="TextBody"/>
        <w:bidi w:val="0"/>
        <w:spacing w:lineRule="atLeast" w:line="240" w:before="0" w:after="60"/>
        <w:ind w:left="0" w:right="0" w:hanging="288"/>
        <w:jc w:val="left"/>
        <w:rPr/>
      </w:pPr>
      <w:r>
        <w:rPr>
          <w:color w:val="000000"/>
        </w:rPr>
        <w:t>•</w:t>
      </w:r>
      <w:r>
        <w:rPr>
          <w:rFonts w:ascii="Roboto Light;sans-serif" w:hAnsi="Roboto Light;sans-serif"/>
          <w:b w:val="false"/>
          <w:color w:val="000000"/>
          <w:sz w:val="18"/>
        </w:rPr>
        <w:t>Ulta Beauty</w:t>
      </w:r>
    </w:p>
    <w:p>
      <w:pPr>
        <w:pStyle w:val="TextBody"/>
        <w:bidi w:val="0"/>
        <w:spacing w:lineRule="atLeast" w:line="240" w:before="0" w:after="60"/>
        <w:ind w:left="0" w:right="0" w:hanging="288"/>
        <w:jc w:val="left"/>
        <w:rPr/>
      </w:pPr>
      <w:r>
        <w:rPr>
          <w:color w:val="000000"/>
        </w:rPr>
        <w:t>•</w:t>
      </w:r>
      <w:r>
        <w:rPr>
          <w:rFonts w:ascii="Roboto Light;sans-serif" w:hAnsi="Roboto Light;sans-serif"/>
          <w:b w:val="false"/>
          <w:color w:val="000000"/>
          <w:sz w:val="18"/>
        </w:rPr>
        <w:t>Urban Outfitters</w:t>
      </w:r>
    </w:p>
    <w:p>
      <w:pPr>
        <w:pStyle w:val="TextBody"/>
        <w:bidi w:val="0"/>
        <w:spacing w:lineRule="atLeast" w:line="240" w:before="0" w:after="60"/>
        <w:ind w:left="0" w:right="0" w:hanging="288"/>
        <w:jc w:val="left"/>
        <w:rPr/>
      </w:pPr>
      <w:r>
        <w:rPr>
          <w:color w:val="000000"/>
        </w:rPr>
        <w:t>•</w:t>
      </w:r>
      <w:r>
        <w:rPr>
          <w:rFonts w:ascii="Roboto Light;sans-serif" w:hAnsi="Roboto Light;sans-serif"/>
          <w:b w:val="false"/>
          <w:color w:val="000000"/>
          <w:sz w:val="18"/>
        </w:rPr>
        <w:t>Williams-Sonoma</w:t>
      </w:r>
    </w:p>
    <w:p>
      <w:pPr>
        <w:pStyle w:val="TextBody"/>
        <w:bidi w:val="0"/>
        <w:spacing w:lineRule="atLeast" w:line="240" w:before="240" w:after="120"/>
        <w:jc w:val="left"/>
        <w:rPr>
          <w:rFonts w:ascii="Roboto Light;sans-serif" w:hAnsi="Roboto Light;sans-serif"/>
          <w:b w:val="false"/>
          <w:color w:val="000000"/>
          <w:sz w:val="18"/>
        </w:rPr>
      </w:pPr>
      <w:r>
        <w:rPr>
          <w:rFonts w:ascii="Roboto Light;sans-serif" w:hAnsi="Roboto Light;sans-serif"/>
          <w:b w:val="false"/>
          <w:color w:val="000000"/>
          <w:sz w:val="18"/>
        </w:rPr>
        <w:t xml:space="preserve">The companies in the 2025 Peer Group were selected using the following criteria: </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 xml:space="preserve">Appropriate revenue size; </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Companies primarily in the retail business;</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Similar business model and/or products; and</w:t>
      </w:r>
    </w:p>
    <w:p>
      <w:pPr>
        <w:pStyle w:val="TextBody"/>
        <w:bidi w:val="0"/>
        <w:spacing w:lineRule="auto" w:line="288" w:before="0" w:after="240"/>
        <w:ind w:left="0" w:right="0" w:hanging="288"/>
        <w:jc w:val="left"/>
        <w:rPr/>
      </w:pPr>
      <w:r>
        <w:rPr>
          <w:color w:val="000000"/>
        </w:rPr>
        <w:t>•</w:t>
      </w:r>
      <w:r>
        <w:rPr>
          <w:rFonts w:ascii="Roboto Light;sans-serif" w:hAnsi="Roboto Light;sans-serif"/>
          <w:b w:val="false"/>
          <w:color w:val="000000"/>
          <w:sz w:val="18"/>
        </w:rPr>
        <w:t>Companies that compete with us for executive talent.</w:t>
      </w:r>
    </w:p>
    <w:p>
      <w:pPr>
        <w:pStyle w:val="TextBody"/>
        <w:bidi w:val="0"/>
        <w:spacing w:lineRule="atLeast" w:line="240" w:before="0" w:after="240"/>
        <w:jc w:val="left"/>
        <w:rPr/>
      </w:pPr>
      <w:r>
        <w:rPr>
          <w:rFonts w:ascii="Roboto Light;sans-serif" w:hAnsi="Roboto Light;sans-serif"/>
          <w:b w:val="false"/>
          <w:color w:val="000000"/>
          <w:sz w:val="18"/>
        </w:rPr>
        <w:t>Based on the criteria established for inclusion, the Committee</w:t>
      </w:r>
      <w:r>
        <w:rPr>
          <w:color w:val="000000"/>
          <w:shd w:fill="FFFFFF" w:val="clear"/>
        </w:rPr>
        <w:t xml:space="preserve"> </w:t>
      </w:r>
      <w:r>
        <w:rPr>
          <w:rFonts w:ascii="Roboto Light;sans-serif" w:hAnsi="Roboto Light;sans-serif"/>
          <w:b w:val="false"/>
          <w:color w:val="000000"/>
          <w:sz w:val="18"/>
          <w:shd w:fill="FFFFFF" w:val="clear"/>
        </w:rPr>
        <w:t>determined no changes were needed to the 2025 Pee</w:t>
      </w:r>
      <w:r>
        <w:rPr>
          <w:rFonts w:ascii="Roboto Light;sans-serif" w:hAnsi="Roboto Light;sans-serif"/>
          <w:b w:val="false"/>
          <w:color w:val="000000"/>
          <w:sz w:val="18"/>
        </w:rPr>
        <w:t>r Group from 2024.</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The 2025 Peer Group was used by the Committee during 2025 as a reference for understanding the compensation practices of companies in our sector. To analyze the compensation practices of the companies in our 2025 Peer Group, FW Cook gathered data for the peer group companies from public filings (primarily proxy statements). This market data was then used as a reference point for the Committee to assess our current compensation levels in the course of its deliberations on compensation forms and amounts. </w:t>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 xml:space="preserve">Employment Agreements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We have entered into employment agreements with each of our NEOs to help retain these executive officers who are key to the future success of the Company. For additional information regarding our NEO employment agreements in effect during 2025, see “Employment Agreements with NEOs.”</w:t>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Stock Ownership Guidelines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We maintain meaningful stock ownership guidelines for our officers. The following table summarizes the guidelines in effect during 2025:</w:t>
      </w:r>
    </w:p>
    <w:tbl>
      <w:tblPr>
        <w:tblW w:w="6749" w:type="dxa"/>
        <w:jc w:val="left"/>
        <w:tblInd w:w="0" w:type="dxa"/>
        <w:tblLayout w:type="fixed"/>
        <w:tblCellMar>
          <w:top w:w="28" w:type="dxa"/>
          <w:left w:w="28" w:type="dxa"/>
          <w:bottom w:w="28" w:type="dxa"/>
          <w:right w:w="28" w:type="dxa"/>
        </w:tblCellMar>
      </w:tblPr>
      <w:tblGrid>
        <w:gridCol w:w="1260"/>
        <w:gridCol w:w="1109"/>
        <w:gridCol w:w="1111"/>
        <w:gridCol w:w="504"/>
        <w:gridCol w:w="504"/>
        <w:gridCol w:w="506"/>
        <w:gridCol w:w="514"/>
        <w:gridCol w:w="514"/>
        <w:gridCol w:w="727"/>
      </w:tblGrid>
      <w:tr>
        <w:trPr/>
        <w:tc>
          <w:tcPr>
            <w:tcW w:w="126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FFFFFF"/>
                <w:sz w:val="16"/>
              </w:rPr>
            </w:pPr>
            <w:r>
              <w:rPr>
                <w:rFonts w:ascii="Roboto;sans-serif" w:hAnsi="Roboto;sans-serif"/>
                <w:b/>
                <w:color w:val="FFFFFF"/>
                <w:sz w:val="16"/>
              </w:rPr>
              <w:t>Covered Position</w:t>
            </w:r>
          </w:p>
        </w:tc>
        <w:tc>
          <w:tcPr>
            <w:tcW w:w="1514"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color w:val="FFFFFF"/>
                <w:sz w:val="16"/>
              </w:rPr>
            </w:pPr>
            <w:r>
              <w:rPr>
                <w:rFonts w:ascii="Roboto;sans-serif" w:hAnsi="Roboto;sans-serif"/>
                <w:b/>
                <w:color w:val="FFFFFF"/>
                <w:sz w:val="16"/>
              </w:rPr>
              <w:t>Multiple of Pay</w:t>
            </w:r>
          </w:p>
        </w:tc>
        <w:tc>
          <w:tcPr>
            <w:tcW w:w="1755"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FFFFFF"/>
                <w:sz w:val="16"/>
              </w:rPr>
            </w:pPr>
            <w:r>
              <w:rPr>
                <w:rFonts w:ascii="Roboto;sans-serif" w:hAnsi="Roboto;sans-serif"/>
                <w:b/>
                <w:color w:val="FFFFFF"/>
                <w:sz w:val="16"/>
              </w:rPr>
              <w:t>Applicable Pay</w:t>
            </w:r>
          </w:p>
        </w:tc>
      </w:tr>
      <w:tr>
        <w:trPr/>
        <w:tc>
          <w:tcPr>
            <w:tcW w:w="3480"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CEO</w:t>
            </w:r>
          </w:p>
        </w:tc>
        <w:tc>
          <w:tcPr>
            <w:tcW w:w="1514"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5.0x</w:t>
            </w:r>
          </w:p>
        </w:tc>
        <w:tc>
          <w:tcPr>
            <w:tcW w:w="1755"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Annual base salary</w:t>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President and Executive Vice Presidents</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3.0x</w:t>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Annual base salary</w:t>
            </w:r>
          </w:p>
        </w:tc>
      </w:tr>
      <w:tr>
        <w:trPr/>
        <w:tc>
          <w:tcPr>
            <w:tcW w:w="3480"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 xml:space="preserve">Senior Vice Presidents </w:t>
            </w:r>
          </w:p>
        </w:tc>
        <w:tc>
          <w:tcPr>
            <w:tcW w:w="1514"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1.0x</w:t>
            </w:r>
          </w:p>
        </w:tc>
        <w:tc>
          <w:tcPr>
            <w:tcW w:w="1755"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Annual base salary</w:t>
            </w:r>
          </w:p>
        </w:tc>
      </w:tr>
      <w:tr>
        <w:trPr/>
        <w:tc>
          <w:tcPr>
            <w:tcW w:w="3480" w:type="dxa"/>
            <w:gridSpan w:val="3"/>
            <w:tcBorders>
              <w:bottom w:val="single" w:sz="12" w:space="0" w:color="E81111"/>
            </w:tcBorders>
            <w:tcMar>
              <w:top w:w="0" w:type="dxa"/>
              <w:left w:w="0" w:type="dxa"/>
              <w:bottom w:w="3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Vice Presidents</w:t>
            </w:r>
          </w:p>
        </w:tc>
        <w:tc>
          <w:tcPr>
            <w:tcW w:w="1514" w:type="dxa"/>
            <w:gridSpan w:val="3"/>
            <w:tcBorders>
              <w:bottom w:val="single" w:sz="12" w:space="0" w:color="E81111"/>
            </w:tcBorders>
            <w:tcMar>
              <w:top w:w="0" w:type="dxa"/>
              <w:left w:w="0" w:type="dxa"/>
              <w:bottom w:w="30" w:type="dxa"/>
              <w:right w:w="0" w:type="dxa"/>
            </w:tcMar>
            <w:vAlign w:val="center"/>
          </w:tcPr>
          <w:p>
            <w:pPr>
              <w:pStyle w:val="TableContents"/>
              <w:bidi w:val="0"/>
              <w:spacing w:lineRule="auto" w:line="312" w:before="0" w:after="283"/>
              <w:jc w:val="center"/>
              <w:rPr>
                <w:rFonts w:ascii="Roboto;sans-serif" w:hAnsi="Roboto;sans-serif"/>
                <w:b w:val="false"/>
                <w:color w:val="000000"/>
                <w:sz w:val="16"/>
              </w:rPr>
            </w:pPr>
            <w:r>
              <w:rPr>
                <w:rFonts w:ascii="Roboto;sans-serif" w:hAnsi="Roboto;sans-serif"/>
                <w:b w:val="false"/>
                <w:color w:val="000000"/>
                <w:sz w:val="16"/>
              </w:rPr>
              <w:t>0.5x</w:t>
            </w:r>
          </w:p>
        </w:tc>
        <w:tc>
          <w:tcPr>
            <w:tcW w:w="1755" w:type="dxa"/>
            <w:gridSpan w:val="3"/>
            <w:tcBorders>
              <w:bottom w:val="single" w:sz="12" w:space="0" w:color="E81111"/>
            </w:tcBorders>
            <w:tcMar>
              <w:top w:w="0" w:type="dxa"/>
              <w:left w:w="0" w:type="dxa"/>
              <w:bottom w:w="3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Annual base salary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263525"/>
                <wp:effectExtent l="0" t="0" r="0" b="0"/>
                <wp:wrapNone/>
                <wp:docPr id="388" name="Frame69"/>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389"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256" descr=""/>
                                          <pic:cNvPicPr>
                                            <a:picLocks noChangeAspect="1" noChangeArrowheads="1"/>
                                          </pic:cNvPicPr>
                                        </pic:nvPicPr>
                                        <pic:blipFill>
                                          <a:blip r:embed="rId321"/>
                                          <a:stretch>
                                            <a:fillRect/>
                                          </a:stretch>
                                        </pic:blipFill>
                                        <pic:spPr bwMode="auto">
                                          <a:xfrm>
                                            <a:off x="0" y="0"/>
                                            <a:ext cx="266700" cy="200025"/>
                                          </a:xfrm>
                                          <a:prstGeom prst="rect">
                                            <a:avLst/>
                                          </a:prstGeom>
                                        </pic:spPr>
                                      </pic:pic>
                                    </a:graphicData>
                                  </a:graphic>
                                </wp:inline>
                              </w:drawing>
                            </w:r>
                            <w:bookmarkStart w:id="320" w:name="i-256"/>
                            <w:bookmarkEnd w:id="32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390"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256" descr=""/>
                                    <pic:cNvPicPr>
                                      <a:picLocks noChangeAspect="1" noChangeArrowheads="1"/>
                                    </pic:cNvPicPr>
                                  </pic:nvPicPr>
                                  <pic:blipFill>
                                    <a:blip r:embed="rId322"/>
                                    <a:stretch>
                                      <a:fillRect/>
                                    </a:stretch>
                                  </pic:blipFill>
                                  <pic:spPr bwMode="auto">
                                    <a:xfrm>
                                      <a:off x="0" y="0"/>
                                      <a:ext cx="266700" cy="200025"/>
                                    </a:xfrm>
                                    <a:prstGeom prst="rect">
                                      <a:avLst/>
                                    </a:prstGeom>
                                  </pic:spPr>
                                </pic:pic>
                              </a:graphicData>
                            </a:graphic>
                          </wp:inline>
                        </w:drawing>
                      </w:r>
                      <w:bookmarkStart w:id="321" w:name="i-256"/>
                      <w:bookmarkEnd w:id="321"/>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p>
      <w:pPr>
        <w:pStyle w:val="TextBody"/>
        <w:bidi w:val="0"/>
        <w:spacing w:lineRule="atLeast" w:line="240" w:before="0" w:after="180"/>
        <w:jc w:val="left"/>
        <w:rPr>
          <w:rFonts w:ascii="Roboto Light;sans-serif" w:hAnsi="Roboto Light;sans-serif"/>
          <w:b w:val="false"/>
          <w:color w:val="000000"/>
          <w:sz w:val="18"/>
        </w:rPr>
      </w:pPr>
      <w:r>
        <w:rPr>
          <w:rFonts w:ascii="Roboto Light;sans-serif" w:hAnsi="Roboto Light;sans-serif"/>
          <w:b w:val="false"/>
          <w:color w:val="000000"/>
          <w:sz w:val="18"/>
        </w:rPr>
        <w:t>If an officer has not met the required levels of ownership within a five-year prescribed timeframe, they will be required to retain 100% of the net shares acquired or held under any Company equity award until they meet their applicable required ownership guidelines. The following holdings are counted as eligible securities:</w:t>
      </w:r>
    </w:p>
    <w:p>
      <w:pPr>
        <w:pStyle w:val="TextBody"/>
        <w:bidi w:val="0"/>
        <w:spacing w:lineRule="auto" w:line="288" w:before="0" w:after="120"/>
        <w:ind w:left="0" w:right="0" w:hanging="288"/>
        <w:jc w:val="left"/>
        <w:rPr/>
      </w:pPr>
      <w:r>
        <w:rPr>
          <w:color w:val="000000"/>
        </w:rPr>
        <w:t>•</w:t>
      </w:r>
      <w:r>
        <w:rPr>
          <w:rFonts w:ascii="Roboto Light;sans-serif" w:hAnsi="Roboto Light;sans-serif"/>
          <w:b w:val="false"/>
          <w:color w:val="000000"/>
          <w:sz w:val="18"/>
        </w:rPr>
        <w:t xml:space="preserve">shares of common stock owned outright by the individual, or jointly with or separately by the individual’s spouse; </w:t>
      </w:r>
    </w:p>
    <w:p>
      <w:pPr>
        <w:pStyle w:val="TextBody"/>
        <w:bidi w:val="0"/>
        <w:spacing w:lineRule="auto" w:line="288" w:before="0" w:after="120"/>
        <w:ind w:left="0" w:right="0" w:hanging="288"/>
        <w:jc w:val="left"/>
        <w:rPr/>
      </w:pPr>
      <w:r>
        <w:rPr>
          <w:color w:val="000000"/>
        </w:rPr>
        <w:t>•</w:t>
      </w:r>
      <w:r>
        <w:rPr>
          <w:rFonts w:ascii="Roboto Light;sans-serif" w:hAnsi="Roboto Light;sans-serif"/>
          <w:b w:val="false"/>
          <w:color w:val="000000"/>
          <w:sz w:val="18"/>
        </w:rPr>
        <w:t>shares of common stock held in trust for the benefit of the individual;</w:t>
      </w:r>
    </w:p>
    <w:p>
      <w:pPr>
        <w:pStyle w:val="TextBody"/>
        <w:bidi w:val="0"/>
        <w:spacing w:lineRule="auto" w:line="288" w:before="0" w:after="120"/>
        <w:ind w:left="0" w:right="0" w:hanging="288"/>
        <w:jc w:val="left"/>
        <w:rPr/>
      </w:pPr>
      <w:r>
        <w:rPr>
          <w:color w:val="000000"/>
        </w:rPr>
        <w:t>•</w:t>
      </w:r>
      <w:r>
        <w:rPr>
          <w:rFonts w:ascii="Roboto Light;sans-serif" w:hAnsi="Roboto Light;sans-serif"/>
          <w:b w:val="false"/>
          <w:color w:val="000000"/>
          <w:sz w:val="18"/>
        </w:rPr>
        <w:t>shares of common stock held in the Company’s 401(k) Plan;</w:t>
      </w:r>
    </w:p>
    <w:p>
      <w:pPr>
        <w:pStyle w:val="TextBody"/>
        <w:bidi w:val="0"/>
        <w:spacing w:lineRule="auto" w:line="288" w:before="0" w:after="120"/>
        <w:ind w:left="0" w:right="0" w:hanging="288"/>
        <w:jc w:val="left"/>
        <w:rPr/>
      </w:pPr>
      <w:r>
        <w:rPr>
          <w:color w:val="000000"/>
        </w:rPr>
        <w:t>•</w:t>
      </w:r>
      <w:r>
        <w:rPr>
          <w:rFonts w:ascii="Roboto Light;sans-serif" w:hAnsi="Roboto Light;sans-serif"/>
          <w:b w:val="false"/>
          <w:color w:val="000000"/>
          <w:sz w:val="18"/>
        </w:rPr>
        <w:t>performance-based restricted stock and RSUs that have met the performance criteria but have not yet time-vested and/or settled; and</w:t>
      </w:r>
    </w:p>
    <w:p>
      <w:pPr>
        <w:pStyle w:val="TextBody"/>
        <w:bidi w:val="0"/>
        <w:spacing w:lineRule="auto" w:line="288" w:before="0" w:after="240"/>
        <w:ind w:left="0" w:right="0" w:hanging="288"/>
        <w:jc w:val="left"/>
        <w:rPr/>
      </w:pPr>
      <w:r>
        <w:rPr>
          <w:color w:val="000000"/>
        </w:rPr>
        <w:t>•</w:t>
      </w:r>
      <w:r>
        <w:rPr>
          <w:rFonts w:ascii="Roboto Light;sans-serif" w:hAnsi="Roboto Light;sans-serif"/>
          <w:b w:val="false"/>
          <w:color w:val="000000"/>
          <w:sz w:val="18"/>
        </w:rPr>
        <w:t>time-based restricted stock and RSUs.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Unearned performance-based restricted stock, unearned performance-based RSUs, and Options do not count as eligible securities under the guidelines. All of our NEOs are in compliance with these stock ownership guidelines or are within the five-year prescribed timeframe for complying with these stock ownership requirements. </w:t>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Clawback Policy</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We maintain clawback and forfeiture provisions that cover cash incentives and both time- and performance-based equity awards. The Company’s clawback policy provides for the recoupment of certain incentive compensation if the Committee determines that the incentive compensation of any executive officer was overpaid, in whole or in part, as a result of a financial restatement due to the Company’s material noncompliance with financial reporting requirements under the federal securities laws. In addition, our time-based RSUs and our performance-based RSUs awards contain clawback provisions which apply if an award recipient receives any amount in excess of what he or she should have received under the terms of the award for any reason (including without limitation by reason of a financial restatement, mistake in calculations or other administrative error), or in the event of certain detrimental conduct by the recipient, including a breach of restrictive covenants, fraud, gross negligence, conduct contributing to any financial restatements or irregularities, or any activity that would be grounds to terminate the executive for cause.</w:t>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Prohibition on Hedging and Pledging of Company Stock</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Our Insider Trading Policy requires directors, officers (including our executive officers), and certain team members to consult and be pre-cleared by our Legal Department prior to engaging in transactions involving the Company’s securities. Directors, officers, and team members are prohibited from hedging or monetization transactions including, but not limited to, variable forward contracts, equity swaps, collars and exchange funds, or from trading in options, warrants, puts and calls or similar instruments on the Company’s securities or establishing a short position in the Company’s securities. Our Insider Trading Policy also prohibits our directors, officers, and team members from purchasing the Company’s securities on margin, or borrowing against any account in which the Company’s securities are held, or pledging the Company’s securities as collateral for a loan.</w:t>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Equity Grant Practices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 Committee generally approves annual equity awards for the Company’s executive officers at its regularly scheduled meeting in the first quarter of each year and the Company typically approves annual awards to non-executive team members in the first quarter of the fiscal year. Such annual awards generally have a grant date effective on the third trading day following the filing of the Company's Annual Report on Form 10-K for the prior fiscal year. Awards to directors are typically made on the first date of the Company’s next open trading window following the date of each Annual Stockholders Meeting. Additionally, team members may enroll to purchase shares of the Company’s common stock under the terms of the Company’s 2020 Employee Stock Purchase Plan, with purchase dates generally in June and December of each year. In special circumstances, including the hiring or promotion of an individual or where otherwise determined to be in the best interest of the Company, the Committee or its authorized delegate may approve grants to be effective at other times. The Company may also change these equity grant practices in the future. The Company does not time the disclosure of material nonpublic information for the purpose of affecting the value of executive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263525"/>
                <wp:effectExtent l="0" t="0" r="0" b="0"/>
                <wp:wrapNone/>
                <wp:docPr id="391" name="Frame70"/>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392"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257" descr=""/>
                                          <pic:cNvPicPr>
                                            <a:picLocks noChangeAspect="1" noChangeArrowheads="1"/>
                                          </pic:cNvPicPr>
                                        </pic:nvPicPr>
                                        <pic:blipFill>
                                          <a:blip r:embed="rId323"/>
                                          <a:stretch>
                                            <a:fillRect/>
                                          </a:stretch>
                                        </pic:blipFill>
                                        <pic:spPr bwMode="auto">
                                          <a:xfrm>
                                            <a:off x="0" y="0"/>
                                            <a:ext cx="266700" cy="200025"/>
                                          </a:xfrm>
                                          <a:prstGeom prst="rect">
                                            <a:avLst/>
                                          </a:prstGeom>
                                        </pic:spPr>
                                      </pic:pic>
                                    </a:graphicData>
                                  </a:graphic>
                                </wp:inline>
                              </w:drawing>
                            </w:r>
                            <w:bookmarkStart w:id="322" w:name="i-257"/>
                            <w:bookmarkEnd w:id="32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393"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257" descr=""/>
                                    <pic:cNvPicPr>
                                      <a:picLocks noChangeAspect="1" noChangeArrowheads="1"/>
                                    </pic:cNvPicPr>
                                  </pic:nvPicPr>
                                  <pic:blipFill>
                                    <a:blip r:embed="rId324"/>
                                    <a:stretch>
                                      <a:fillRect/>
                                    </a:stretch>
                                  </pic:blipFill>
                                  <pic:spPr bwMode="auto">
                                    <a:xfrm>
                                      <a:off x="0" y="0"/>
                                      <a:ext cx="266700" cy="200025"/>
                                    </a:xfrm>
                                    <a:prstGeom prst="rect">
                                      <a:avLst/>
                                    </a:prstGeom>
                                  </pic:spPr>
                                </pic:pic>
                              </a:graphicData>
                            </a:graphic>
                          </wp:inline>
                        </w:drawing>
                      </w:r>
                      <w:bookmarkStart w:id="323" w:name="i-257"/>
                      <w:bookmarkEnd w:id="323"/>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65</w:t>
            </w:r>
          </w:p>
        </w:tc>
      </w:tr>
    </w:tbl>
    <w:p>
      <w:pPr>
        <w:pStyle w:val="TextBody"/>
        <w:bidi w:val="0"/>
        <w:spacing w:lineRule="auto" w:line="276" w:before="0" w:after="60"/>
        <w:jc w:val="left"/>
        <w:rPr>
          <w:rFonts w:ascii="Roboto;sans-serif" w:hAnsi="Roboto;sans-serif"/>
          <w:b/>
          <w:color w:val="01024A"/>
          <w:sz w:val="20"/>
        </w:rPr>
      </w:pPr>
      <w:r>
        <w:rPr>
          <w:rFonts w:ascii="Roboto;sans-serif" w:hAnsi="Roboto;sans-serif"/>
          <w:b/>
          <w:color w:val="01024A"/>
          <w:sz w:val="20"/>
        </w:rPr>
        <w:t xml:space="preserve">Compensation Risk Assessment </w:t>
      </w:r>
    </w:p>
    <w:p>
      <w:pPr>
        <w:pStyle w:val="TextBody"/>
        <w:bidi w:val="0"/>
        <w:spacing w:lineRule="atLeast" w:line="240" w:before="0" w:after="180"/>
        <w:jc w:val="left"/>
        <w:rPr>
          <w:rFonts w:ascii="Roboto Light;sans-serif" w:hAnsi="Roboto Light;sans-serif"/>
          <w:b w:val="false"/>
          <w:color w:val="000000"/>
          <w:sz w:val="18"/>
        </w:rPr>
      </w:pPr>
      <w:r>
        <w:rPr>
          <w:rFonts w:ascii="Roboto Light;sans-serif" w:hAnsi="Roboto Light;sans-serif"/>
          <w:b w:val="false"/>
          <w:color w:val="000000"/>
          <w:sz w:val="18"/>
        </w:rPr>
        <w:t>Annually, the Committee, together with management and the Committee’s compensation consultant, conducts an analysis to determine whether any risks arising from compensation policies and practices are reasonably likely to have a material adverse effect on the Company in light of our overall business, strategy, and objectives. Management, in concert with the Committee and the Committee’s compensation consultant, reviews and evaluates both cash and equity incentive plans across executive and non-executive team member populations, as well as other compensation-related policies to which our team members are subject. This assessment evaluates both:</w:t>
      </w:r>
    </w:p>
    <w:p>
      <w:pPr>
        <w:pStyle w:val="TextBody"/>
        <w:bidi w:val="0"/>
        <w:spacing w:lineRule="auto" w:line="288" w:before="0" w:after="120"/>
        <w:ind w:left="0" w:right="0" w:hanging="288"/>
        <w:jc w:val="left"/>
        <w:rPr/>
      </w:pPr>
      <w:r>
        <w:rPr>
          <w:color w:val="000000"/>
        </w:rPr>
        <w:t>•</w:t>
      </w:r>
      <w:r>
        <w:rPr>
          <w:rFonts w:ascii="Roboto Light;sans-serif" w:hAnsi="Roboto Light;sans-serif"/>
          <w:b w:val="false"/>
          <w:color w:val="000000"/>
          <w:sz w:val="18"/>
        </w:rPr>
        <w:t>material enterprise risks related to our business that may be exacerbated by compensation policies and practices, and</w:t>
      </w:r>
    </w:p>
    <w:p>
      <w:pPr>
        <w:pStyle w:val="TextBody"/>
        <w:bidi w:val="0"/>
        <w:spacing w:lineRule="auto" w:line="288" w:before="0" w:after="180"/>
        <w:ind w:left="0" w:right="0" w:hanging="288"/>
        <w:jc w:val="left"/>
        <w:rPr/>
      </w:pPr>
      <w:r>
        <w:rPr>
          <w:color w:val="000000"/>
        </w:rPr>
        <w:t>•</w:t>
      </w:r>
      <w:r>
        <w:rPr>
          <w:rFonts w:ascii="Roboto Light;sans-serif" w:hAnsi="Roboto Light;sans-serif"/>
          <w:b w:val="false"/>
          <w:color w:val="000000"/>
          <w:sz w:val="18"/>
        </w:rPr>
        <w:t xml:space="preserve">the potential risks arising from attributes in our compensation practices, performance criteria, pay mix, and verification of performance results.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Based on this assessment, the Committee has determined that the risks arising from the Company’s compensation plans and policies are not reasonably likely to have a material adverse effect on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263525"/>
                <wp:effectExtent l="0" t="0" r="0" b="0"/>
                <wp:wrapNone/>
                <wp:docPr id="394" name="Frame71"/>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395"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258" descr=""/>
                                          <pic:cNvPicPr>
                                            <a:picLocks noChangeAspect="1" noChangeArrowheads="1"/>
                                          </pic:cNvPicPr>
                                        </pic:nvPicPr>
                                        <pic:blipFill>
                                          <a:blip r:embed="rId325"/>
                                          <a:stretch>
                                            <a:fillRect/>
                                          </a:stretch>
                                        </pic:blipFill>
                                        <pic:spPr bwMode="auto">
                                          <a:xfrm>
                                            <a:off x="0" y="0"/>
                                            <a:ext cx="266700" cy="200025"/>
                                          </a:xfrm>
                                          <a:prstGeom prst="rect">
                                            <a:avLst/>
                                          </a:prstGeom>
                                        </pic:spPr>
                                      </pic:pic>
                                    </a:graphicData>
                                  </a:graphic>
                                </wp:inline>
                              </w:drawing>
                            </w:r>
                            <w:bookmarkStart w:id="324" w:name="i-258"/>
                            <w:bookmarkEnd w:id="32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396"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258" descr=""/>
                                    <pic:cNvPicPr>
                                      <a:picLocks noChangeAspect="1" noChangeArrowheads="1"/>
                                    </pic:cNvPicPr>
                                  </pic:nvPicPr>
                                  <pic:blipFill>
                                    <a:blip r:embed="rId326"/>
                                    <a:stretch>
                                      <a:fillRect/>
                                    </a:stretch>
                                  </pic:blipFill>
                                  <pic:spPr bwMode="auto">
                                    <a:xfrm>
                                      <a:off x="0" y="0"/>
                                      <a:ext cx="266700" cy="200025"/>
                                    </a:xfrm>
                                    <a:prstGeom prst="rect">
                                      <a:avLst/>
                                    </a:prstGeom>
                                  </pic:spPr>
                                </pic:pic>
                              </a:graphicData>
                            </a:graphic>
                          </wp:inline>
                        </w:drawing>
                      </w:r>
                      <w:bookmarkStart w:id="325" w:name="i-258"/>
                      <w:bookmarkEnd w:id="325"/>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p>
      <w:pPr>
        <w:pStyle w:val="TextBody"/>
        <w:bidi w:val="0"/>
        <w:spacing w:lineRule="auto" w:line="312" w:before="0" w:after="720"/>
        <w:jc w:val="left"/>
        <w:rPr>
          <w:rFonts w:ascii="Roboto;sans-serif" w:hAnsi="Roboto;sans-serif"/>
          <w:b/>
          <w:color w:val="1946C8"/>
          <w:sz w:val="54"/>
        </w:rPr>
      </w:pPr>
      <w:r>
        <w:rPr>
          <w:rFonts w:ascii="Roboto;sans-serif" w:hAnsi="Roboto;sans-serif"/>
          <w:b/>
          <w:color w:val="1946C8"/>
          <w:sz w:val="54"/>
        </w:rPr>
        <w:t>Compensation Committee Report</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 Compensation Committee has reviewed and discussed the preceding Compensation Discussion and Analysis with management. Based on its review and discussion with management, the Compensation Committee recommended to the Board that the Compensation Discussion and Analysis be included in this Proxy Statement and incorporated by reference in the Annual Report.</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Submitted by the Compensation Committee of the Company’s Board of Directors:</w:t>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Compensation Committee Members:</w:t>
      </w:r>
    </w:p>
    <w:p>
      <w:pPr>
        <w:pStyle w:val="TextBody"/>
        <w:bidi w:val="0"/>
        <w:spacing w:lineRule="auto" w:line="288" w:before="0" w:after="60"/>
        <w:ind w:left="0" w:right="0" w:hanging="288"/>
        <w:jc w:val="left"/>
        <w:rPr/>
      </w:pPr>
      <w:r>
        <w:rPr>
          <w:color w:val="000000"/>
        </w:rPr>
        <w:t>•</w:t>
      </w:r>
      <w:r>
        <w:rPr>
          <w:rFonts w:ascii="Roboto Light;sans-serif" w:hAnsi="Roboto Light;sans-serif"/>
          <w:b w:val="false"/>
          <w:color w:val="000000"/>
          <w:sz w:val="18"/>
        </w:rPr>
        <w:t>Beryl Raff, Chair</w:t>
      </w:r>
    </w:p>
    <w:p>
      <w:pPr>
        <w:pStyle w:val="TextBody"/>
        <w:bidi w:val="0"/>
        <w:spacing w:lineRule="auto" w:line="288" w:before="0" w:after="60"/>
        <w:ind w:left="0" w:right="0" w:hanging="288"/>
        <w:jc w:val="left"/>
        <w:rPr/>
      </w:pPr>
      <w:r>
        <w:rPr>
          <w:color w:val="000000"/>
        </w:rPr>
        <w:t>•</w:t>
      </w:r>
      <w:r>
        <w:rPr>
          <w:rFonts w:ascii="Roboto Light;sans-serif" w:hAnsi="Roboto Light;sans-serif"/>
          <w:b w:val="false"/>
          <w:color w:val="000000"/>
          <w:sz w:val="18"/>
        </w:rPr>
        <w:t>Tom Nealon</w:t>
      </w:r>
    </w:p>
    <w:p>
      <w:pPr>
        <w:pStyle w:val="TextBody"/>
        <w:bidi w:val="0"/>
        <w:spacing w:lineRule="auto" w:line="288" w:before="0" w:after="60"/>
        <w:ind w:left="0" w:right="0" w:hanging="288"/>
        <w:jc w:val="left"/>
        <w:rPr/>
      </w:pPr>
      <w:r>
        <w:rPr>
          <w:color w:val="000000"/>
        </w:rPr>
        <w:t>•</w:t>
      </w:r>
      <w:r>
        <w:rPr>
          <w:rFonts w:ascii="Roboto Light;sans-serif" w:hAnsi="Roboto Light;sans-serif"/>
          <w:b w:val="false"/>
          <w:color w:val="000000"/>
          <w:sz w:val="18"/>
        </w:rPr>
        <w:t>Jeff Tweedy</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60" w:after="6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263525"/>
                <wp:effectExtent l="0" t="0" r="0" b="0"/>
                <wp:wrapNone/>
                <wp:docPr id="397" name="Frame72"/>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398"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259" descr=""/>
                                          <pic:cNvPicPr>
                                            <a:picLocks noChangeAspect="1" noChangeArrowheads="1"/>
                                          </pic:cNvPicPr>
                                        </pic:nvPicPr>
                                        <pic:blipFill>
                                          <a:blip r:embed="rId327"/>
                                          <a:stretch>
                                            <a:fillRect/>
                                          </a:stretch>
                                        </pic:blipFill>
                                        <pic:spPr bwMode="auto">
                                          <a:xfrm>
                                            <a:off x="0" y="0"/>
                                            <a:ext cx="266700" cy="200025"/>
                                          </a:xfrm>
                                          <a:prstGeom prst="rect">
                                            <a:avLst/>
                                          </a:prstGeom>
                                        </pic:spPr>
                                      </pic:pic>
                                    </a:graphicData>
                                  </a:graphic>
                                </wp:inline>
                              </w:drawing>
                            </w:r>
                            <w:bookmarkStart w:id="326" w:name="i-259"/>
                            <w:bookmarkEnd w:id="32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399"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259" descr=""/>
                                    <pic:cNvPicPr>
                                      <a:picLocks noChangeAspect="1" noChangeArrowheads="1"/>
                                    </pic:cNvPicPr>
                                  </pic:nvPicPr>
                                  <pic:blipFill>
                                    <a:blip r:embed="rId328"/>
                                    <a:stretch>
                                      <a:fillRect/>
                                    </a:stretch>
                                  </pic:blipFill>
                                  <pic:spPr bwMode="auto">
                                    <a:xfrm>
                                      <a:off x="0" y="0"/>
                                      <a:ext cx="266700" cy="200025"/>
                                    </a:xfrm>
                                    <a:prstGeom prst="rect">
                                      <a:avLst/>
                                    </a:prstGeom>
                                  </pic:spPr>
                                </pic:pic>
                              </a:graphicData>
                            </a:graphic>
                          </wp:inline>
                        </w:drawing>
                      </w:r>
                      <w:bookmarkStart w:id="327" w:name="i-259"/>
                      <w:bookmarkEnd w:id="327"/>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67</w:t>
            </w:r>
          </w:p>
        </w:tc>
      </w:tr>
    </w:tbl>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Summary Compensation Table</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The following table summarizes the compensation of our NEOs for 2025, 2024, and 2023. </w:t>
      </w:r>
    </w:p>
    <w:tbl>
      <w:tblPr>
        <w:tblW w:w="10205" w:type="dxa"/>
        <w:jc w:val="left"/>
        <w:tblInd w:w="0" w:type="dxa"/>
        <w:tblLayout w:type="fixed"/>
        <w:tblCellMar>
          <w:top w:w="28" w:type="dxa"/>
          <w:left w:w="28" w:type="dxa"/>
          <w:bottom w:w="28" w:type="dxa"/>
          <w:right w:w="28" w:type="dxa"/>
        </w:tblCellMar>
      </w:tblPr>
      <w:tblGrid>
        <w:gridCol w:w="463"/>
        <w:gridCol w:w="407"/>
        <w:gridCol w:w="408"/>
        <w:gridCol w:w="174"/>
        <w:gridCol w:w="174"/>
        <w:gridCol w:w="178"/>
        <w:gridCol w:w="309"/>
        <w:gridCol w:w="309"/>
        <w:gridCol w:w="313"/>
        <w:gridCol w:w="419"/>
        <w:gridCol w:w="328"/>
        <w:gridCol w:w="329"/>
        <w:gridCol w:w="430"/>
        <w:gridCol w:w="339"/>
        <w:gridCol w:w="341"/>
        <w:gridCol w:w="748"/>
        <w:gridCol w:w="748"/>
        <w:gridCol w:w="750"/>
        <w:gridCol w:w="575"/>
        <w:gridCol w:w="575"/>
        <w:gridCol w:w="577"/>
        <w:gridCol w:w="309"/>
        <w:gridCol w:w="309"/>
        <w:gridCol w:w="313"/>
        <w:gridCol w:w="109"/>
        <w:gridCol w:w="109"/>
        <w:gridCol w:w="162"/>
      </w:tblGrid>
      <w:tr>
        <w:trPr/>
        <w:tc>
          <w:tcPr>
            <w:tcW w:w="46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FFFFFF"/>
                <w:sz w:val="16"/>
              </w:rPr>
            </w:pPr>
            <w:r>
              <w:rPr>
                <w:rFonts w:ascii="Roboto;sans-serif" w:hAnsi="Roboto;sans-serif"/>
                <w:b/>
                <w:color w:val="FFFFFF"/>
                <w:sz w:val="16"/>
              </w:rPr>
              <w:t xml:space="preserve">Name and </w:t>
            </w:r>
          </w:p>
          <w:p>
            <w:pPr>
              <w:pStyle w:val="TableContents"/>
              <w:bidi w:val="0"/>
              <w:spacing w:lineRule="auto" w:line="312" w:before="0" w:after="0"/>
              <w:jc w:val="left"/>
              <w:rPr>
                <w:rFonts w:ascii="Roboto;sans-serif" w:hAnsi="Roboto;sans-serif"/>
                <w:b/>
                <w:color w:val="FFFFFF"/>
                <w:sz w:val="16"/>
              </w:rPr>
            </w:pPr>
            <w:r>
              <w:rPr>
                <w:rFonts w:ascii="Roboto;sans-serif" w:hAnsi="Roboto;sans-serif"/>
                <w:b/>
                <w:color w:val="FFFFFF"/>
                <w:sz w:val="16"/>
              </w:rPr>
              <w:t>Principal Position</w:t>
            </w:r>
          </w:p>
        </w:tc>
        <w:tc>
          <w:tcPr>
            <w:tcW w:w="526"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FFFFFF"/>
                <w:sz w:val="16"/>
              </w:rPr>
            </w:pPr>
            <w:r>
              <w:rPr>
                <w:rFonts w:ascii="Roboto;sans-serif" w:hAnsi="Roboto;sans-serif"/>
                <w:b/>
                <w:color w:val="FFFFFF"/>
                <w:sz w:val="16"/>
              </w:rPr>
              <w:t>Year</w:t>
            </w:r>
          </w:p>
        </w:tc>
        <w:tc>
          <w:tcPr>
            <w:tcW w:w="931"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Salary</w:t>
            </w:r>
          </w:p>
          <w:p>
            <w:pPr>
              <w:pStyle w:val="TableContents"/>
              <w:bidi w:val="0"/>
              <w:spacing w:lineRule="auto" w:line="312" w:before="0" w:after="0"/>
              <w:jc w:val="right"/>
              <w:rPr/>
            </w:pPr>
            <w:r>
              <w:rPr>
                <w:rFonts w:ascii="Roboto;sans-serif" w:hAnsi="Roboto;sans-serif"/>
                <w:b/>
                <w:color w:val="FFFFFF"/>
                <w:sz w:val="16"/>
              </w:rPr>
              <w:t>($)</w:t>
            </w:r>
            <w:r>
              <w:rPr>
                <w:rFonts w:ascii="Roboto;sans-serif" w:hAnsi="Roboto;sans-serif"/>
                <w:b/>
                <w:color w:val="FFFFFF"/>
                <w:sz w:val="10"/>
              </w:rPr>
              <w:t>(1)</w:t>
            </w:r>
          </w:p>
        </w:tc>
        <w:tc>
          <w:tcPr>
            <w:tcW w:w="1076"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Stock Awards</w:t>
            </w:r>
          </w:p>
          <w:p>
            <w:pPr>
              <w:pStyle w:val="TableContents"/>
              <w:bidi w:val="0"/>
              <w:spacing w:lineRule="auto" w:line="312" w:before="0" w:after="0"/>
              <w:jc w:val="right"/>
              <w:rPr/>
            </w:pPr>
            <w:r>
              <w:rPr>
                <w:rFonts w:ascii="Roboto;sans-serif" w:hAnsi="Roboto;sans-serif"/>
                <w:b/>
                <w:color w:val="FFFFFF"/>
                <w:sz w:val="16"/>
              </w:rPr>
              <w:t>($)</w:t>
            </w:r>
            <w:r>
              <w:rPr>
                <w:rFonts w:ascii="Roboto;sans-serif" w:hAnsi="Roboto;sans-serif"/>
                <w:b/>
                <w:color w:val="FFFFFF"/>
                <w:sz w:val="10"/>
              </w:rPr>
              <w:t>(2)</w:t>
            </w:r>
          </w:p>
        </w:tc>
        <w:tc>
          <w:tcPr>
            <w:tcW w:w="1110"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Option Awards</w:t>
            </w:r>
          </w:p>
          <w:p>
            <w:pPr>
              <w:pStyle w:val="TableContents"/>
              <w:bidi w:val="0"/>
              <w:spacing w:lineRule="auto" w:line="312" w:before="0" w:after="0"/>
              <w:jc w:val="right"/>
              <w:rPr/>
            </w:pPr>
            <w:r>
              <w:rPr>
                <w:rFonts w:ascii="Roboto;sans-serif" w:hAnsi="Roboto;sans-serif"/>
                <w:b/>
                <w:color w:val="FFFFFF"/>
                <w:sz w:val="16"/>
              </w:rPr>
              <w:t>($)</w:t>
            </w:r>
            <w:r>
              <w:rPr>
                <w:rFonts w:ascii="Roboto;sans-serif" w:hAnsi="Roboto;sans-serif"/>
                <w:b/>
                <w:color w:val="FFFFFF"/>
                <w:sz w:val="10"/>
              </w:rPr>
              <w:t>(3)</w:t>
            </w:r>
          </w:p>
        </w:tc>
        <w:tc>
          <w:tcPr>
            <w:tcW w:w="2246"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Non Equity Incentive Plan Compensation</w:t>
            </w:r>
          </w:p>
          <w:p>
            <w:pPr>
              <w:pStyle w:val="TableContents"/>
              <w:bidi w:val="0"/>
              <w:spacing w:lineRule="auto" w:line="312" w:before="0" w:after="0"/>
              <w:jc w:val="right"/>
              <w:rPr/>
            </w:pPr>
            <w:r>
              <w:rPr>
                <w:rFonts w:ascii="Roboto;sans-serif" w:hAnsi="Roboto;sans-serif"/>
                <w:b/>
                <w:color w:val="FFFFFF"/>
                <w:sz w:val="16"/>
              </w:rPr>
              <w:t>($)</w:t>
            </w:r>
            <w:r>
              <w:rPr>
                <w:rFonts w:ascii="Roboto;sans-serif" w:hAnsi="Roboto;sans-serif"/>
                <w:b/>
                <w:color w:val="FFFFFF"/>
                <w:sz w:val="10"/>
              </w:rPr>
              <w:t>(4)</w:t>
            </w:r>
          </w:p>
        </w:tc>
        <w:tc>
          <w:tcPr>
            <w:tcW w:w="1727"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All Other Compensation</w:t>
            </w:r>
          </w:p>
          <w:p>
            <w:pPr>
              <w:pStyle w:val="TableContents"/>
              <w:bidi w:val="0"/>
              <w:spacing w:lineRule="auto" w:line="312" w:before="0" w:after="0"/>
              <w:jc w:val="right"/>
              <w:rPr/>
            </w:pPr>
            <w:r>
              <w:rPr>
                <w:rFonts w:ascii="Roboto;sans-serif" w:hAnsi="Roboto;sans-serif"/>
                <w:b/>
                <w:color w:val="FFFFFF"/>
                <w:sz w:val="16"/>
              </w:rPr>
              <w:t>($)</w:t>
            </w:r>
            <w:r>
              <w:rPr>
                <w:rFonts w:ascii="Roboto;sans-serif" w:hAnsi="Roboto;sans-serif"/>
                <w:b/>
                <w:color w:val="FFFFFF"/>
                <w:sz w:val="10"/>
              </w:rPr>
              <w:t>(5)</w:t>
            </w:r>
          </w:p>
        </w:tc>
        <w:tc>
          <w:tcPr>
            <w:tcW w:w="931" w:type="dxa"/>
            <w:gridSpan w:val="3"/>
            <w:tcBorders/>
            <w:shd w:fill="1946C8" w:val="clear"/>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Total</w:t>
            </w:r>
          </w:p>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w:t>
            </w:r>
          </w:p>
        </w:tc>
        <w:tc>
          <w:tcPr>
            <w:tcW w:w="38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vMerge w:val="restart"/>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1946C8"/>
                <w:sz w:val="16"/>
              </w:rPr>
            </w:pPr>
            <w:r>
              <w:rPr>
                <w:rFonts w:ascii="Roboto;sans-serif" w:hAnsi="Roboto;sans-serif"/>
                <w:b/>
                <w:color w:val="1946C8"/>
                <w:sz w:val="16"/>
              </w:rPr>
              <w:t>Steve Lawrence</w:t>
            </w:r>
          </w:p>
          <w:p>
            <w:pPr>
              <w:pStyle w:val="TableContents"/>
              <w:bidi w:val="0"/>
              <w:spacing w:lineRule="auto" w:line="312" w:before="0" w:after="0"/>
              <w:jc w:val="left"/>
              <w:rPr>
                <w:rFonts w:ascii="Roboto;sans-serif" w:hAnsi="Roboto;sans-serif"/>
                <w:b w:val="false"/>
                <w:color w:val="01024A"/>
                <w:sz w:val="16"/>
              </w:rPr>
            </w:pPr>
            <w:r>
              <w:rPr>
                <w:rFonts w:ascii="Roboto;sans-serif" w:hAnsi="Roboto;sans-serif"/>
                <w:b w:val="false"/>
                <w:color w:val="01024A"/>
                <w:sz w:val="16"/>
              </w:rPr>
              <w:t>CEO</w:t>
            </w:r>
          </w:p>
        </w:tc>
        <w:tc>
          <w:tcPr>
            <w:tcW w:w="52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1024A"/>
                <w:sz w:val="16"/>
              </w:rPr>
            </w:pPr>
            <w:r>
              <w:rPr>
                <w:rFonts w:ascii="Roboto;sans-serif" w:hAnsi="Roboto;sans-serif"/>
                <w:b w:val="false"/>
                <w:color w:val="01024A"/>
                <w:sz w:val="16"/>
              </w:rPr>
              <w:t>2025</w:t>
            </w:r>
          </w:p>
        </w:tc>
        <w:tc>
          <w:tcPr>
            <w:tcW w:w="93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1,080,288</w:t>
            </w:r>
          </w:p>
        </w:tc>
        <w:tc>
          <w:tcPr>
            <w:tcW w:w="107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6,999,998</w:t>
            </w:r>
          </w:p>
        </w:tc>
        <w:tc>
          <w:tcPr>
            <w:tcW w:w="1110"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1024A"/>
              </w:rPr>
            </w:pPr>
            <w:r>
              <w:rPr>
                <w:color w:val="01024A"/>
              </w:rPr>
              <w:t>—</w:t>
            </w:r>
          </w:p>
        </w:tc>
        <w:tc>
          <w:tcPr>
            <w:tcW w:w="224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1,438,155</w:t>
            </w:r>
          </w:p>
        </w:tc>
        <w:tc>
          <w:tcPr>
            <w:tcW w:w="1727"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41,688</w:t>
            </w:r>
          </w:p>
        </w:tc>
        <w:tc>
          <w:tcPr>
            <w:tcW w:w="93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9,560,129</w:t>
            </w:r>
          </w:p>
        </w:tc>
        <w:tc>
          <w:tcPr>
            <w:tcW w:w="380"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5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1024A"/>
                <w:sz w:val="16"/>
              </w:rPr>
            </w:pPr>
            <w:r>
              <w:rPr>
                <w:rFonts w:ascii="Roboto;sans-serif" w:hAnsi="Roboto;sans-serif"/>
                <w:b w:val="false"/>
                <w:color w:val="01024A"/>
                <w:sz w:val="16"/>
              </w:rPr>
              <w:t>2024</w:t>
            </w:r>
          </w:p>
        </w:tc>
        <w:tc>
          <w:tcPr>
            <w:tcW w:w="93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1,043,269</w:t>
            </w:r>
          </w:p>
        </w:tc>
        <w:tc>
          <w:tcPr>
            <w:tcW w:w="107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6,499,938</w:t>
            </w:r>
          </w:p>
        </w:tc>
        <w:tc>
          <w:tcPr>
            <w:tcW w:w="1110"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1024A"/>
              </w:rPr>
            </w:pPr>
            <w:r>
              <w:rPr>
                <w:color w:val="01024A"/>
              </w:rPr>
              <w:t>—</w:t>
            </w:r>
          </w:p>
        </w:tc>
        <w:tc>
          <w:tcPr>
            <w:tcW w:w="224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1,082,612</w:t>
            </w:r>
          </w:p>
        </w:tc>
        <w:tc>
          <w:tcPr>
            <w:tcW w:w="1727"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35,254</w:t>
            </w:r>
          </w:p>
        </w:tc>
        <w:tc>
          <w:tcPr>
            <w:tcW w:w="93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8,661,073</w:t>
            </w:r>
          </w:p>
        </w:tc>
        <w:tc>
          <w:tcPr>
            <w:tcW w:w="380"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5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1024A"/>
                <w:sz w:val="16"/>
              </w:rPr>
            </w:pPr>
            <w:r>
              <w:rPr>
                <w:rFonts w:ascii="Roboto;sans-serif" w:hAnsi="Roboto;sans-serif"/>
                <w:b w:val="false"/>
                <w:color w:val="01024A"/>
                <w:sz w:val="16"/>
              </w:rPr>
              <w:t>2023</w:t>
            </w:r>
          </w:p>
        </w:tc>
        <w:tc>
          <w:tcPr>
            <w:tcW w:w="93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949,100</w:t>
            </w:r>
          </w:p>
        </w:tc>
        <w:tc>
          <w:tcPr>
            <w:tcW w:w="107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5,624,921</w:t>
            </w:r>
          </w:p>
        </w:tc>
        <w:tc>
          <w:tcPr>
            <w:tcW w:w="1110"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1,874,978</w:t>
            </w:r>
          </w:p>
        </w:tc>
        <w:tc>
          <w:tcPr>
            <w:tcW w:w="224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148,888</w:t>
            </w:r>
          </w:p>
        </w:tc>
        <w:tc>
          <w:tcPr>
            <w:tcW w:w="1727"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29,513</w:t>
            </w:r>
          </w:p>
        </w:tc>
        <w:tc>
          <w:tcPr>
            <w:tcW w:w="93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8,627,400</w:t>
            </w:r>
          </w:p>
        </w:tc>
        <w:tc>
          <w:tcPr>
            <w:tcW w:w="380"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vMerge w:val="restart"/>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1946C8"/>
                <w:sz w:val="16"/>
              </w:rPr>
            </w:pPr>
            <w:r>
              <w:rPr>
                <w:rFonts w:ascii="Roboto;sans-serif" w:hAnsi="Roboto;sans-serif"/>
                <w:b/>
                <w:color w:val="1946C8"/>
                <w:sz w:val="16"/>
              </w:rPr>
              <w:t>Sam Johnson</w:t>
            </w:r>
          </w:p>
          <w:p>
            <w:pPr>
              <w:pStyle w:val="TableContents"/>
              <w:bidi w:val="0"/>
              <w:spacing w:lineRule="auto" w:line="312" w:before="0" w:after="0"/>
              <w:jc w:val="left"/>
              <w:rPr>
                <w:rFonts w:ascii="Roboto;sans-serif" w:hAnsi="Roboto;sans-serif"/>
                <w:b w:val="false"/>
                <w:color w:val="01024A"/>
                <w:sz w:val="16"/>
              </w:rPr>
            </w:pPr>
            <w:r>
              <w:rPr>
                <w:rFonts w:ascii="Roboto;sans-serif" w:hAnsi="Roboto;sans-serif"/>
                <w:b w:val="false"/>
                <w:color w:val="01024A"/>
                <w:sz w:val="16"/>
              </w:rPr>
              <w:t>President</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1024A"/>
                <w:sz w:val="16"/>
              </w:rPr>
            </w:pPr>
            <w:r>
              <w:rPr>
                <w:rFonts w:ascii="Roboto;sans-serif" w:hAnsi="Roboto;sans-serif"/>
                <w:b w:val="false"/>
                <w:color w:val="01024A"/>
                <w:sz w:val="16"/>
              </w:rPr>
              <w:t>2025</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861,635</w:t>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2,999,998</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1024A"/>
              </w:rPr>
            </w:pPr>
            <w:r>
              <w:rPr>
                <w:color w:val="01024A"/>
              </w:rPr>
              <w:t>—</w:t>
            </w:r>
          </w:p>
        </w:tc>
        <w:tc>
          <w:tcPr>
            <w:tcW w:w="224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917,238</w:t>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35,347</w:t>
            </w:r>
          </w:p>
        </w:tc>
        <w:tc>
          <w:tcPr>
            <w:tcW w:w="93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4,814,218</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2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1024A"/>
                <w:sz w:val="16"/>
              </w:rPr>
            </w:pPr>
            <w:r>
              <w:rPr>
                <w:rFonts w:ascii="Roboto;sans-serif" w:hAnsi="Roboto;sans-serif"/>
                <w:b w:val="false"/>
                <w:color w:val="01024A"/>
                <w:sz w:val="16"/>
              </w:rPr>
              <w:t>2024</w:t>
            </w:r>
          </w:p>
        </w:tc>
        <w:tc>
          <w:tcPr>
            <w:tcW w:w="93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837,981</w:t>
            </w:r>
          </w:p>
        </w:tc>
        <w:tc>
          <w:tcPr>
            <w:tcW w:w="107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2,999,900</w:t>
            </w:r>
          </w:p>
        </w:tc>
        <w:tc>
          <w:tcPr>
            <w:tcW w:w="1110"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1024A"/>
              </w:rPr>
            </w:pPr>
            <w:r>
              <w:rPr>
                <w:color w:val="01024A"/>
              </w:rPr>
              <w:t>—</w:t>
            </w:r>
          </w:p>
        </w:tc>
        <w:tc>
          <w:tcPr>
            <w:tcW w:w="224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751,672</w:t>
            </w:r>
          </w:p>
        </w:tc>
        <w:tc>
          <w:tcPr>
            <w:tcW w:w="1727"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34,911</w:t>
            </w:r>
          </w:p>
        </w:tc>
        <w:tc>
          <w:tcPr>
            <w:tcW w:w="93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4,624,464</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2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1024A"/>
                <w:sz w:val="16"/>
              </w:rPr>
            </w:pPr>
            <w:r>
              <w:rPr>
                <w:rFonts w:ascii="Roboto;sans-serif" w:hAnsi="Roboto;sans-serif"/>
                <w:b w:val="false"/>
                <w:color w:val="01024A"/>
                <w:sz w:val="16"/>
              </w:rPr>
              <w:t>2023</w:t>
            </w:r>
          </w:p>
        </w:tc>
        <w:tc>
          <w:tcPr>
            <w:tcW w:w="93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728,473</w:t>
            </w:r>
          </w:p>
        </w:tc>
        <w:tc>
          <w:tcPr>
            <w:tcW w:w="107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2,249,813</w:t>
            </w:r>
          </w:p>
        </w:tc>
        <w:tc>
          <w:tcPr>
            <w:tcW w:w="1110"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749,979</w:t>
            </w:r>
          </w:p>
        </w:tc>
        <w:tc>
          <w:tcPr>
            <w:tcW w:w="224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103,125</w:t>
            </w:r>
          </w:p>
        </w:tc>
        <w:tc>
          <w:tcPr>
            <w:tcW w:w="1727"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29,345</w:t>
            </w:r>
          </w:p>
        </w:tc>
        <w:tc>
          <w:tcPr>
            <w:tcW w:w="93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3,860,735</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vMerge w:val="restart"/>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1946C8"/>
                <w:sz w:val="16"/>
              </w:rPr>
            </w:pPr>
            <w:r>
              <w:rPr>
                <w:rFonts w:ascii="Roboto;sans-serif" w:hAnsi="Roboto;sans-serif"/>
                <w:b/>
                <w:color w:val="1946C8"/>
                <w:sz w:val="16"/>
              </w:rPr>
              <w:t>Carl Ford</w:t>
            </w:r>
          </w:p>
          <w:p>
            <w:pPr>
              <w:pStyle w:val="TableContents"/>
              <w:bidi w:val="0"/>
              <w:spacing w:lineRule="auto" w:line="312" w:before="0" w:after="0"/>
              <w:jc w:val="left"/>
              <w:rPr>
                <w:rFonts w:ascii="Roboto;sans-serif" w:hAnsi="Roboto;sans-serif"/>
                <w:b w:val="false"/>
                <w:color w:val="01024A"/>
                <w:sz w:val="16"/>
              </w:rPr>
            </w:pPr>
            <w:r>
              <w:rPr>
                <w:rFonts w:ascii="Roboto;sans-serif" w:hAnsi="Roboto;sans-serif"/>
                <w:b w:val="false"/>
                <w:color w:val="01024A"/>
                <w:sz w:val="16"/>
              </w:rPr>
              <w:t>EVP, CFO</w:t>
            </w:r>
          </w:p>
        </w:tc>
        <w:tc>
          <w:tcPr>
            <w:tcW w:w="52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1024A"/>
                <w:sz w:val="16"/>
              </w:rPr>
            </w:pPr>
            <w:r>
              <w:rPr>
                <w:rFonts w:ascii="Roboto;sans-serif" w:hAnsi="Roboto;sans-serif"/>
                <w:b w:val="false"/>
                <w:color w:val="01024A"/>
                <w:sz w:val="16"/>
              </w:rPr>
              <w:t>2025</w:t>
            </w:r>
          </w:p>
        </w:tc>
        <w:tc>
          <w:tcPr>
            <w:tcW w:w="93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546,635</w:t>
            </w:r>
          </w:p>
        </w:tc>
        <w:tc>
          <w:tcPr>
            <w:tcW w:w="107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1,000,000</w:t>
            </w:r>
          </w:p>
        </w:tc>
        <w:tc>
          <w:tcPr>
            <w:tcW w:w="1110"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1024A"/>
              </w:rPr>
            </w:pPr>
            <w:r>
              <w:rPr>
                <w:color w:val="01024A"/>
              </w:rPr>
              <w:t>—</w:t>
            </w:r>
          </w:p>
        </w:tc>
        <w:tc>
          <w:tcPr>
            <w:tcW w:w="224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499,899</w:t>
            </w:r>
          </w:p>
        </w:tc>
        <w:tc>
          <w:tcPr>
            <w:tcW w:w="1727"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21,200</w:t>
            </w:r>
          </w:p>
        </w:tc>
        <w:tc>
          <w:tcPr>
            <w:tcW w:w="93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2,067,734</w:t>
            </w:r>
          </w:p>
        </w:tc>
        <w:tc>
          <w:tcPr>
            <w:tcW w:w="380"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5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1024A"/>
                <w:sz w:val="16"/>
              </w:rPr>
            </w:pPr>
            <w:r>
              <w:rPr>
                <w:rFonts w:ascii="Roboto;sans-serif" w:hAnsi="Roboto;sans-serif"/>
                <w:b w:val="false"/>
                <w:color w:val="01024A"/>
                <w:sz w:val="16"/>
              </w:rPr>
              <w:t>2024</w:t>
            </w:r>
          </w:p>
        </w:tc>
        <w:tc>
          <w:tcPr>
            <w:tcW w:w="93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521,635</w:t>
            </w:r>
          </w:p>
        </w:tc>
        <w:tc>
          <w:tcPr>
            <w:tcW w:w="107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1,249,882</w:t>
            </w:r>
          </w:p>
        </w:tc>
        <w:tc>
          <w:tcPr>
            <w:tcW w:w="1110"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1024A"/>
              </w:rPr>
            </w:pPr>
            <w:r>
              <w:rPr>
                <w:color w:val="01024A"/>
              </w:rPr>
              <w:t>—</w:t>
            </w:r>
          </w:p>
        </w:tc>
        <w:tc>
          <w:tcPr>
            <w:tcW w:w="224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402,681</w:t>
            </w:r>
          </w:p>
        </w:tc>
        <w:tc>
          <w:tcPr>
            <w:tcW w:w="1727"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20,902</w:t>
            </w:r>
          </w:p>
        </w:tc>
        <w:tc>
          <w:tcPr>
            <w:tcW w:w="93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2,195,100</w:t>
            </w:r>
          </w:p>
        </w:tc>
        <w:tc>
          <w:tcPr>
            <w:tcW w:w="380"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5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1024A"/>
                <w:sz w:val="16"/>
              </w:rPr>
            </w:pPr>
            <w:r>
              <w:rPr>
                <w:rFonts w:ascii="Roboto;sans-serif" w:hAnsi="Roboto;sans-serif"/>
                <w:b w:val="false"/>
                <w:color w:val="01024A"/>
                <w:sz w:val="16"/>
              </w:rPr>
              <w:t>2023</w:t>
            </w:r>
          </w:p>
        </w:tc>
        <w:tc>
          <w:tcPr>
            <w:tcW w:w="93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447,014</w:t>
            </w:r>
          </w:p>
        </w:tc>
        <w:tc>
          <w:tcPr>
            <w:tcW w:w="107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999,875</w:t>
            </w:r>
          </w:p>
        </w:tc>
        <w:tc>
          <w:tcPr>
            <w:tcW w:w="1110"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249,984</w:t>
            </w:r>
          </w:p>
        </w:tc>
        <w:tc>
          <w:tcPr>
            <w:tcW w:w="224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45,417</w:t>
            </w:r>
          </w:p>
        </w:tc>
        <w:tc>
          <w:tcPr>
            <w:tcW w:w="1727"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21,413</w:t>
            </w:r>
          </w:p>
        </w:tc>
        <w:tc>
          <w:tcPr>
            <w:tcW w:w="93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1,763,703</w:t>
            </w:r>
          </w:p>
        </w:tc>
        <w:tc>
          <w:tcPr>
            <w:tcW w:w="380"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vMerge w:val="restart"/>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0"/>
              <w:jc w:val="left"/>
              <w:rPr>
                <w:rFonts w:ascii="Roboto;sans-serif" w:hAnsi="Roboto;sans-serif"/>
                <w:b/>
                <w:color w:val="1946C8"/>
                <w:sz w:val="16"/>
              </w:rPr>
            </w:pPr>
            <w:r>
              <w:rPr>
                <w:rFonts w:ascii="Roboto;sans-serif" w:hAnsi="Roboto;sans-serif"/>
                <w:b/>
                <w:color w:val="1946C8"/>
                <w:sz w:val="16"/>
              </w:rPr>
              <w:t>Matt McCabe</w:t>
            </w:r>
          </w:p>
          <w:p>
            <w:pPr>
              <w:pStyle w:val="TableContents"/>
              <w:bidi w:val="0"/>
              <w:spacing w:lineRule="auto" w:line="312" w:before="0" w:after="0"/>
              <w:jc w:val="left"/>
              <w:rPr>
                <w:rFonts w:ascii="Roboto;sans-serif" w:hAnsi="Roboto;sans-serif"/>
                <w:b w:val="false"/>
                <w:color w:val="01024A"/>
                <w:sz w:val="16"/>
              </w:rPr>
            </w:pPr>
            <w:r>
              <w:rPr>
                <w:rFonts w:ascii="Roboto;sans-serif" w:hAnsi="Roboto;sans-serif"/>
                <w:b w:val="false"/>
                <w:color w:val="01024A"/>
                <w:sz w:val="16"/>
              </w:rPr>
              <w:t>EVP, CMO</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1024A"/>
                <w:sz w:val="16"/>
              </w:rPr>
            </w:pPr>
            <w:r>
              <w:rPr>
                <w:rFonts w:ascii="Roboto;sans-serif" w:hAnsi="Roboto;sans-serif"/>
                <w:b w:val="false"/>
                <w:color w:val="01024A"/>
                <w:sz w:val="16"/>
              </w:rPr>
              <w:t>2025</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546,635</w:t>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1,000,000</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1024A"/>
              </w:rPr>
            </w:pPr>
            <w:r>
              <w:rPr>
                <w:color w:val="01024A"/>
              </w:rPr>
              <w:t>—</w:t>
            </w:r>
          </w:p>
        </w:tc>
        <w:tc>
          <w:tcPr>
            <w:tcW w:w="224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499,899</w:t>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21,196</w:t>
            </w:r>
          </w:p>
        </w:tc>
        <w:tc>
          <w:tcPr>
            <w:tcW w:w="93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2,067,730</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vMerge w:val="continue"/>
            <w:tcBorders>
              <w:bottom w:val="single" w:sz="12" w:space="0" w:color="E81111"/>
            </w:tcBorders>
            <w:shd w:fill="FFFFFF" w:val="clear"/>
            <w:tcMar>
              <w:top w:w="0" w:type="dxa"/>
              <w:left w:w="0" w:type="dxa"/>
              <w:bottom w:w="30" w:type="dxa"/>
              <w:right w:w="0" w:type="dxa"/>
            </w:tcMar>
            <w:vAlign w:val="center"/>
          </w:tcPr>
          <w:p>
            <w:pPr>
              <w:pStyle w:val="Normal"/>
              <w:bidi w:val="0"/>
              <w:jc w:val="left"/>
              <w:rPr/>
            </w:pPr>
            <w:r>
              <w:rPr/>
            </w:r>
          </w:p>
        </w:tc>
        <w:tc>
          <w:tcPr>
            <w:tcW w:w="52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1024A"/>
                <w:sz w:val="16"/>
              </w:rPr>
            </w:pPr>
            <w:r>
              <w:rPr>
                <w:rFonts w:ascii="Roboto;sans-serif" w:hAnsi="Roboto;sans-serif"/>
                <w:b w:val="false"/>
                <w:color w:val="01024A"/>
                <w:sz w:val="16"/>
              </w:rPr>
              <w:t>2024</w:t>
            </w:r>
          </w:p>
        </w:tc>
        <w:tc>
          <w:tcPr>
            <w:tcW w:w="93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521,635</w:t>
            </w:r>
          </w:p>
        </w:tc>
        <w:tc>
          <w:tcPr>
            <w:tcW w:w="107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1,249,882</w:t>
            </w:r>
          </w:p>
        </w:tc>
        <w:tc>
          <w:tcPr>
            <w:tcW w:w="1110"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1024A"/>
              </w:rPr>
            </w:pPr>
            <w:r>
              <w:rPr>
                <w:color w:val="01024A"/>
              </w:rPr>
              <w:t>—</w:t>
            </w:r>
          </w:p>
        </w:tc>
        <w:tc>
          <w:tcPr>
            <w:tcW w:w="224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402,681</w:t>
            </w:r>
          </w:p>
        </w:tc>
        <w:tc>
          <w:tcPr>
            <w:tcW w:w="1727"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15,330</w:t>
            </w:r>
          </w:p>
        </w:tc>
        <w:tc>
          <w:tcPr>
            <w:tcW w:w="93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2,189,528</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vMerge w:val="continue"/>
            <w:tcBorders>
              <w:bottom w:val="single" w:sz="12" w:space="0" w:color="E81111"/>
            </w:tcBorders>
            <w:shd w:fill="FFFFFF" w:val="clear"/>
            <w:tcMar>
              <w:top w:w="0" w:type="dxa"/>
              <w:left w:w="0" w:type="dxa"/>
              <w:bottom w:w="30" w:type="dxa"/>
              <w:right w:w="0" w:type="dxa"/>
            </w:tcMar>
            <w:vAlign w:val="center"/>
          </w:tcPr>
          <w:p>
            <w:pPr>
              <w:pStyle w:val="Normal"/>
              <w:bidi w:val="0"/>
              <w:jc w:val="left"/>
              <w:rPr/>
            </w:pPr>
            <w:r>
              <w:rPr/>
            </w:r>
          </w:p>
        </w:tc>
        <w:tc>
          <w:tcPr>
            <w:tcW w:w="526"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center"/>
              <w:rPr>
                <w:rFonts w:ascii="Roboto;sans-serif" w:hAnsi="Roboto;sans-serif"/>
                <w:b w:val="false"/>
                <w:color w:val="01024A"/>
                <w:sz w:val="16"/>
              </w:rPr>
            </w:pPr>
            <w:r>
              <w:rPr>
                <w:rFonts w:ascii="Roboto;sans-serif" w:hAnsi="Roboto;sans-serif"/>
                <w:b w:val="false"/>
                <w:color w:val="01024A"/>
                <w:sz w:val="16"/>
              </w:rPr>
              <w:t>2023</w:t>
            </w:r>
          </w:p>
        </w:tc>
        <w:tc>
          <w:tcPr>
            <w:tcW w:w="931"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437,442</w:t>
            </w:r>
          </w:p>
        </w:tc>
        <w:tc>
          <w:tcPr>
            <w:tcW w:w="1076"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999,875</w:t>
            </w:r>
          </w:p>
        </w:tc>
        <w:tc>
          <w:tcPr>
            <w:tcW w:w="1110"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249,984</w:t>
            </w:r>
          </w:p>
        </w:tc>
        <w:tc>
          <w:tcPr>
            <w:tcW w:w="2246"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36,454</w:t>
            </w:r>
          </w:p>
        </w:tc>
        <w:tc>
          <w:tcPr>
            <w:tcW w:w="1727"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20,374</w:t>
            </w:r>
          </w:p>
        </w:tc>
        <w:tc>
          <w:tcPr>
            <w:tcW w:w="931"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1024A"/>
                <w:sz w:val="16"/>
              </w:rPr>
            </w:pPr>
            <w:r>
              <w:rPr>
                <w:rFonts w:ascii="Roboto;sans-serif" w:hAnsi="Roboto;sans-serif"/>
                <w:b w:val="false"/>
                <w:color w:val="01024A"/>
                <w:sz w:val="16"/>
              </w:rPr>
              <w:t>1,744,129</w:t>
            </w:r>
          </w:p>
        </w:tc>
        <w:tc>
          <w:tcPr>
            <w:tcW w:w="380" w:type="dxa"/>
            <w:gridSpan w:val="3"/>
            <w:tcBorders>
              <w:bottom w:val="single" w:sz="12" w:space="0" w:color="E81111"/>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60"/>
        <w:ind w:left="0" w:right="0" w:hanging="270"/>
        <w:jc w:val="left"/>
        <w:rPr>
          <w:rFonts w:ascii="Roboto Light;sans-serif" w:hAnsi="Roboto Light;sans-serif"/>
          <w:b w:val="false"/>
          <w:color w:val="000000"/>
          <w:sz w:val="14"/>
        </w:rPr>
      </w:pPr>
      <w:r>
        <w:rPr>
          <w:rFonts w:ascii="Roboto Light;sans-serif" w:hAnsi="Roboto Light;sans-serif"/>
          <w:b w:val="false"/>
          <w:color w:val="000000"/>
          <w:sz w:val="14"/>
        </w:rPr>
        <w:t xml:space="preserve">1.The amounts reported in this column represent the NEO’s base salary earned during the specified fiscal year. </w:t>
      </w:r>
    </w:p>
    <w:p>
      <w:pPr>
        <w:pStyle w:val="TextBody"/>
        <w:bidi w:val="0"/>
        <w:spacing w:lineRule="auto" w:line="312" w:before="0" w:after="60"/>
        <w:ind w:left="0" w:right="0" w:hanging="270"/>
        <w:jc w:val="left"/>
        <w:rPr>
          <w:rFonts w:ascii="Roboto Light;sans-serif" w:hAnsi="Roboto Light;sans-serif"/>
          <w:b w:val="false"/>
          <w:color w:val="000000"/>
          <w:sz w:val="14"/>
        </w:rPr>
      </w:pPr>
      <w:r>
        <w:rPr>
          <w:rFonts w:ascii="Roboto Light;sans-serif" w:hAnsi="Roboto Light;sans-serif"/>
          <w:b w:val="false"/>
          <w:color w:val="000000"/>
          <w:sz w:val="14"/>
        </w:rPr>
        <w:t>2.The amounts reported in this column represent the grant date fair value of the time- and performance-based RSUs granted to each of the NEOs in the specified fiscal year, computed in accordance with FASB Accounting Standards Codification Topic 718, excluding the effect of estimated forfeitures. The grant date fair value of the performance-based RSUs granted in 2025 is based upon the probable outcome of the performance conditions at the date of grant and assumes the “target” level of performance is achieved. If the highest level of performance condition for the awards were achieved (200%), the aggregate grant date value of such performance-based RSUs for each of the NEOs would be as follows: Mr. Lawrence $6,999,998, Mr. Johnson $2,999,998, Messrs. Ford and McCabe $1,000,000 each. The valuation assumptions used in determining such amounts are described in Notes 2, Summary of Significant Accounting Policies, and 8, Share-Based Compensation to our audited consolidated financial statements included in our Annual Report for 2025.</w:t>
      </w:r>
    </w:p>
    <w:p>
      <w:pPr>
        <w:pStyle w:val="TextBody"/>
        <w:bidi w:val="0"/>
        <w:spacing w:lineRule="auto" w:line="312" w:before="0" w:after="60"/>
        <w:ind w:left="0" w:right="0" w:hanging="270"/>
        <w:jc w:val="left"/>
        <w:rPr>
          <w:rFonts w:ascii="Roboto Light;sans-serif" w:hAnsi="Roboto Light;sans-serif"/>
          <w:b w:val="false"/>
          <w:color w:val="000000"/>
          <w:sz w:val="14"/>
        </w:rPr>
      </w:pPr>
      <w:r>
        <w:rPr>
          <w:rFonts w:ascii="Roboto Light;sans-serif" w:hAnsi="Roboto Light;sans-serif"/>
          <w:b w:val="false"/>
          <w:color w:val="000000"/>
          <w:sz w:val="14"/>
        </w:rPr>
        <w:t>3.The amounts reported in this column represent the grant date fair value of the Options granted to each of the NEOs in the specified fiscal year, computed using a Black-Scholes option-pricing model in accordance with FASB Accounting Standards Codification Topic 718, excluding the effect of estimated forfeitures. The valuation assumptions used in determining such amounts are described in Notes 2, Summary of Significant Accounting and 8, Share-Based Compensation to our audited consolidated financial statements included in our Annual Report for 2025. No Options were granted in 2025 to our NEOs.</w:t>
      </w:r>
    </w:p>
    <w:p>
      <w:pPr>
        <w:pStyle w:val="TextBody"/>
        <w:bidi w:val="0"/>
        <w:spacing w:lineRule="auto" w:line="312" w:before="0" w:after="60"/>
        <w:ind w:left="0" w:right="0" w:hanging="270"/>
        <w:jc w:val="left"/>
        <w:rPr>
          <w:rFonts w:ascii="Roboto Light;sans-serif" w:hAnsi="Roboto Light;sans-serif"/>
          <w:b w:val="false"/>
          <w:color w:val="000000"/>
          <w:sz w:val="14"/>
        </w:rPr>
      </w:pPr>
      <w:r>
        <w:rPr>
          <w:rFonts w:ascii="Roboto Light;sans-serif" w:hAnsi="Roboto Light;sans-serif"/>
          <w:b w:val="false"/>
          <w:color w:val="000000"/>
          <w:sz w:val="14"/>
        </w:rPr>
        <w:t xml:space="preserve">4.The amounts reported in this column represent the annual incentive bonus amounts earned by each NEO pursuant to the Company’s applicable annual cash bonus plan and/or their employment agreement for each fiscal year. </w:t>
      </w:r>
    </w:p>
    <w:p>
      <w:pPr>
        <w:pStyle w:val="TextBody"/>
        <w:bidi w:val="0"/>
        <w:spacing w:lineRule="auto" w:line="288" w:before="0" w:after="120"/>
        <w:ind w:left="0" w:right="0" w:hanging="270"/>
        <w:jc w:val="left"/>
        <w:rPr>
          <w:rFonts w:ascii="Roboto Light;sans-serif" w:hAnsi="Roboto Light;sans-serif"/>
          <w:b w:val="false"/>
          <w:color w:val="000000"/>
          <w:sz w:val="14"/>
        </w:rPr>
      </w:pPr>
      <w:r>
        <w:rPr>
          <w:rFonts w:ascii="Roboto Light;sans-serif" w:hAnsi="Roboto Light;sans-serif"/>
          <w:b w:val="false"/>
          <w:color w:val="000000"/>
          <w:sz w:val="14"/>
        </w:rPr>
        <w:t xml:space="preserve">5.For a description of our perquisites, see “Other Compensation - Perquisites and Other Benefits” in the Compensation Discussion and Analysis. The table below summarizes the items included in the “All Other Compensation” for each NEO for 2025: </w:t>
      </w:r>
    </w:p>
    <w:tbl>
      <w:tblPr>
        <w:tblW w:w="10205" w:type="dxa"/>
        <w:jc w:val="left"/>
        <w:tblInd w:w="0" w:type="dxa"/>
        <w:tblLayout w:type="fixed"/>
        <w:tblCellMar>
          <w:top w:w="28" w:type="dxa"/>
          <w:left w:w="28" w:type="dxa"/>
          <w:bottom w:w="28" w:type="dxa"/>
          <w:right w:w="28" w:type="dxa"/>
        </w:tblCellMar>
      </w:tblPr>
      <w:tblGrid>
        <w:gridCol w:w="464"/>
        <w:gridCol w:w="409"/>
        <w:gridCol w:w="412"/>
        <w:gridCol w:w="618"/>
        <w:gridCol w:w="618"/>
        <w:gridCol w:w="620"/>
        <w:gridCol w:w="480"/>
        <w:gridCol w:w="480"/>
        <w:gridCol w:w="481"/>
        <w:gridCol w:w="109"/>
        <w:gridCol w:w="109"/>
        <w:gridCol w:w="949"/>
        <w:gridCol w:w="949"/>
        <w:gridCol w:w="951"/>
        <w:gridCol w:w="726"/>
        <w:gridCol w:w="726"/>
        <w:gridCol w:w="727"/>
        <w:gridCol w:w="109"/>
        <w:gridCol w:w="109"/>
        <w:gridCol w:w="159"/>
      </w:tblGrid>
      <w:tr>
        <w:trPr/>
        <w:tc>
          <w:tcPr>
            <w:tcW w:w="46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8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FFFFFF"/>
                <w:sz w:val="16"/>
              </w:rPr>
            </w:pPr>
            <w:r>
              <w:rPr>
                <w:rFonts w:ascii="Roboto;sans-serif" w:hAnsi="Roboto;sans-serif"/>
                <w:b/>
                <w:color w:val="FFFFFF"/>
                <w:sz w:val="16"/>
              </w:rPr>
              <w:t>Name</w:t>
            </w:r>
          </w:p>
        </w:tc>
        <w:tc>
          <w:tcPr>
            <w:tcW w:w="1856"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6"/>
              </w:rPr>
            </w:pPr>
            <w:r>
              <w:rPr>
                <w:rFonts w:ascii="Roboto;sans-serif" w:hAnsi="Roboto;sans-serif"/>
                <w:b/>
                <w:color w:val="FFFFFF"/>
                <w:sz w:val="16"/>
              </w:rPr>
              <w:t>Financial Planning Services</w:t>
              <w:br/>
              <w:t>($)</w:t>
            </w:r>
          </w:p>
        </w:tc>
        <w:tc>
          <w:tcPr>
            <w:tcW w:w="1441"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6"/>
              </w:rPr>
            </w:pPr>
            <w:r>
              <w:rPr>
                <w:rFonts w:ascii="Roboto;sans-serif" w:hAnsi="Roboto;sans-serif"/>
                <w:b/>
                <w:color w:val="FFFFFF"/>
                <w:sz w:val="16"/>
              </w:rPr>
              <w:t>Executive Physical</w:t>
              <w:b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9"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6"/>
              </w:rPr>
            </w:pPr>
            <w:r>
              <w:rPr>
                <w:rFonts w:ascii="Roboto;sans-serif" w:hAnsi="Roboto;sans-serif"/>
                <w:b/>
                <w:color w:val="FFFFFF"/>
                <w:sz w:val="16"/>
              </w:rPr>
              <w:t>401(k) Plan Employer Matching Contribution</w:t>
              <w:br/>
              <w:t>($)</w:t>
            </w:r>
          </w:p>
        </w:tc>
        <w:tc>
          <w:tcPr>
            <w:tcW w:w="2179"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6"/>
              </w:rPr>
            </w:pPr>
            <w:r>
              <w:rPr>
                <w:rFonts w:ascii="Roboto;sans-serif" w:hAnsi="Roboto;sans-serif"/>
                <w:b/>
                <w:color w:val="FFFFFF"/>
                <w:sz w:val="16"/>
              </w:rPr>
              <w:t>Total All Other Compensation</w:t>
              <w:br/>
              <w:t>($)</w:t>
            </w:r>
          </w:p>
        </w:tc>
        <w:tc>
          <w:tcPr>
            <w:tcW w:w="37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000000"/>
                <w:sz w:val="16"/>
              </w:rPr>
            </w:pPr>
            <w:r>
              <w:rPr>
                <w:rFonts w:ascii="Roboto;sans-serif" w:hAnsi="Roboto;sans-serif"/>
                <w:b/>
                <w:color w:val="000000"/>
                <w:sz w:val="16"/>
              </w:rPr>
              <w:t>Steve Lawrence</w:t>
            </w:r>
          </w:p>
        </w:tc>
        <w:tc>
          <w:tcPr>
            <w:tcW w:w="185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12,000</w:t>
            </w:r>
          </w:p>
        </w:tc>
        <w:tc>
          <w:tcPr>
            <w:tcW w:w="144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2,150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9"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27,538</w:t>
            </w:r>
          </w:p>
        </w:tc>
        <w:tc>
          <w:tcPr>
            <w:tcW w:w="2179"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41,688</w:t>
            </w:r>
          </w:p>
        </w:tc>
        <w:tc>
          <w:tcPr>
            <w:tcW w:w="3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000000"/>
                <w:sz w:val="16"/>
              </w:rPr>
            </w:pPr>
            <w:r>
              <w:rPr>
                <w:rFonts w:ascii="Roboto;sans-serif" w:hAnsi="Roboto;sans-serif"/>
                <w:b/>
                <w:color w:val="000000"/>
                <w:sz w:val="16"/>
              </w:rPr>
              <w:t>Sam Johnson</w:t>
            </w:r>
          </w:p>
        </w:tc>
        <w:tc>
          <w:tcPr>
            <w:tcW w:w="185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12,000</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2,150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21,197</w:t>
            </w:r>
          </w:p>
        </w:tc>
        <w:tc>
          <w:tcPr>
            <w:tcW w:w="2179"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35,347</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color w:val="000000"/>
                <w:sz w:val="16"/>
              </w:rPr>
              <w:t>Carl Ford</w:t>
            </w:r>
            <w:r>
              <w:rPr>
                <w:rFonts w:ascii="Roboto;sans-serif" w:hAnsi="Roboto;sans-serif"/>
                <w:b/>
                <w:color w:val="000000"/>
                <w:sz w:val="10"/>
              </w:rPr>
              <w:t>(a)</w:t>
            </w:r>
          </w:p>
        </w:tc>
        <w:tc>
          <w:tcPr>
            <w:tcW w:w="185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44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9"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21,200</w:t>
            </w:r>
          </w:p>
        </w:tc>
        <w:tc>
          <w:tcPr>
            <w:tcW w:w="2179"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21,200</w:t>
            </w:r>
          </w:p>
        </w:tc>
        <w:tc>
          <w:tcPr>
            <w:tcW w:w="3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0"/>
              <w:jc w:val="left"/>
              <w:rPr/>
            </w:pPr>
            <w:r>
              <w:rPr>
                <w:rFonts w:ascii="Roboto;sans-serif" w:hAnsi="Roboto;sans-serif"/>
                <w:b/>
                <w:color w:val="000000"/>
                <w:sz w:val="16"/>
              </w:rPr>
              <w:t>Matt McCabe</w:t>
            </w:r>
            <w:r>
              <w:rPr>
                <w:rFonts w:ascii="Roboto;sans-serif" w:hAnsi="Roboto;sans-serif"/>
                <w:b/>
                <w:color w:val="000000"/>
                <w:sz w:val="10"/>
              </w:rPr>
              <w:t>(a)</w:t>
            </w:r>
          </w:p>
        </w:tc>
        <w:tc>
          <w:tcPr>
            <w:tcW w:w="1856"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1441"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9"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21,196</w:t>
            </w:r>
          </w:p>
        </w:tc>
        <w:tc>
          <w:tcPr>
            <w:tcW w:w="2179"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21,196</w:t>
            </w:r>
          </w:p>
        </w:tc>
        <w:tc>
          <w:tcPr>
            <w:tcW w:w="377" w:type="dxa"/>
            <w:gridSpan w:val="3"/>
            <w:tcBorders>
              <w:bottom w:val="single" w:sz="12" w:space="0" w:color="E81111"/>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a.Messrs. Ford and McCabe each received perquisites and personal benefits during 2025 valued at less than $10,000.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263525"/>
                <wp:effectExtent l="0" t="0" r="0" b="0"/>
                <wp:wrapNone/>
                <wp:docPr id="400" name="Frame73"/>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401"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260" descr=""/>
                                          <pic:cNvPicPr>
                                            <a:picLocks noChangeAspect="1" noChangeArrowheads="1"/>
                                          </pic:cNvPicPr>
                                        </pic:nvPicPr>
                                        <pic:blipFill>
                                          <a:blip r:embed="rId329"/>
                                          <a:stretch>
                                            <a:fillRect/>
                                          </a:stretch>
                                        </pic:blipFill>
                                        <pic:spPr bwMode="auto">
                                          <a:xfrm>
                                            <a:off x="0" y="0"/>
                                            <a:ext cx="266700" cy="200025"/>
                                          </a:xfrm>
                                          <a:prstGeom prst="rect">
                                            <a:avLst/>
                                          </a:prstGeom>
                                        </pic:spPr>
                                      </pic:pic>
                                    </a:graphicData>
                                  </a:graphic>
                                </wp:inline>
                              </w:drawing>
                            </w:r>
                            <w:bookmarkStart w:id="328" w:name="i-260"/>
                            <w:bookmarkEnd w:id="32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402"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260" descr=""/>
                                    <pic:cNvPicPr>
                                      <a:picLocks noChangeAspect="1" noChangeArrowheads="1"/>
                                    </pic:cNvPicPr>
                                  </pic:nvPicPr>
                                  <pic:blipFill>
                                    <a:blip r:embed="rId330"/>
                                    <a:stretch>
                                      <a:fillRect/>
                                    </a:stretch>
                                  </pic:blipFill>
                                  <pic:spPr bwMode="auto">
                                    <a:xfrm>
                                      <a:off x="0" y="0"/>
                                      <a:ext cx="266700" cy="200025"/>
                                    </a:xfrm>
                                    <a:prstGeom prst="rect">
                                      <a:avLst/>
                                    </a:prstGeom>
                                  </pic:spPr>
                                </pic:pic>
                              </a:graphicData>
                            </a:graphic>
                          </wp:inline>
                        </w:drawing>
                      </w:r>
                      <w:bookmarkStart w:id="329" w:name="i-260"/>
                      <w:bookmarkEnd w:id="329"/>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Grants of Plan Based Awards in 2025</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 following table provides information with regard to 2025 grants to the NEOs under any incentive plan during 2025. For additional information regarding non-equity incentive plan awards, please see “2025 Executive Team Bonus Plan.” For additional information regarding equity incentive plan awards, please see “Long-Term Equity Incentive Compensation.”</w:t>
      </w:r>
    </w:p>
    <w:tbl>
      <w:tblPr>
        <w:tblW w:w="10600" w:type="dxa"/>
        <w:jc w:val="left"/>
        <w:tblInd w:w="0" w:type="dxa"/>
        <w:tblLayout w:type="fixed"/>
        <w:tblCellMar>
          <w:top w:w="28" w:type="dxa"/>
          <w:left w:w="28" w:type="dxa"/>
          <w:bottom w:w="28" w:type="dxa"/>
          <w:right w:w="28" w:type="dxa"/>
        </w:tblCellMar>
      </w:tblPr>
      <w:tblGrid>
        <w:gridCol w:w="298"/>
        <w:gridCol w:w="262"/>
        <w:gridCol w:w="266"/>
        <w:gridCol w:w="374"/>
        <w:gridCol w:w="374"/>
        <w:gridCol w:w="258"/>
        <w:gridCol w:w="170"/>
        <w:gridCol w:w="170"/>
        <w:gridCol w:w="171"/>
        <w:gridCol w:w="576"/>
        <w:gridCol w:w="141"/>
        <w:gridCol w:w="109"/>
        <w:gridCol w:w="576"/>
        <w:gridCol w:w="141"/>
        <w:gridCol w:w="109"/>
        <w:gridCol w:w="576"/>
        <w:gridCol w:w="141"/>
        <w:gridCol w:w="109"/>
        <w:gridCol w:w="109"/>
        <w:gridCol w:w="109"/>
        <w:gridCol w:w="109"/>
        <w:gridCol w:w="520"/>
        <w:gridCol w:w="197"/>
        <w:gridCol w:w="109"/>
        <w:gridCol w:w="383"/>
        <w:gridCol w:w="109"/>
        <w:gridCol w:w="109"/>
        <w:gridCol w:w="520"/>
        <w:gridCol w:w="197"/>
        <w:gridCol w:w="109"/>
        <w:gridCol w:w="235"/>
        <w:gridCol w:w="235"/>
        <w:gridCol w:w="236"/>
        <w:gridCol w:w="300"/>
        <w:gridCol w:w="300"/>
        <w:gridCol w:w="301"/>
        <w:gridCol w:w="240"/>
        <w:gridCol w:w="240"/>
        <w:gridCol w:w="241"/>
        <w:gridCol w:w="382"/>
        <w:gridCol w:w="202"/>
        <w:gridCol w:w="287"/>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shd w:fill="1946C8" w:val="clear"/>
            <w:tcMar>
              <w:top w:w="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FFFFFF"/>
                <w:sz w:val="14"/>
              </w:rPr>
              <w:t>Estimated Future Payouts Under Non-Equity Incentive Plan Awards</w:t>
            </w:r>
            <w:r>
              <w:rPr>
                <w:rFonts w:ascii="Roboto;sans-serif" w:hAnsi="Roboto;sans-serif"/>
                <w:b/>
                <w:color w:val="FFFFFF"/>
                <w:sz w:val="9"/>
              </w:rPr>
              <w:t>(1)</w:t>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shd w:fill="1946C8"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color w:val="FFFFFF"/>
                <w:sz w:val="14"/>
              </w:rPr>
            </w:pPr>
            <w:r>
              <w:rPr>
                <w:rFonts w:ascii="Roboto;sans-serif" w:hAnsi="Roboto;sans-serif"/>
                <w:b/>
                <w:color w:val="FFFFFF"/>
                <w:sz w:val="14"/>
              </w:rPr>
              <w:t>Estimated Future Payouts Under Equity Incentive Plan Awards</w:t>
            </w:r>
          </w:p>
        </w:tc>
        <w:tc>
          <w:tcPr>
            <w:tcW w:w="706" w:type="dxa"/>
            <w:gridSpan w:val="3"/>
            <w:vMerge w:val="restart"/>
            <w:tcBorders/>
            <w:shd w:fill="1946C8"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4"/>
              </w:rPr>
            </w:pPr>
            <w:r>
              <w:rPr>
                <w:rFonts w:ascii="Roboto;sans-serif" w:hAnsi="Roboto;sans-serif"/>
                <w:b/>
                <w:color w:val="FFFFFF"/>
                <w:sz w:val="14"/>
              </w:rPr>
              <w:t>All Other Stock Awards: Number of Shares of Stock</w:t>
              <w:br/>
              <w:t> (#)</w:t>
            </w:r>
          </w:p>
        </w:tc>
        <w:tc>
          <w:tcPr>
            <w:tcW w:w="901" w:type="dxa"/>
            <w:gridSpan w:val="3"/>
            <w:vMerge w:val="restart"/>
            <w:tcBorders/>
            <w:shd w:fill="1946C8"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4"/>
              </w:rPr>
            </w:pPr>
            <w:r>
              <w:rPr>
                <w:rFonts w:ascii="Roboto;sans-serif" w:hAnsi="Roboto;sans-serif"/>
                <w:b/>
                <w:color w:val="FFFFFF"/>
                <w:sz w:val="14"/>
              </w:rPr>
              <w:t>All Other Option Awards: Number of Securities Underlying Options</w:t>
              <w:br/>
              <w:t>(#)</w:t>
            </w:r>
          </w:p>
        </w:tc>
        <w:tc>
          <w:tcPr>
            <w:tcW w:w="721" w:type="dxa"/>
            <w:gridSpan w:val="3"/>
            <w:vMerge w:val="restart"/>
            <w:tcBorders/>
            <w:shd w:fill="1946C8"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4"/>
              </w:rPr>
            </w:pPr>
            <w:r>
              <w:rPr>
                <w:rFonts w:ascii="Roboto;sans-serif" w:hAnsi="Roboto;sans-serif"/>
                <w:b/>
                <w:color w:val="FFFFFF"/>
                <w:sz w:val="14"/>
              </w:rPr>
              <w:t>Exercise or Base Price of Option Awards</w:t>
              <w:br/>
              <w:t>($/share)</w:t>
            </w:r>
          </w:p>
        </w:tc>
        <w:tc>
          <w:tcPr>
            <w:tcW w:w="871" w:type="dxa"/>
            <w:gridSpan w:val="3"/>
            <w:vMerge w:val="restart"/>
            <w:tcBorders/>
            <w:shd w:fill="1946C8" w:val="clear"/>
            <w:tcMar>
              <w:top w:w="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4"/>
              </w:rPr>
            </w:pPr>
            <w:r>
              <w:rPr>
                <w:rFonts w:ascii="Roboto;sans-serif" w:hAnsi="Roboto;sans-serif"/>
                <w:b/>
                <w:color w:val="FFFFFF"/>
                <w:sz w:val="14"/>
              </w:rPr>
              <w:t>Grant Date Fair Value of Stock and Option Awards</w:t>
            </w:r>
          </w:p>
          <w:p>
            <w:pPr>
              <w:pStyle w:val="TableContents"/>
              <w:bidi w:val="0"/>
              <w:spacing w:lineRule="auto" w:line="312" w:before="0" w:after="0"/>
              <w:jc w:val="right"/>
              <w:rPr/>
            </w:pPr>
            <w:r>
              <w:rPr>
                <w:rFonts w:ascii="Roboto;sans-serif" w:hAnsi="Roboto;sans-serif"/>
                <w:b/>
                <w:color w:val="FFFFFF"/>
                <w:sz w:val="14"/>
              </w:rPr>
              <w:t>($)</w:t>
            </w:r>
            <w:r>
              <w:rPr>
                <w:rFonts w:ascii="Roboto;sans-serif" w:hAnsi="Roboto;sans-serif"/>
                <w:b/>
                <w:color w:val="FFFFFF"/>
                <w:sz w:val="9"/>
              </w:rPr>
              <w:t>(3)</w:t>
            </w:r>
          </w:p>
        </w:tc>
      </w:tr>
      <w:tr>
        <w:trPr/>
        <w:tc>
          <w:tcPr>
            <w:tcW w:w="826"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FFFFFF"/>
                <w:sz w:val="14"/>
              </w:rPr>
            </w:pPr>
            <w:r>
              <w:rPr>
                <w:rFonts w:ascii="Roboto;sans-serif" w:hAnsi="Roboto;sans-serif"/>
                <w:b/>
                <w:color w:val="FFFFFF"/>
                <w:sz w:val="14"/>
              </w:rPr>
              <w:t>Name</w:t>
            </w:r>
          </w:p>
        </w:tc>
        <w:tc>
          <w:tcPr>
            <w:tcW w:w="1006"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FFFFFF"/>
                <w:sz w:val="14"/>
              </w:rPr>
              <w:t>Award Type</w:t>
            </w:r>
            <w:r>
              <w:rPr>
                <w:rFonts w:ascii="Roboto;sans-serif" w:hAnsi="Roboto;sans-serif"/>
                <w:b/>
                <w:color w:val="FFFFFF"/>
                <w:sz w:val="9"/>
              </w:rPr>
              <w:t>(2)</w:t>
            </w:r>
          </w:p>
        </w:tc>
        <w:tc>
          <w:tcPr>
            <w:tcW w:w="511"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color w:val="FFFFFF"/>
                <w:sz w:val="14"/>
              </w:rPr>
            </w:pPr>
            <w:r>
              <w:rPr>
                <w:rFonts w:ascii="Roboto;sans-serif" w:hAnsi="Roboto;sans-serif"/>
                <w:b/>
                <w:color w:val="FFFFFF"/>
                <w:sz w:val="14"/>
              </w:rPr>
              <w:t>Grant Date</w:t>
            </w:r>
          </w:p>
        </w:tc>
        <w:tc>
          <w:tcPr>
            <w:tcW w:w="826"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4"/>
              </w:rPr>
            </w:pPr>
            <w:r>
              <w:rPr>
                <w:rFonts w:ascii="Roboto;sans-serif" w:hAnsi="Roboto;sans-serif"/>
                <w:b/>
                <w:color w:val="FFFFFF"/>
                <w:sz w:val="14"/>
              </w:rPr>
              <w:t>Threshold</w:t>
              <w:br/>
              <w:t>($)</w:t>
            </w:r>
          </w:p>
        </w:tc>
        <w:tc>
          <w:tcPr>
            <w:tcW w:w="826"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4"/>
              </w:rPr>
            </w:pPr>
            <w:r>
              <w:rPr>
                <w:rFonts w:ascii="Roboto;sans-serif" w:hAnsi="Roboto;sans-serif"/>
                <w:b/>
                <w:color w:val="FFFFFF"/>
                <w:sz w:val="14"/>
              </w:rPr>
              <w:t>Target</w:t>
              <w:br/>
              <w:t>($)</w:t>
            </w:r>
          </w:p>
        </w:tc>
        <w:tc>
          <w:tcPr>
            <w:tcW w:w="826"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4"/>
              </w:rPr>
            </w:pPr>
            <w:r>
              <w:rPr>
                <w:rFonts w:ascii="Roboto;sans-serif" w:hAnsi="Roboto;sans-serif"/>
                <w:b/>
                <w:color w:val="FFFFFF"/>
                <w:sz w:val="14"/>
              </w:rPr>
              <w:t>Maximum</w:t>
              <w:br/>
              <w:t>($)</w:t>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4"/>
              </w:rPr>
            </w:pPr>
            <w:r>
              <w:rPr>
                <w:rFonts w:ascii="Roboto;sans-serif" w:hAnsi="Roboto;sans-serif"/>
                <w:b/>
                <w:color w:val="FFFFFF"/>
                <w:sz w:val="14"/>
              </w:rPr>
              <w:t>Threshold</w:t>
              <w:br/>
              <w:t>(#)</w:t>
            </w:r>
          </w:p>
        </w:tc>
        <w:tc>
          <w:tcPr>
            <w:tcW w:w="601"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4"/>
              </w:rPr>
            </w:pPr>
            <w:r>
              <w:rPr>
                <w:rFonts w:ascii="Roboto;sans-serif" w:hAnsi="Roboto;sans-serif"/>
                <w:b/>
                <w:color w:val="FFFFFF"/>
                <w:sz w:val="14"/>
              </w:rPr>
              <w:t>Target</w:t>
              <w:br/>
              <w:t>(#)</w:t>
            </w:r>
          </w:p>
        </w:tc>
        <w:tc>
          <w:tcPr>
            <w:tcW w:w="826"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4"/>
              </w:rPr>
            </w:pPr>
            <w:r>
              <w:rPr>
                <w:rFonts w:ascii="Roboto;sans-serif" w:hAnsi="Roboto;sans-serif"/>
                <w:b/>
                <w:color w:val="FFFFFF"/>
                <w:sz w:val="14"/>
              </w:rPr>
              <w:t>Maximum</w:t>
              <w:br/>
              <w:t>(#)</w:t>
            </w:r>
          </w:p>
        </w:tc>
        <w:tc>
          <w:tcPr>
            <w:tcW w:w="706"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901"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721"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c>
          <w:tcPr>
            <w:tcW w:w="871" w:type="dxa"/>
            <w:gridSpan w:val="3"/>
            <w:vMerge w:val="continue"/>
            <w:tcBorders/>
            <w:shd w:fill="1946C8" w:val="clear"/>
            <w:tcMar>
              <w:top w:w="0" w:type="dxa"/>
              <w:left w:w="0" w:type="dxa"/>
              <w:bottom w:w="0" w:type="dxa"/>
              <w:right w:w="0" w:type="dxa"/>
            </w:tcMar>
            <w:vAlign w:val="center"/>
          </w:tcPr>
          <w:p>
            <w:pPr>
              <w:pStyle w:val="Normal"/>
              <w:bidi w:val="0"/>
              <w:jc w:val="left"/>
              <w:rPr/>
            </w:pPr>
            <w:r>
              <w:rPr/>
            </w:r>
          </w:p>
        </w:tc>
      </w:tr>
      <w:tr>
        <w:trPr/>
        <w:tc>
          <w:tcPr>
            <w:tcW w:w="82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restart"/>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000000"/>
                <w:sz w:val="14"/>
              </w:rPr>
            </w:pPr>
            <w:r>
              <w:rPr>
                <w:rFonts w:ascii="Roboto;sans-serif" w:hAnsi="Roboto;sans-serif"/>
                <w:b/>
                <w:color w:val="000000"/>
                <w:sz w:val="14"/>
              </w:rPr>
              <w:t>Steve Lawrence</w:t>
            </w:r>
          </w:p>
        </w:tc>
        <w:tc>
          <w:tcPr>
            <w:tcW w:w="100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Annual Bonus</w:t>
            </w:r>
          </w:p>
        </w:tc>
        <w:tc>
          <w:tcPr>
            <w:tcW w:w="51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82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949,375</w:t>
            </w:r>
          </w:p>
        </w:tc>
        <w:tc>
          <w:tcPr>
            <w:tcW w:w="82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1,898,750</w:t>
            </w:r>
          </w:p>
        </w:tc>
        <w:tc>
          <w:tcPr>
            <w:tcW w:w="82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3,797,500</w:t>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60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7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r>
      <w:tr>
        <w:trPr/>
        <w:tc>
          <w:tcPr>
            <w:tcW w:w="826"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100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Performance RSUs</w:t>
            </w:r>
          </w:p>
        </w:tc>
        <w:tc>
          <w:tcPr>
            <w:tcW w:w="51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3/25/2025</w:t>
            </w:r>
          </w:p>
        </w:tc>
        <w:tc>
          <w:tcPr>
            <w:tcW w:w="8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4" w:space="0" w:color="1946C8"/>
            </w:tcBorders>
            <w:shd w:fill="ECF8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34,979</w:t>
            </w:r>
          </w:p>
        </w:tc>
        <w:tc>
          <w:tcPr>
            <w:tcW w:w="60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69,958</w:t>
            </w:r>
          </w:p>
        </w:tc>
        <w:tc>
          <w:tcPr>
            <w:tcW w:w="8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139,916</w:t>
            </w:r>
          </w:p>
        </w:tc>
        <w:tc>
          <w:tcPr>
            <w:tcW w:w="70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7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3,499,999</w:t>
            </w:r>
          </w:p>
        </w:tc>
      </w:tr>
      <w:tr>
        <w:trPr/>
        <w:tc>
          <w:tcPr>
            <w:tcW w:w="826"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100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center"/>
              <w:rPr>
                <w:rFonts w:ascii="Roboto;sans-serif" w:hAnsi="Roboto;sans-serif"/>
                <w:b w:val="false"/>
                <w:color w:val="000000"/>
                <w:sz w:val="14"/>
              </w:rPr>
            </w:pPr>
            <w:r>
              <w:rPr>
                <w:rFonts w:ascii="Roboto;sans-serif" w:hAnsi="Roboto;sans-serif"/>
                <w:b w:val="false"/>
                <w:color w:val="000000"/>
                <w:sz w:val="14"/>
              </w:rPr>
              <w:t>Time RSUs</w:t>
            </w:r>
          </w:p>
        </w:tc>
        <w:tc>
          <w:tcPr>
            <w:tcW w:w="51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3/25/2025</w:t>
            </w:r>
          </w:p>
        </w:tc>
        <w:tc>
          <w:tcPr>
            <w:tcW w:w="8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4" w:space="0" w:color="1946C8"/>
            </w:tcBorders>
            <w:shd w:fill="ECF8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60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69,958</w:t>
            </w:r>
          </w:p>
        </w:tc>
        <w:tc>
          <w:tcPr>
            <w:tcW w:w="90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7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3,499,999</w:t>
            </w:r>
          </w:p>
        </w:tc>
      </w:tr>
      <w:tr>
        <w:trPr/>
        <w:tc>
          <w:tcPr>
            <w:tcW w:w="826" w:type="dxa"/>
            <w:gridSpan w:val="3"/>
            <w:vMerge w:val="restart"/>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000000"/>
                <w:sz w:val="14"/>
              </w:rPr>
            </w:pPr>
            <w:r>
              <w:rPr>
                <w:rFonts w:ascii="Roboto;sans-serif" w:hAnsi="Roboto;sans-serif"/>
                <w:b/>
                <w:color w:val="000000"/>
                <w:sz w:val="14"/>
              </w:rPr>
              <w:t>Sam Johnson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Annual Bonus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605,500</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1,211,000</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2,422,000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r>
      <w:tr>
        <w:trPr/>
        <w:tc>
          <w:tcPr>
            <w:tcW w:w="8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0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Performance RSUs</w:t>
            </w:r>
          </w:p>
        </w:tc>
        <w:tc>
          <w:tcPr>
            <w:tcW w:w="51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3/25/2025</w:t>
            </w:r>
          </w:p>
        </w:tc>
        <w:tc>
          <w:tcPr>
            <w:tcW w:w="82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4" w:space="0" w:color="1946C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14,991</w:t>
            </w:r>
          </w:p>
        </w:tc>
        <w:tc>
          <w:tcPr>
            <w:tcW w:w="60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29,982</w:t>
            </w:r>
          </w:p>
        </w:tc>
        <w:tc>
          <w:tcPr>
            <w:tcW w:w="82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59,964</w:t>
            </w:r>
          </w:p>
        </w:tc>
        <w:tc>
          <w:tcPr>
            <w:tcW w:w="70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7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1,499,999</w:t>
            </w:r>
          </w:p>
        </w:tc>
      </w:tr>
      <w:tr>
        <w:trPr/>
        <w:tc>
          <w:tcPr>
            <w:tcW w:w="8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0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0"/>
              <w:jc w:val="center"/>
              <w:rPr>
                <w:rFonts w:ascii="Roboto;sans-serif" w:hAnsi="Roboto;sans-serif"/>
                <w:b w:val="false"/>
                <w:color w:val="000000"/>
                <w:sz w:val="14"/>
              </w:rPr>
            </w:pPr>
            <w:r>
              <w:rPr>
                <w:rFonts w:ascii="Roboto;sans-serif" w:hAnsi="Roboto;sans-serif"/>
                <w:b w:val="false"/>
                <w:color w:val="000000"/>
                <w:sz w:val="14"/>
              </w:rPr>
              <w:t>Time RSUs</w:t>
            </w:r>
          </w:p>
        </w:tc>
        <w:tc>
          <w:tcPr>
            <w:tcW w:w="51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3/25/2025</w:t>
            </w:r>
          </w:p>
        </w:tc>
        <w:tc>
          <w:tcPr>
            <w:tcW w:w="82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4" w:space="0" w:color="1946C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60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29,982</w:t>
            </w:r>
          </w:p>
        </w:tc>
        <w:tc>
          <w:tcPr>
            <w:tcW w:w="90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7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1,499,999</w:t>
            </w:r>
          </w:p>
        </w:tc>
      </w:tr>
      <w:tr>
        <w:trPr/>
        <w:tc>
          <w:tcPr>
            <w:tcW w:w="826" w:type="dxa"/>
            <w:gridSpan w:val="3"/>
            <w:vMerge w:val="restart"/>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000000"/>
                <w:sz w:val="14"/>
              </w:rPr>
            </w:pPr>
            <w:r>
              <w:rPr>
                <w:rFonts w:ascii="Roboto;sans-serif" w:hAnsi="Roboto;sans-serif"/>
                <w:b/>
                <w:color w:val="000000"/>
                <w:sz w:val="14"/>
              </w:rPr>
              <w:t>Carl Ford</w:t>
            </w:r>
          </w:p>
        </w:tc>
        <w:tc>
          <w:tcPr>
            <w:tcW w:w="100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Annual Bonus</w:t>
            </w:r>
          </w:p>
        </w:tc>
        <w:tc>
          <w:tcPr>
            <w:tcW w:w="51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82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330,000</w:t>
            </w:r>
          </w:p>
        </w:tc>
        <w:tc>
          <w:tcPr>
            <w:tcW w:w="82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660,000</w:t>
            </w:r>
          </w:p>
        </w:tc>
        <w:tc>
          <w:tcPr>
            <w:tcW w:w="82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1,320,000</w:t>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60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7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r>
      <w:tr>
        <w:trPr/>
        <w:tc>
          <w:tcPr>
            <w:tcW w:w="826"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100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Performance RSUs</w:t>
            </w:r>
          </w:p>
        </w:tc>
        <w:tc>
          <w:tcPr>
            <w:tcW w:w="51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3/25/2025</w:t>
            </w:r>
          </w:p>
        </w:tc>
        <w:tc>
          <w:tcPr>
            <w:tcW w:w="8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4" w:space="0" w:color="1946C8"/>
            </w:tcBorders>
            <w:shd w:fill="ECF8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4,997</w:t>
            </w:r>
          </w:p>
        </w:tc>
        <w:tc>
          <w:tcPr>
            <w:tcW w:w="60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9,994</w:t>
            </w:r>
          </w:p>
        </w:tc>
        <w:tc>
          <w:tcPr>
            <w:tcW w:w="8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19,988</w:t>
            </w:r>
          </w:p>
        </w:tc>
        <w:tc>
          <w:tcPr>
            <w:tcW w:w="70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7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500,000</w:t>
            </w:r>
          </w:p>
        </w:tc>
      </w:tr>
      <w:tr>
        <w:trPr/>
        <w:tc>
          <w:tcPr>
            <w:tcW w:w="826"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100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center"/>
              <w:rPr>
                <w:rFonts w:ascii="Roboto;sans-serif" w:hAnsi="Roboto;sans-serif"/>
                <w:b w:val="false"/>
                <w:color w:val="000000"/>
                <w:sz w:val="14"/>
              </w:rPr>
            </w:pPr>
            <w:r>
              <w:rPr>
                <w:rFonts w:ascii="Roboto;sans-serif" w:hAnsi="Roboto;sans-serif"/>
                <w:b w:val="false"/>
                <w:color w:val="000000"/>
                <w:sz w:val="14"/>
              </w:rPr>
              <w:t>Time RSUs</w:t>
            </w:r>
          </w:p>
        </w:tc>
        <w:tc>
          <w:tcPr>
            <w:tcW w:w="51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3/25/2025</w:t>
            </w:r>
          </w:p>
        </w:tc>
        <w:tc>
          <w:tcPr>
            <w:tcW w:w="8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4" w:space="0" w:color="1946C8"/>
            </w:tcBorders>
            <w:shd w:fill="ECF8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60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9,994</w:t>
            </w:r>
          </w:p>
        </w:tc>
        <w:tc>
          <w:tcPr>
            <w:tcW w:w="90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7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500,000</w:t>
            </w:r>
          </w:p>
        </w:tc>
      </w:tr>
      <w:tr>
        <w:trPr/>
        <w:tc>
          <w:tcPr>
            <w:tcW w:w="826" w:type="dxa"/>
            <w:gridSpan w:val="3"/>
            <w:vMerge w:val="restart"/>
            <w:tcBorders>
              <w:bottom w:val="single" w:sz="12" w:space="0" w:color="E81111"/>
            </w:tcBorders>
            <w:tcMar>
              <w:top w:w="0" w:type="dxa"/>
              <w:left w:w="0" w:type="dxa"/>
              <w:bottom w:w="30" w:type="dxa"/>
              <w:right w:w="0" w:type="dxa"/>
            </w:tcMar>
            <w:vAlign w:val="center"/>
          </w:tcPr>
          <w:p>
            <w:pPr>
              <w:pStyle w:val="TableContents"/>
              <w:bidi w:val="0"/>
              <w:spacing w:lineRule="auto" w:line="312" w:before="0" w:after="0"/>
              <w:jc w:val="left"/>
              <w:rPr>
                <w:rFonts w:ascii="Roboto;sans-serif" w:hAnsi="Roboto;sans-serif"/>
                <w:b/>
                <w:color w:val="000000"/>
                <w:sz w:val="14"/>
              </w:rPr>
            </w:pPr>
            <w:r>
              <w:rPr>
                <w:rFonts w:ascii="Roboto;sans-serif" w:hAnsi="Roboto;sans-serif"/>
                <w:b/>
                <w:color w:val="000000"/>
                <w:sz w:val="14"/>
              </w:rPr>
              <w:t>Matt McCabe</w:t>
            </w:r>
          </w:p>
        </w:tc>
        <w:tc>
          <w:tcPr>
            <w:tcW w:w="100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Annual Bonus</w:t>
            </w:r>
          </w:p>
        </w:tc>
        <w:tc>
          <w:tcPr>
            <w:tcW w:w="511"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82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330,000</w:t>
            </w:r>
          </w:p>
        </w:tc>
        <w:tc>
          <w:tcPr>
            <w:tcW w:w="82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660,000</w:t>
            </w:r>
          </w:p>
        </w:tc>
        <w:tc>
          <w:tcPr>
            <w:tcW w:w="82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1,320,000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60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06"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7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r>
      <w:tr>
        <w:trPr/>
        <w:tc>
          <w:tcPr>
            <w:tcW w:w="826" w:type="dxa"/>
            <w:gridSpan w:val="3"/>
            <w:vMerge w:val="continue"/>
            <w:tcBorders>
              <w:bottom w:val="single" w:sz="12" w:space="0" w:color="E81111"/>
            </w:tcBorders>
            <w:tcMar>
              <w:top w:w="0" w:type="dxa"/>
              <w:left w:w="0" w:type="dxa"/>
              <w:bottom w:w="30" w:type="dxa"/>
              <w:right w:w="0" w:type="dxa"/>
            </w:tcMar>
            <w:vAlign w:val="center"/>
          </w:tcPr>
          <w:p>
            <w:pPr>
              <w:pStyle w:val="Normal"/>
              <w:bidi w:val="0"/>
              <w:jc w:val="left"/>
              <w:rPr/>
            </w:pPr>
            <w:r>
              <w:rPr/>
            </w:r>
          </w:p>
        </w:tc>
        <w:tc>
          <w:tcPr>
            <w:tcW w:w="100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Performance RSUs</w:t>
            </w:r>
          </w:p>
        </w:tc>
        <w:tc>
          <w:tcPr>
            <w:tcW w:w="51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3/25/2025</w:t>
            </w:r>
          </w:p>
        </w:tc>
        <w:tc>
          <w:tcPr>
            <w:tcW w:w="82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4" w:space="0" w:color="1946C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4,997</w:t>
            </w:r>
          </w:p>
        </w:tc>
        <w:tc>
          <w:tcPr>
            <w:tcW w:w="60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9,994</w:t>
            </w:r>
          </w:p>
        </w:tc>
        <w:tc>
          <w:tcPr>
            <w:tcW w:w="82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19,988</w:t>
            </w:r>
          </w:p>
        </w:tc>
        <w:tc>
          <w:tcPr>
            <w:tcW w:w="70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0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7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500,000</w:t>
            </w:r>
          </w:p>
        </w:tc>
      </w:tr>
      <w:tr>
        <w:trPr/>
        <w:tc>
          <w:tcPr>
            <w:tcW w:w="826" w:type="dxa"/>
            <w:gridSpan w:val="3"/>
            <w:vMerge w:val="continue"/>
            <w:tcBorders>
              <w:bottom w:val="single" w:sz="12" w:space="0" w:color="E81111"/>
            </w:tcBorders>
            <w:tcMar>
              <w:top w:w="0" w:type="dxa"/>
              <w:left w:w="0" w:type="dxa"/>
              <w:bottom w:w="30" w:type="dxa"/>
              <w:right w:w="0" w:type="dxa"/>
            </w:tcMar>
            <w:vAlign w:val="center"/>
          </w:tcPr>
          <w:p>
            <w:pPr>
              <w:pStyle w:val="Normal"/>
              <w:bidi w:val="0"/>
              <w:jc w:val="left"/>
              <w:rPr/>
            </w:pPr>
            <w:r>
              <w:rPr/>
            </w:r>
          </w:p>
        </w:tc>
        <w:tc>
          <w:tcPr>
            <w:tcW w:w="1006"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0"/>
              <w:jc w:val="center"/>
              <w:rPr>
                <w:rFonts w:ascii="Roboto;sans-serif" w:hAnsi="Roboto;sans-serif"/>
                <w:b w:val="false"/>
                <w:color w:val="000000"/>
                <w:sz w:val="14"/>
              </w:rPr>
            </w:pPr>
            <w:r>
              <w:rPr>
                <w:rFonts w:ascii="Roboto;sans-serif" w:hAnsi="Roboto;sans-serif"/>
                <w:b w:val="false"/>
                <w:color w:val="000000"/>
                <w:sz w:val="14"/>
              </w:rPr>
              <w:t>Time RSUs</w:t>
            </w:r>
          </w:p>
        </w:tc>
        <w:tc>
          <w:tcPr>
            <w:tcW w:w="511"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3/25/2025</w:t>
            </w:r>
          </w:p>
        </w:tc>
        <w:tc>
          <w:tcPr>
            <w:tcW w:w="826"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top w:val="single" w:sz="4" w:space="0" w:color="1946C8"/>
              <w:bottom w:val="single" w:sz="12" w:space="0" w:color="E81111"/>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601"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706"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9,994</w:t>
            </w:r>
          </w:p>
        </w:tc>
        <w:tc>
          <w:tcPr>
            <w:tcW w:w="901"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871"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500,000</w:t>
            </w:r>
          </w:p>
        </w:tc>
      </w:tr>
    </w:tbl>
    <w:p>
      <w:pPr>
        <w:pStyle w:val="TextBody"/>
        <w:bidi w:val="0"/>
        <w:spacing w:lineRule="auto" w:line="288" w:before="0" w:after="6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 xml:space="preserve">1.Amounts in the “Estimated Future Payouts Under Non-Equity Incentive Plan Awards” column relate to amounts payable to each NEO with respect to 2025 under the Executive Bonus Plan at threshold, target and maximum levels of performance, in each case calculated by multiplying each NEO’s fiscal year end base salary level by the applicable percentage at which the bonus would pay out based on the combined weighted achievement of the Company and individual performance metrics at each such level. The actual amounts paid to our NEOs are set forth in the “Summary Compensation Table” above and the calculation of the actual amounts paid is discussed more fully in “2025 Executive Team Bonus Plan” in the Compensation Discussion and Analysis. </w:t>
      </w:r>
    </w:p>
    <w:p>
      <w:pPr>
        <w:pStyle w:val="TextBody"/>
        <w:bidi w:val="0"/>
        <w:spacing w:lineRule="auto" w:line="288" w:before="0" w:after="6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 xml:space="preserve">2.The vesting schedule applicable to each time-based RSU and performance-based RSU award is set forth in notes 11 and 13 to the “Outstanding Equity Awards at 2025 Fiscal Year End Table” table. </w:t>
      </w:r>
    </w:p>
    <w:p>
      <w:pPr>
        <w:pStyle w:val="TextBody"/>
        <w:bidi w:val="0"/>
        <w:spacing w:lineRule="auto" w:line="288" w:before="0" w:after="12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3.The amounts reported in this column represent the grant date fair value of the time-based RSUs, and performance-based RSUs granted to each of the NEOs in 2025, computed in accordance with FASB Accounting Standards Codification Topic 718, excluding the effects of estimated forfeitures. The valuation assumptions used in determining such amounts are described in Notes 2, Summary of Significant Accounting Policies, and 8, Share-Based Compensation to our audited consolidated financial statements included in our Annual Report. The grant date fair value of the performance-based RSUs, is based upon the probable outcome of the performance conditions at the date of grant and assumes the “target” level of performance is achieved.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263525"/>
                <wp:effectExtent l="0" t="0" r="0" b="0"/>
                <wp:wrapNone/>
                <wp:docPr id="403" name="Frame74"/>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404"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261" descr=""/>
                                          <pic:cNvPicPr>
                                            <a:picLocks noChangeAspect="1" noChangeArrowheads="1"/>
                                          </pic:cNvPicPr>
                                        </pic:nvPicPr>
                                        <pic:blipFill>
                                          <a:blip r:embed="rId331"/>
                                          <a:stretch>
                                            <a:fillRect/>
                                          </a:stretch>
                                        </pic:blipFill>
                                        <pic:spPr bwMode="auto">
                                          <a:xfrm>
                                            <a:off x="0" y="0"/>
                                            <a:ext cx="266700" cy="200025"/>
                                          </a:xfrm>
                                          <a:prstGeom prst="rect">
                                            <a:avLst/>
                                          </a:prstGeom>
                                        </pic:spPr>
                                      </pic:pic>
                                    </a:graphicData>
                                  </a:graphic>
                                </wp:inline>
                              </w:drawing>
                            </w:r>
                            <w:bookmarkStart w:id="330" w:name="i-261"/>
                            <w:bookmarkEnd w:id="33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405"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261" descr=""/>
                                    <pic:cNvPicPr>
                                      <a:picLocks noChangeAspect="1" noChangeArrowheads="1"/>
                                    </pic:cNvPicPr>
                                  </pic:nvPicPr>
                                  <pic:blipFill>
                                    <a:blip r:embed="rId332"/>
                                    <a:stretch>
                                      <a:fillRect/>
                                    </a:stretch>
                                  </pic:blipFill>
                                  <pic:spPr bwMode="auto">
                                    <a:xfrm>
                                      <a:off x="0" y="0"/>
                                      <a:ext cx="266700" cy="200025"/>
                                    </a:xfrm>
                                    <a:prstGeom prst="rect">
                                      <a:avLst/>
                                    </a:prstGeom>
                                  </pic:spPr>
                                </pic:pic>
                              </a:graphicData>
                            </a:graphic>
                          </wp:inline>
                        </w:drawing>
                      </w:r>
                      <w:bookmarkStart w:id="331" w:name="i-261"/>
                      <w:bookmarkEnd w:id="331"/>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69</w:t>
            </w:r>
          </w:p>
        </w:tc>
      </w:tr>
    </w:tbl>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Outstanding Equity Awards at 2025 Fiscal Year End</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The following table provides information with regard to the outstanding equity awards held by each NEO on January 31, 2026. </w:t>
      </w:r>
    </w:p>
    <w:tbl>
      <w:tblPr>
        <w:tblW w:w="10250" w:type="dxa"/>
        <w:jc w:val="left"/>
        <w:tblInd w:w="0" w:type="dxa"/>
        <w:tblLayout w:type="fixed"/>
        <w:tblCellMar>
          <w:top w:w="28" w:type="dxa"/>
          <w:left w:w="28" w:type="dxa"/>
          <w:bottom w:w="28" w:type="dxa"/>
          <w:right w:w="28" w:type="dxa"/>
        </w:tblCellMar>
      </w:tblPr>
      <w:tblGrid>
        <w:gridCol w:w="298"/>
        <w:gridCol w:w="262"/>
        <w:gridCol w:w="266"/>
        <w:gridCol w:w="170"/>
        <w:gridCol w:w="170"/>
        <w:gridCol w:w="171"/>
        <w:gridCol w:w="335"/>
        <w:gridCol w:w="335"/>
        <w:gridCol w:w="336"/>
        <w:gridCol w:w="380"/>
        <w:gridCol w:w="380"/>
        <w:gridCol w:w="381"/>
        <w:gridCol w:w="335"/>
        <w:gridCol w:w="335"/>
        <w:gridCol w:w="336"/>
        <w:gridCol w:w="240"/>
        <w:gridCol w:w="240"/>
        <w:gridCol w:w="241"/>
        <w:gridCol w:w="285"/>
        <w:gridCol w:w="285"/>
        <w:gridCol w:w="286"/>
        <w:gridCol w:w="109"/>
        <w:gridCol w:w="109"/>
        <w:gridCol w:w="109"/>
        <w:gridCol w:w="265"/>
        <w:gridCol w:w="265"/>
        <w:gridCol w:w="266"/>
        <w:gridCol w:w="405"/>
        <w:gridCol w:w="210"/>
        <w:gridCol w:w="211"/>
        <w:gridCol w:w="310"/>
        <w:gridCol w:w="310"/>
        <w:gridCol w:w="311"/>
        <w:gridCol w:w="310"/>
        <w:gridCol w:w="310"/>
        <w:gridCol w:w="311"/>
        <w:gridCol w:w="109"/>
        <w:gridCol w:w="109"/>
        <w:gridCol w:w="154"/>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center"/>
              <w:rPr>
                <w:color w:val="FFFFFF"/>
              </w:rPr>
            </w:pPr>
            <w:r>
              <w:rPr>
                <w:color w:val="FFFFFF"/>
              </w:rPr>
              <w:t> </w:t>
            </w:r>
          </w:p>
        </w:tc>
        <w:tc>
          <w:tcPr>
            <w:tcW w:w="511"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center"/>
              <w:rPr>
                <w:color w:val="FFFFFF"/>
              </w:rPr>
            </w:pPr>
            <w:r>
              <w:rPr>
                <w:color w:val="FFFFFF"/>
              </w:rPr>
              <w:t> </w:t>
            </w:r>
          </w:p>
        </w:tc>
        <w:tc>
          <w:tcPr>
            <w:tcW w:w="4730" w:type="dxa"/>
            <w:gridSpan w:val="15"/>
            <w:tcBorders/>
            <w:shd w:fill="1946C8" w:val="clear"/>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FFFFFF"/>
                <w:sz w:val="14"/>
              </w:rPr>
            </w:pPr>
            <w:r>
              <w:rPr>
                <w:rFonts w:ascii="Roboto;sans-serif" w:hAnsi="Roboto;sans-serif"/>
                <w:b/>
                <w:color w:val="FFFFFF"/>
                <w:sz w:val="14"/>
              </w:rPr>
              <w:t>Option Awards</w:t>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12"/>
            <w:tcBorders/>
            <w:shd w:fill="1946C8" w:val="clear"/>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FFFFFF"/>
                <w:sz w:val="14"/>
              </w:rPr>
            </w:pPr>
            <w:r>
              <w:rPr>
                <w:rFonts w:ascii="Roboto;sans-serif" w:hAnsi="Roboto;sans-serif"/>
                <w:b/>
                <w:color w:val="FFFFFF"/>
                <w:sz w:val="14"/>
              </w:rPr>
              <w:t>Stock Awards</w:t>
            </w:r>
          </w:p>
        </w:tc>
        <w:tc>
          <w:tcPr>
            <w:tcW w:w="37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FFFFFF"/>
                <w:sz w:val="14"/>
              </w:rPr>
            </w:pPr>
            <w:r>
              <w:rPr>
                <w:rFonts w:ascii="Roboto;sans-serif" w:hAnsi="Roboto;sans-serif"/>
                <w:b/>
                <w:color w:val="FFFFFF"/>
                <w:sz w:val="14"/>
              </w:rPr>
              <w:t>Name</w:t>
            </w:r>
          </w:p>
        </w:tc>
        <w:tc>
          <w:tcPr>
            <w:tcW w:w="511"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FFFFFF"/>
                <w:sz w:val="14"/>
              </w:rPr>
            </w:pPr>
            <w:r>
              <w:rPr>
                <w:rFonts w:ascii="Roboto;sans-serif" w:hAnsi="Roboto;sans-serif"/>
                <w:b/>
                <w:color w:val="FFFFFF"/>
                <w:sz w:val="14"/>
              </w:rPr>
              <w:t>Grant Date</w:t>
            </w:r>
          </w:p>
        </w:tc>
        <w:tc>
          <w:tcPr>
            <w:tcW w:w="1006"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4"/>
              </w:rPr>
            </w:pPr>
            <w:r>
              <w:rPr>
                <w:rFonts w:ascii="Roboto;sans-serif" w:hAnsi="Roboto;sans-serif"/>
                <w:b/>
                <w:color w:val="FFFFFF"/>
                <w:sz w:val="14"/>
              </w:rPr>
              <w:t xml:space="preserve">Number of Securities Underlying Unexercised Options Exercisable </w:t>
            </w:r>
          </w:p>
          <w:p>
            <w:pPr>
              <w:pStyle w:val="TableContents"/>
              <w:bidi w:val="0"/>
              <w:spacing w:lineRule="auto" w:line="312" w:before="0" w:after="0"/>
              <w:jc w:val="right"/>
              <w:rPr/>
            </w:pPr>
            <w:r>
              <w:rPr>
                <w:rFonts w:ascii="Roboto;sans-serif" w:hAnsi="Roboto;sans-serif"/>
                <w:b/>
                <w:color w:val="FFFFFF"/>
                <w:sz w:val="14"/>
              </w:rPr>
              <w:t>(#)</w:t>
            </w:r>
            <w:r>
              <w:rPr>
                <w:rFonts w:ascii="Roboto;sans-serif" w:hAnsi="Roboto;sans-serif"/>
                <w:b/>
                <w:color w:val="FFFFFF"/>
                <w:sz w:val="9"/>
              </w:rPr>
              <w:t>(1)</w:t>
            </w:r>
          </w:p>
        </w:tc>
        <w:tc>
          <w:tcPr>
            <w:tcW w:w="1141"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4"/>
              </w:rPr>
            </w:pPr>
            <w:r>
              <w:rPr>
                <w:rFonts w:ascii="Roboto;sans-serif" w:hAnsi="Roboto;sans-serif"/>
                <w:b/>
                <w:color w:val="FFFFFF"/>
                <w:sz w:val="14"/>
              </w:rPr>
              <w:t xml:space="preserve">Number of Securities Underlying Unexercised Options Unexercisable </w:t>
            </w:r>
          </w:p>
          <w:p>
            <w:pPr>
              <w:pStyle w:val="TableContents"/>
              <w:bidi w:val="0"/>
              <w:spacing w:lineRule="auto" w:line="312" w:before="0" w:after="0"/>
              <w:jc w:val="right"/>
              <w:rPr/>
            </w:pPr>
            <w:r>
              <w:rPr>
                <w:rFonts w:ascii="Roboto;sans-serif" w:hAnsi="Roboto;sans-serif"/>
                <w:b/>
                <w:color w:val="FFFFFF"/>
                <w:sz w:val="14"/>
              </w:rPr>
              <w:t>(#)</w:t>
            </w:r>
            <w:r>
              <w:rPr>
                <w:rFonts w:ascii="Roboto;sans-serif" w:hAnsi="Roboto;sans-serif"/>
                <w:b/>
                <w:color w:val="FFFFFF"/>
                <w:sz w:val="9"/>
              </w:rPr>
              <w:t>(2)</w:t>
            </w:r>
          </w:p>
        </w:tc>
        <w:tc>
          <w:tcPr>
            <w:tcW w:w="1006"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4"/>
              </w:rPr>
            </w:pPr>
            <w:r>
              <w:rPr>
                <w:rFonts w:ascii="Roboto;sans-serif" w:hAnsi="Roboto;sans-serif"/>
                <w:b/>
                <w:color w:val="FFFFFF"/>
                <w:sz w:val="14"/>
              </w:rPr>
              <w:t xml:space="preserve">Equity Incentive Plan Awards: Number of Securities Underlying Unexercised Unearned Options </w:t>
            </w:r>
          </w:p>
          <w:p>
            <w:pPr>
              <w:pStyle w:val="TableContents"/>
              <w:bidi w:val="0"/>
              <w:spacing w:lineRule="auto" w:line="312" w:before="0" w:after="0"/>
              <w:jc w:val="right"/>
              <w:rPr>
                <w:rFonts w:ascii="Roboto;sans-serif" w:hAnsi="Roboto;sans-serif"/>
                <w:b/>
                <w:color w:val="FFFFFF"/>
                <w:sz w:val="14"/>
              </w:rPr>
            </w:pPr>
            <w:r>
              <w:rPr>
                <w:rFonts w:ascii="Roboto;sans-serif" w:hAnsi="Roboto;sans-serif"/>
                <w:b/>
                <w:color w:val="FFFFFF"/>
                <w:sz w:val="14"/>
              </w:rPr>
              <w:t>(#)</w:t>
            </w:r>
          </w:p>
        </w:tc>
        <w:tc>
          <w:tcPr>
            <w:tcW w:w="721"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4"/>
              </w:rPr>
            </w:pPr>
            <w:r>
              <w:rPr>
                <w:rFonts w:ascii="Roboto;sans-serif" w:hAnsi="Roboto;sans-serif"/>
                <w:b/>
                <w:color w:val="FFFFFF"/>
                <w:sz w:val="14"/>
              </w:rPr>
              <w:t>Option Exercise Price</w:t>
            </w:r>
          </w:p>
          <w:p>
            <w:pPr>
              <w:pStyle w:val="TableContents"/>
              <w:bidi w:val="0"/>
              <w:spacing w:lineRule="auto" w:line="312" w:before="0" w:after="0"/>
              <w:jc w:val="right"/>
              <w:rPr>
                <w:rFonts w:ascii="Roboto;sans-serif" w:hAnsi="Roboto;sans-serif"/>
                <w:b/>
                <w:color w:val="FFFFFF"/>
                <w:sz w:val="14"/>
              </w:rPr>
            </w:pPr>
            <w:r>
              <w:rPr>
                <w:rFonts w:ascii="Roboto;sans-serif" w:hAnsi="Roboto;sans-serif"/>
                <w:b/>
                <w:color w:val="FFFFFF"/>
                <w:sz w:val="14"/>
              </w:rPr>
              <w:t>($)</w:t>
            </w:r>
          </w:p>
        </w:tc>
        <w:tc>
          <w:tcPr>
            <w:tcW w:w="856"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FFFFFF"/>
                <w:sz w:val="14"/>
              </w:rPr>
              <w:t>Option Expiration Date</w:t>
            </w:r>
            <w:r>
              <w:rPr>
                <w:rFonts w:ascii="Roboto;sans-serif" w:hAnsi="Roboto;sans-serif"/>
                <w:b/>
                <w:color w:val="FFFFFF"/>
                <w:sz w:val="9"/>
              </w:rPr>
              <w:t>(3)</w:t>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4"/>
              </w:rPr>
            </w:pPr>
            <w:r>
              <w:rPr>
                <w:rFonts w:ascii="Roboto;sans-serif" w:hAnsi="Roboto;sans-serif"/>
                <w:b/>
                <w:color w:val="FFFFFF"/>
                <w:sz w:val="14"/>
              </w:rPr>
              <w:t>Number of Shares of Stock that Have Not Vested</w:t>
            </w:r>
          </w:p>
          <w:p>
            <w:pPr>
              <w:pStyle w:val="TableContents"/>
              <w:bidi w:val="0"/>
              <w:spacing w:lineRule="auto" w:line="312" w:before="0" w:after="0"/>
              <w:jc w:val="right"/>
              <w:rPr/>
            </w:pPr>
            <w:r>
              <w:rPr>
                <w:rFonts w:ascii="Roboto;sans-serif" w:hAnsi="Roboto;sans-serif"/>
                <w:b/>
                <w:color w:val="FFFFFF"/>
                <w:sz w:val="14"/>
              </w:rPr>
              <w:t>(#)</w:t>
            </w:r>
            <w:r>
              <w:rPr>
                <w:rFonts w:ascii="Roboto;sans-serif" w:hAnsi="Roboto;sans-serif"/>
                <w:b/>
                <w:color w:val="FFFFFF"/>
                <w:sz w:val="9"/>
              </w:rPr>
              <w:t>(4)</w:t>
            </w:r>
          </w:p>
        </w:tc>
        <w:tc>
          <w:tcPr>
            <w:tcW w:w="826"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4"/>
              </w:rPr>
            </w:pPr>
            <w:r>
              <w:rPr>
                <w:rFonts w:ascii="Roboto;sans-serif" w:hAnsi="Roboto;sans-serif"/>
                <w:b/>
                <w:color w:val="FFFFFF"/>
                <w:sz w:val="14"/>
              </w:rPr>
              <w:t>Market Value of Shares of Stock That Have Not Vested</w:t>
            </w:r>
          </w:p>
          <w:p>
            <w:pPr>
              <w:pStyle w:val="TableContents"/>
              <w:bidi w:val="0"/>
              <w:spacing w:lineRule="auto" w:line="312" w:before="0" w:after="0"/>
              <w:jc w:val="right"/>
              <w:rPr/>
            </w:pPr>
            <w:r>
              <w:rPr>
                <w:rFonts w:ascii="Roboto;sans-serif" w:hAnsi="Roboto;sans-serif"/>
                <w:b/>
                <w:color w:val="FFFFFF"/>
                <w:sz w:val="14"/>
              </w:rPr>
              <w:t>($)</w:t>
            </w:r>
            <w:r>
              <w:rPr>
                <w:rFonts w:ascii="Roboto;sans-serif" w:hAnsi="Roboto;sans-serif"/>
                <w:b/>
                <w:color w:val="FFFFFF"/>
                <w:sz w:val="9"/>
              </w:rPr>
              <w:t>(5)</w:t>
            </w:r>
          </w:p>
        </w:tc>
        <w:tc>
          <w:tcPr>
            <w:tcW w:w="931"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4"/>
              </w:rPr>
            </w:pPr>
            <w:r>
              <w:rPr>
                <w:rFonts w:ascii="Roboto;sans-serif" w:hAnsi="Roboto;sans-serif"/>
                <w:b/>
                <w:color w:val="FFFFFF"/>
                <w:sz w:val="14"/>
              </w:rPr>
              <w:t>Equity Incentive Plan Awards: Number of Unearned Shares, or Other Rights That Have Not Vested</w:t>
            </w:r>
          </w:p>
          <w:p>
            <w:pPr>
              <w:pStyle w:val="TableContents"/>
              <w:bidi w:val="0"/>
              <w:spacing w:lineRule="auto" w:line="312" w:before="0" w:after="0"/>
              <w:jc w:val="right"/>
              <w:rPr/>
            </w:pPr>
            <w:r>
              <w:rPr>
                <w:rFonts w:ascii="Roboto;sans-serif" w:hAnsi="Roboto;sans-serif"/>
                <w:b/>
                <w:color w:val="FFFFFF"/>
                <w:sz w:val="14"/>
              </w:rPr>
              <w:t>(#)</w:t>
            </w:r>
            <w:r>
              <w:rPr>
                <w:rFonts w:ascii="Roboto;sans-serif" w:hAnsi="Roboto;sans-serif"/>
                <w:b/>
                <w:color w:val="FFFFFF"/>
                <w:sz w:val="9"/>
              </w:rPr>
              <w:t>(6)</w:t>
            </w:r>
          </w:p>
        </w:tc>
        <w:tc>
          <w:tcPr>
            <w:tcW w:w="931"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4"/>
              </w:rPr>
            </w:pPr>
            <w:r>
              <w:rPr>
                <w:rFonts w:ascii="Roboto;sans-serif" w:hAnsi="Roboto;sans-serif"/>
                <w:b/>
                <w:color w:val="FFFFFF"/>
                <w:sz w:val="14"/>
              </w:rPr>
              <w:t>Equity Incentive Plan Awards: Market or Payout Value of Unearned Shares, or Other Rights That Have Not Vested</w:t>
            </w:r>
          </w:p>
          <w:p>
            <w:pPr>
              <w:pStyle w:val="TableContents"/>
              <w:bidi w:val="0"/>
              <w:spacing w:lineRule="auto" w:line="312" w:before="0" w:after="0"/>
              <w:jc w:val="right"/>
              <w:rPr/>
            </w:pPr>
            <w:r>
              <w:rPr>
                <w:rFonts w:ascii="Roboto;sans-serif" w:hAnsi="Roboto;sans-serif"/>
                <w:b/>
                <w:color w:val="FFFFFF"/>
                <w:sz w:val="14"/>
              </w:rPr>
              <w:t>($)</w:t>
            </w:r>
            <w:r>
              <w:rPr>
                <w:rFonts w:ascii="Roboto;sans-serif" w:hAnsi="Roboto;sans-serif"/>
                <w:b/>
                <w:color w:val="FFFFFF"/>
                <w:sz w:val="9"/>
              </w:rPr>
              <w:t>(5)</w:t>
            </w:r>
          </w:p>
        </w:tc>
        <w:tc>
          <w:tcPr>
            <w:tcW w:w="37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restart"/>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000000"/>
                <w:sz w:val="14"/>
              </w:rPr>
            </w:pPr>
            <w:r>
              <w:rPr>
                <w:rFonts w:ascii="Roboto;sans-serif" w:hAnsi="Roboto;sans-serif"/>
                <w:b/>
                <w:color w:val="000000"/>
                <w:sz w:val="14"/>
              </w:rPr>
              <w:t>Steve Lawrence</w:t>
            </w:r>
          </w:p>
        </w:tc>
        <w:tc>
          <w:tcPr>
            <w:tcW w:w="51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3/31/2021</w:t>
            </w:r>
          </w:p>
        </w:tc>
        <w:tc>
          <w:tcPr>
            <w:tcW w:w="100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56,843</w:t>
            </w:r>
          </w:p>
        </w:tc>
        <w:tc>
          <w:tcPr>
            <w:tcW w:w="114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26.99</w:t>
            </w:r>
          </w:p>
        </w:tc>
        <w:tc>
          <w:tcPr>
            <w:tcW w:w="85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3/31/2031</w:t>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51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3/30/2022</w:t>
            </w:r>
            <w:r>
              <w:rPr>
                <w:rFonts w:ascii="Roboto;sans-serif" w:hAnsi="Roboto;sans-serif"/>
                <w:b w:val="false"/>
                <w:color w:val="000000"/>
                <w:sz w:val="9"/>
              </w:rPr>
              <w:t>(7)</w:t>
            </w:r>
          </w:p>
        </w:tc>
        <w:tc>
          <w:tcPr>
            <w:tcW w:w="100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4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5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27" w:type="dxa"/>
            <w:gridSpan w:val="3"/>
            <w:tcBorders>
              <w:top w:val="single" w:sz="4" w:space="0" w:color="1946C8"/>
            </w:tcBorders>
            <w:shd w:fill="ECF8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val="false"/>
                <w:color w:val="000000"/>
                <w:sz w:val="14"/>
              </w:rPr>
            </w:pPr>
            <w:r>
              <w:rPr>
                <w:rFonts w:ascii="Roboto;sans-serif" w:hAnsi="Roboto;sans-serif"/>
                <w:b w:val="false"/>
                <w:color w:val="000000"/>
                <w:sz w:val="14"/>
              </w:rPr>
              <w:t>540</w:t>
            </w:r>
          </w:p>
        </w:tc>
        <w:tc>
          <w:tcPr>
            <w:tcW w:w="8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val="false"/>
                <w:color w:val="000000"/>
                <w:sz w:val="14"/>
              </w:rPr>
            </w:pPr>
            <w:r>
              <w:rPr>
                <w:rFonts w:ascii="Roboto;sans-serif" w:hAnsi="Roboto;sans-serif"/>
                <w:b w:val="false"/>
                <w:color w:val="000000"/>
                <w:sz w:val="14"/>
              </w:rPr>
              <w:t>29,705</w:t>
            </w:r>
          </w:p>
        </w:tc>
        <w:tc>
          <w:tcPr>
            <w:tcW w:w="93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51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3/30/2022</w:t>
            </w:r>
            <w:r>
              <w:rPr>
                <w:rFonts w:ascii="Roboto;sans-serif" w:hAnsi="Roboto;sans-serif"/>
                <w:b w:val="false"/>
                <w:color w:val="000000"/>
                <w:sz w:val="9"/>
              </w:rPr>
              <w:t>(8)</w:t>
            </w:r>
          </w:p>
        </w:tc>
        <w:tc>
          <w:tcPr>
            <w:tcW w:w="100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30,521</w:t>
            </w:r>
          </w:p>
        </w:tc>
        <w:tc>
          <w:tcPr>
            <w:tcW w:w="114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10,174</w:t>
            </w:r>
          </w:p>
        </w:tc>
        <w:tc>
          <w:tcPr>
            <w:tcW w:w="100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39.17</w:t>
            </w:r>
          </w:p>
        </w:tc>
        <w:tc>
          <w:tcPr>
            <w:tcW w:w="85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3/30/2032</w:t>
            </w:r>
          </w:p>
        </w:tc>
        <w:tc>
          <w:tcPr>
            <w:tcW w:w="327" w:type="dxa"/>
            <w:gridSpan w:val="3"/>
            <w:tcBorders>
              <w:top w:val="single" w:sz="4" w:space="0" w:color="1946C8"/>
            </w:tcBorders>
            <w:shd w:fill="ECF8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51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3/21/2023</w:t>
            </w:r>
            <w:r>
              <w:rPr>
                <w:rFonts w:ascii="Roboto;sans-serif" w:hAnsi="Roboto;sans-serif"/>
                <w:b w:val="false"/>
                <w:color w:val="000000"/>
                <w:sz w:val="9"/>
              </w:rPr>
              <w:t>(9)</w:t>
            </w:r>
          </w:p>
        </w:tc>
        <w:tc>
          <w:tcPr>
            <w:tcW w:w="100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8,352</w:t>
            </w:r>
          </w:p>
        </w:tc>
        <w:tc>
          <w:tcPr>
            <w:tcW w:w="114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4,177</w:t>
            </w:r>
          </w:p>
        </w:tc>
        <w:tc>
          <w:tcPr>
            <w:tcW w:w="100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64.67</w:t>
            </w:r>
          </w:p>
        </w:tc>
        <w:tc>
          <w:tcPr>
            <w:tcW w:w="85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3/21/2033</w:t>
            </w:r>
          </w:p>
        </w:tc>
        <w:tc>
          <w:tcPr>
            <w:tcW w:w="327" w:type="dxa"/>
            <w:gridSpan w:val="3"/>
            <w:tcBorders>
              <w:top w:val="single" w:sz="4" w:space="0" w:color="1946C8"/>
            </w:tcBorders>
            <w:shd w:fill="ECF8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51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3/21/2023</w:t>
            </w:r>
            <w:r>
              <w:rPr>
                <w:rFonts w:ascii="Roboto;sans-serif" w:hAnsi="Roboto;sans-serif"/>
                <w:b w:val="false"/>
                <w:color w:val="000000"/>
                <w:sz w:val="9"/>
              </w:rPr>
              <w:t>(10)</w:t>
            </w:r>
          </w:p>
        </w:tc>
        <w:tc>
          <w:tcPr>
            <w:tcW w:w="100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4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5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27" w:type="dxa"/>
            <w:gridSpan w:val="3"/>
            <w:tcBorders>
              <w:top w:val="single" w:sz="4" w:space="0" w:color="1946C8"/>
            </w:tcBorders>
            <w:shd w:fill="ECF8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1,933</w:t>
            </w:r>
          </w:p>
        </w:tc>
        <w:tc>
          <w:tcPr>
            <w:tcW w:w="8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106,334</w:t>
            </w:r>
          </w:p>
        </w:tc>
        <w:tc>
          <w:tcPr>
            <w:tcW w:w="93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51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6/9/2023</w:t>
            </w:r>
            <w:r>
              <w:rPr>
                <w:rFonts w:ascii="Roboto;sans-serif" w:hAnsi="Roboto;sans-serif"/>
                <w:b w:val="false"/>
                <w:color w:val="000000"/>
                <w:sz w:val="9"/>
              </w:rPr>
              <w:t>(9)</w:t>
            </w:r>
          </w:p>
        </w:tc>
        <w:tc>
          <w:tcPr>
            <w:tcW w:w="100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40,128</w:t>
            </w:r>
          </w:p>
        </w:tc>
        <w:tc>
          <w:tcPr>
            <w:tcW w:w="114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20,064</w:t>
            </w:r>
          </w:p>
        </w:tc>
        <w:tc>
          <w:tcPr>
            <w:tcW w:w="100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50.42</w:t>
            </w:r>
          </w:p>
        </w:tc>
        <w:tc>
          <w:tcPr>
            <w:tcW w:w="85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6/9/2033</w:t>
            </w:r>
          </w:p>
        </w:tc>
        <w:tc>
          <w:tcPr>
            <w:tcW w:w="327" w:type="dxa"/>
            <w:gridSpan w:val="3"/>
            <w:tcBorders>
              <w:top w:val="single" w:sz="4" w:space="0" w:color="1946C8"/>
            </w:tcBorders>
            <w:shd w:fill="ECF8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51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6/9/2023</w:t>
            </w:r>
            <w:r>
              <w:rPr>
                <w:rFonts w:ascii="Roboto;sans-serif" w:hAnsi="Roboto;sans-serif"/>
                <w:b w:val="false"/>
                <w:color w:val="000000"/>
                <w:sz w:val="9"/>
              </w:rPr>
              <w:t>(10)</w:t>
            </w:r>
          </w:p>
        </w:tc>
        <w:tc>
          <w:tcPr>
            <w:tcW w:w="100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4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5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27" w:type="dxa"/>
            <w:gridSpan w:val="3"/>
            <w:tcBorders>
              <w:top w:val="single" w:sz="4" w:space="0" w:color="1946C8"/>
            </w:tcBorders>
            <w:shd w:fill="ECF8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9,917</w:t>
            </w:r>
          </w:p>
        </w:tc>
        <w:tc>
          <w:tcPr>
            <w:tcW w:w="8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545,534</w:t>
            </w:r>
          </w:p>
        </w:tc>
        <w:tc>
          <w:tcPr>
            <w:tcW w:w="93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51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3/26/2024</w:t>
            </w:r>
            <w:r>
              <w:rPr>
                <w:rFonts w:ascii="Roboto;sans-serif" w:hAnsi="Roboto;sans-serif"/>
                <w:b w:val="false"/>
                <w:color w:val="000000"/>
                <w:sz w:val="9"/>
              </w:rPr>
              <w:t>(11)</w:t>
            </w:r>
          </w:p>
        </w:tc>
        <w:tc>
          <w:tcPr>
            <w:tcW w:w="100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4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5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27" w:type="dxa"/>
            <w:gridSpan w:val="3"/>
            <w:tcBorders>
              <w:top w:val="single" w:sz="4" w:space="0" w:color="1946C8"/>
            </w:tcBorders>
            <w:shd w:fill="ECF8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val="false"/>
                <w:color w:val="000000"/>
                <w:sz w:val="14"/>
              </w:rPr>
            </w:pPr>
            <w:r>
              <w:rPr>
                <w:rFonts w:ascii="Roboto;sans-serif" w:hAnsi="Roboto;sans-serif"/>
                <w:b w:val="false"/>
                <w:color w:val="000000"/>
                <w:sz w:val="14"/>
              </w:rPr>
              <w:t>24,816</w:t>
            </w:r>
          </w:p>
        </w:tc>
        <w:tc>
          <w:tcPr>
            <w:tcW w:w="93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val="false"/>
                <w:color w:val="000000"/>
                <w:sz w:val="14"/>
              </w:rPr>
            </w:pPr>
            <w:r>
              <w:rPr>
                <w:rFonts w:ascii="Roboto;sans-serif" w:hAnsi="Roboto;sans-serif"/>
                <w:b w:val="false"/>
                <w:color w:val="000000"/>
                <w:sz w:val="14"/>
              </w:rPr>
              <w:t>1,365,128</w:t>
            </w:r>
          </w:p>
        </w:tc>
        <w:tc>
          <w:tcPr>
            <w:tcW w:w="37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51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3/26/2024</w:t>
            </w:r>
            <w:r>
              <w:rPr>
                <w:rFonts w:ascii="Roboto;sans-serif" w:hAnsi="Roboto;sans-serif"/>
                <w:b w:val="false"/>
                <w:color w:val="000000"/>
                <w:sz w:val="9"/>
              </w:rPr>
              <w:t>(10)</w:t>
            </w:r>
          </w:p>
        </w:tc>
        <w:tc>
          <w:tcPr>
            <w:tcW w:w="100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4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5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27" w:type="dxa"/>
            <w:gridSpan w:val="3"/>
            <w:tcBorders>
              <w:top w:val="single" w:sz="4" w:space="0" w:color="1946C8"/>
            </w:tcBorders>
            <w:shd w:fill="ECF8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33,089</w:t>
            </w:r>
          </w:p>
        </w:tc>
        <w:tc>
          <w:tcPr>
            <w:tcW w:w="8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1,820,226</w:t>
            </w:r>
          </w:p>
        </w:tc>
        <w:tc>
          <w:tcPr>
            <w:tcW w:w="93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51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3/25/2025</w:t>
            </w:r>
            <w:r>
              <w:rPr>
                <w:rFonts w:ascii="Roboto;sans-serif" w:hAnsi="Roboto;sans-serif"/>
                <w:b w:val="false"/>
                <w:color w:val="000000"/>
                <w:sz w:val="9"/>
              </w:rPr>
              <w:t>(12)</w:t>
            </w:r>
          </w:p>
        </w:tc>
        <w:tc>
          <w:tcPr>
            <w:tcW w:w="100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4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5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top w:val="single" w:sz="4" w:space="0" w:color="000000"/>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69,958</w:t>
            </w:r>
          </w:p>
        </w:tc>
        <w:tc>
          <w:tcPr>
            <w:tcW w:w="931" w:type="dxa"/>
            <w:gridSpan w:val="3"/>
            <w:tcBorders>
              <w:top w:val="single" w:sz="4" w:space="0" w:color="000000"/>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3,848,390</w:t>
            </w:r>
          </w:p>
        </w:tc>
        <w:tc>
          <w:tcPr>
            <w:tcW w:w="37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51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3/25/2025</w:t>
            </w:r>
            <w:r>
              <w:rPr>
                <w:rFonts w:ascii="Roboto;sans-serif" w:hAnsi="Roboto;sans-serif"/>
                <w:b w:val="false"/>
                <w:color w:val="000000"/>
                <w:sz w:val="9"/>
              </w:rPr>
              <w:t>(10)</w:t>
            </w:r>
          </w:p>
        </w:tc>
        <w:tc>
          <w:tcPr>
            <w:tcW w:w="100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4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5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69,958</w:t>
            </w:r>
          </w:p>
        </w:tc>
        <w:tc>
          <w:tcPr>
            <w:tcW w:w="82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3,848,390</w:t>
            </w:r>
          </w:p>
        </w:tc>
        <w:tc>
          <w:tcPr>
            <w:tcW w:w="93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restart"/>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000"/>
                <w:sz w:val="14"/>
              </w:rPr>
            </w:pPr>
            <w:r>
              <w:rPr>
                <w:rFonts w:ascii="Arial;sans-serif" w:hAnsi="Arial;sans-serif"/>
                <w:b/>
                <w:color w:val="000000"/>
                <w:sz w:val="14"/>
              </w:rPr>
              <w:t>Sam Johnson</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3/31/2021</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25,580</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26.99</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3/31/2031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1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3/30/2022</w:t>
            </w:r>
            <w:r>
              <w:rPr>
                <w:rFonts w:ascii="Roboto;sans-serif" w:hAnsi="Roboto;sans-serif"/>
                <w:b w:val="false"/>
                <w:color w:val="000000"/>
                <w:sz w:val="9"/>
              </w:rPr>
              <w:t>(7)</w:t>
            </w:r>
          </w:p>
        </w:tc>
        <w:tc>
          <w:tcPr>
            <w:tcW w:w="100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4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5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27" w:type="dxa"/>
            <w:gridSpan w:val="3"/>
            <w:tcBorders>
              <w:top w:val="single" w:sz="4" w:space="0" w:color="1946C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val="false"/>
                <w:color w:val="000000"/>
                <w:sz w:val="14"/>
              </w:rPr>
            </w:pPr>
            <w:r>
              <w:rPr>
                <w:rFonts w:ascii="Roboto;sans-serif" w:hAnsi="Roboto;sans-serif"/>
                <w:b w:val="false"/>
                <w:color w:val="000000"/>
                <w:sz w:val="14"/>
              </w:rPr>
              <w:t>540</w:t>
            </w:r>
          </w:p>
        </w:tc>
        <w:tc>
          <w:tcPr>
            <w:tcW w:w="82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val="false"/>
                <w:color w:val="000000"/>
                <w:sz w:val="14"/>
              </w:rPr>
            </w:pPr>
            <w:r>
              <w:rPr>
                <w:rFonts w:ascii="Roboto;sans-serif" w:hAnsi="Roboto;sans-serif"/>
                <w:b w:val="false"/>
                <w:color w:val="000000"/>
                <w:sz w:val="14"/>
              </w:rPr>
              <w:t>29,705</w:t>
            </w:r>
          </w:p>
        </w:tc>
        <w:tc>
          <w:tcPr>
            <w:tcW w:w="93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1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3/30/2022</w:t>
            </w:r>
            <w:r>
              <w:rPr>
                <w:rFonts w:ascii="Roboto;sans-serif" w:hAnsi="Roboto;sans-serif"/>
                <w:b w:val="false"/>
                <w:color w:val="000000"/>
                <w:sz w:val="9"/>
              </w:rPr>
              <w:t>(8)</w:t>
            </w:r>
          </w:p>
        </w:tc>
        <w:tc>
          <w:tcPr>
            <w:tcW w:w="100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30,521</w:t>
            </w:r>
          </w:p>
        </w:tc>
        <w:tc>
          <w:tcPr>
            <w:tcW w:w="114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10,174</w:t>
            </w:r>
          </w:p>
        </w:tc>
        <w:tc>
          <w:tcPr>
            <w:tcW w:w="100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39.17</w:t>
            </w:r>
          </w:p>
        </w:tc>
        <w:tc>
          <w:tcPr>
            <w:tcW w:w="85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3/30/2032</w:t>
            </w:r>
          </w:p>
        </w:tc>
        <w:tc>
          <w:tcPr>
            <w:tcW w:w="327" w:type="dxa"/>
            <w:gridSpan w:val="3"/>
            <w:tcBorders>
              <w:top w:val="single" w:sz="4" w:space="0" w:color="1946C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1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3/21/2023</w:t>
            </w:r>
            <w:r>
              <w:rPr>
                <w:rFonts w:ascii="Roboto;sans-serif" w:hAnsi="Roboto;sans-serif"/>
                <w:b w:val="false"/>
                <w:color w:val="000000"/>
                <w:sz w:val="9"/>
              </w:rPr>
              <w:t>(9)</w:t>
            </w:r>
          </w:p>
        </w:tc>
        <w:tc>
          <w:tcPr>
            <w:tcW w:w="100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8,352</w:t>
            </w:r>
          </w:p>
        </w:tc>
        <w:tc>
          <w:tcPr>
            <w:tcW w:w="114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4,177</w:t>
            </w:r>
          </w:p>
        </w:tc>
        <w:tc>
          <w:tcPr>
            <w:tcW w:w="100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64.67</w:t>
            </w:r>
          </w:p>
        </w:tc>
        <w:tc>
          <w:tcPr>
            <w:tcW w:w="85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3/21/2033</w:t>
            </w:r>
          </w:p>
        </w:tc>
        <w:tc>
          <w:tcPr>
            <w:tcW w:w="327" w:type="dxa"/>
            <w:gridSpan w:val="3"/>
            <w:tcBorders>
              <w:top w:val="single" w:sz="4" w:space="0" w:color="1946C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1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3/21/2023</w:t>
            </w:r>
            <w:r>
              <w:rPr>
                <w:rFonts w:ascii="Roboto;sans-serif" w:hAnsi="Roboto;sans-serif"/>
                <w:b w:val="false"/>
                <w:color w:val="000000"/>
                <w:sz w:val="9"/>
              </w:rPr>
              <w:t>(10)</w:t>
            </w:r>
          </w:p>
        </w:tc>
        <w:tc>
          <w:tcPr>
            <w:tcW w:w="100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4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5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27" w:type="dxa"/>
            <w:gridSpan w:val="3"/>
            <w:tcBorders>
              <w:top w:val="single" w:sz="4" w:space="0" w:color="1946C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1,933</w:t>
            </w:r>
          </w:p>
        </w:tc>
        <w:tc>
          <w:tcPr>
            <w:tcW w:w="82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106,334</w:t>
            </w:r>
          </w:p>
        </w:tc>
        <w:tc>
          <w:tcPr>
            <w:tcW w:w="93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1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6/9/2023</w:t>
            </w:r>
            <w:r>
              <w:rPr>
                <w:rFonts w:ascii="Roboto;sans-serif" w:hAnsi="Roboto;sans-serif"/>
                <w:b w:val="false"/>
                <w:color w:val="000000"/>
                <w:sz w:val="9"/>
              </w:rPr>
              <w:t>(9)</w:t>
            </w:r>
          </w:p>
        </w:tc>
        <w:tc>
          <w:tcPr>
            <w:tcW w:w="100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3,344</w:t>
            </w:r>
          </w:p>
        </w:tc>
        <w:tc>
          <w:tcPr>
            <w:tcW w:w="114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1,672</w:t>
            </w:r>
          </w:p>
        </w:tc>
        <w:tc>
          <w:tcPr>
            <w:tcW w:w="100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50.42</w:t>
            </w:r>
          </w:p>
        </w:tc>
        <w:tc>
          <w:tcPr>
            <w:tcW w:w="85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6/9/2033</w:t>
            </w:r>
          </w:p>
        </w:tc>
        <w:tc>
          <w:tcPr>
            <w:tcW w:w="327" w:type="dxa"/>
            <w:gridSpan w:val="3"/>
            <w:tcBorders>
              <w:top w:val="single" w:sz="4" w:space="0" w:color="1946C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1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6/9/2023</w:t>
            </w:r>
            <w:r>
              <w:rPr>
                <w:rFonts w:ascii="Roboto;sans-serif" w:hAnsi="Roboto;sans-serif"/>
                <w:b w:val="false"/>
                <w:color w:val="000000"/>
                <w:sz w:val="9"/>
              </w:rPr>
              <w:t>(10)</w:t>
            </w:r>
          </w:p>
        </w:tc>
        <w:tc>
          <w:tcPr>
            <w:tcW w:w="100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4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5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27" w:type="dxa"/>
            <w:gridSpan w:val="3"/>
            <w:tcBorders>
              <w:top w:val="single" w:sz="4" w:space="0" w:color="1946C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827</w:t>
            </w:r>
          </w:p>
        </w:tc>
        <w:tc>
          <w:tcPr>
            <w:tcW w:w="82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45,493</w:t>
            </w:r>
          </w:p>
        </w:tc>
        <w:tc>
          <w:tcPr>
            <w:tcW w:w="93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1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12/5/2023</w:t>
            </w:r>
            <w:r>
              <w:rPr>
                <w:rFonts w:ascii="Roboto;sans-serif" w:hAnsi="Roboto;sans-serif"/>
                <w:b w:val="false"/>
                <w:color w:val="000000"/>
                <w:sz w:val="9"/>
              </w:rPr>
              <w:t>(9)</w:t>
            </w:r>
          </w:p>
        </w:tc>
        <w:tc>
          <w:tcPr>
            <w:tcW w:w="100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6,561</w:t>
            </w:r>
          </w:p>
        </w:tc>
        <w:tc>
          <w:tcPr>
            <w:tcW w:w="114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3,281</w:t>
            </w:r>
          </w:p>
        </w:tc>
        <w:tc>
          <w:tcPr>
            <w:tcW w:w="100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54.61</w:t>
            </w:r>
          </w:p>
        </w:tc>
        <w:tc>
          <w:tcPr>
            <w:tcW w:w="85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12/5/2033</w:t>
            </w:r>
          </w:p>
        </w:tc>
        <w:tc>
          <w:tcPr>
            <w:tcW w:w="327" w:type="dxa"/>
            <w:gridSpan w:val="3"/>
            <w:tcBorders>
              <w:top w:val="single" w:sz="4" w:space="0" w:color="1946C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1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12/5/2023</w:t>
            </w:r>
            <w:r>
              <w:rPr>
                <w:rFonts w:ascii="Roboto;sans-serif" w:hAnsi="Roboto;sans-serif"/>
                <w:b w:val="false"/>
                <w:color w:val="000000"/>
                <w:sz w:val="9"/>
              </w:rPr>
              <w:t>(10)</w:t>
            </w:r>
          </w:p>
        </w:tc>
        <w:tc>
          <w:tcPr>
            <w:tcW w:w="100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4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5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27" w:type="dxa"/>
            <w:gridSpan w:val="3"/>
            <w:tcBorders>
              <w:top w:val="single" w:sz="4" w:space="0" w:color="1946C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1,526</w:t>
            </w:r>
          </w:p>
        </w:tc>
        <w:tc>
          <w:tcPr>
            <w:tcW w:w="82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83,945</w:t>
            </w:r>
          </w:p>
        </w:tc>
        <w:tc>
          <w:tcPr>
            <w:tcW w:w="93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1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3/26/2024</w:t>
            </w:r>
            <w:r>
              <w:rPr>
                <w:rFonts w:ascii="Roboto;sans-serif" w:hAnsi="Roboto;sans-serif"/>
                <w:b w:val="false"/>
                <w:color w:val="000000"/>
                <w:sz w:val="9"/>
              </w:rPr>
              <w:t>(11)</w:t>
            </w:r>
          </w:p>
        </w:tc>
        <w:tc>
          <w:tcPr>
            <w:tcW w:w="100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4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5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27" w:type="dxa"/>
            <w:gridSpan w:val="3"/>
            <w:tcBorders>
              <w:top w:val="single" w:sz="4" w:space="0" w:color="1946C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val="false"/>
                <w:color w:val="000000"/>
                <w:sz w:val="14"/>
              </w:rPr>
            </w:pPr>
            <w:r>
              <w:rPr>
                <w:rFonts w:ascii="Roboto;sans-serif" w:hAnsi="Roboto;sans-serif"/>
                <w:b w:val="false"/>
                <w:color w:val="000000"/>
                <w:sz w:val="14"/>
              </w:rPr>
              <w:t>11,453</w:t>
            </w:r>
          </w:p>
        </w:tc>
        <w:tc>
          <w:tcPr>
            <w:tcW w:w="93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val="false"/>
                <w:color w:val="000000"/>
                <w:sz w:val="14"/>
              </w:rPr>
            </w:pPr>
            <w:r>
              <w:rPr>
                <w:rFonts w:ascii="Roboto;sans-serif" w:hAnsi="Roboto;sans-serif"/>
                <w:b w:val="false"/>
                <w:color w:val="000000"/>
                <w:sz w:val="14"/>
              </w:rPr>
              <w:t>630,030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1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3/26/2024</w:t>
            </w:r>
            <w:r>
              <w:rPr>
                <w:rFonts w:ascii="Roboto;sans-serif" w:hAnsi="Roboto;sans-serif"/>
                <w:b w:val="false"/>
                <w:color w:val="000000"/>
                <w:sz w:val="9"/>
              </w:rPr>
              <w:t>(10)</w:t>
            </w:r>
          </w:p>
        </w:tc>
        <w:tc>
          <w:tcPr>
            <w:tcW w:w="100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4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5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27" w:type="dxa"/>
            <w:gridSpan w:val="3"/>
            <w:tcBorders>
              <w:top w:val="single" w:sz="4" w:space="0" w:color="1946C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15,272</w:t>
            </w:r>
          </w:p>
        </w:tc>
        <w:tc>
          <w:tcPr>
            <w:tcW w:w="826"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840,113</w:t>
            </w:r>
          </w:p>
        </w:tc>
        <w:tc>
          <w:tcPr>
            <w:tcW w:w="93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3/25/2025</w:t>
            </w:r>
            <w:r>
              <w:rPr>
                <w:rFonts w:ascii="Roboto;sans-serif" w:hAnsi="Roboto;sans-serif"/>
                <w:b w:val="false"/>
                <w:color w:val="000000"/>
                <w:sz w:val="9"/>
              </w:rPr>
              <w:t>(12)</w:t>
            </w:r>
          </w:p>
        </w:tc>
        <w:tc>
          <w:tcPr>
            <w:tcW w:w="1006"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4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6"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56"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26"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29,982</w:t>
            </w:r>
          </w:p>
        </w:tc>
        <w:tc>
          <w:tcPr>
            <w:tcW w:w="93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1,649,310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1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3/25/2025</w:t>
            </w:r>
            <w:r>
              <w:rPr>
                <w:rFonts w:ascii="Roboto;sans-serif" w:hAnsi="Roboto;sans-serif"/>
                <w:b w:val="false"/>
                <w:color w:val="000000"/>
                <w:sz w:val="9"/>
              </w:rPr>
              <w:t>(10)</w:t>
            </w:r>
          </w:p>
        </w:tc>
        <w:tc>
          <w:tcPr>
            <w:tcW w:w="1006"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4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06"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56"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29,982</w:t>
            </w:r>
          </w:p>
        </w:tc>
        <w:tc>
          <w:tcPr>
            <w:tcW w:w="826"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1,649,310</w:t>
            </w:r>
          </w:p>
        </w:tc>
        <w:tc>
          <w:tcPr>
            <w:tcW w:w="93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3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263525"/>
                <wp:effectExtent l="0" t="0" r="0" b="0"/>
                <wp:wrapNone/>
                <wp:docPr id="406" name="Frame75"/>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407"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262" descr=""/>
                                          <pic:cNvPicPr>
                                            <a:picLocks noChangeAspect="1" noChangeArrowheads="1"/>
                                          </pic:cNvPicPr>
                                        </pic:nvPicPr>
                                        <pic:blipFill>
                                          <a:blip r:embed="rId333"/>
                                          <a:stretch>
                                            <a:fillRect/>
                                          </a:stretch>
                                        </pic:blipFill>
                                        <pic:spPr bwMode="auto">
                                          <a:xfrm>
                                            <a:off x="0" y="0"/>
                                            <a:ext cx="266700" cy="200025"/>
                                          </a:xfrm>
                                          <a:prstGeom prst="rect">
                                            <a:avLst/>
                                          </a:prstGeom>
                                        </pic:spPr>
                                      </pic:pic>
                                    </a:graphicData>
                                  </a:graphic>
                                </wp:inline>
                              </w:drawing>
                            </w:r>
                            <w:bookmarkStart w:id="332" w:name="i-262"/>
                            <w:bookmarkEnd w:id="33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408"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262" descr=""/>
                                    <pic:cNvPicPr>
                                      <a:picLocks noChangeAspect="1" noChangeArrowheads="1"/>
                                    </pic:cNvPicPr>
                                  </pic:nvPicPr>
                                  <pic:blipFill>
                                    <a:blip r:embed="rId334"/>
                                    <a:stretch>
                                      <a:fillRect/>
                                    </a:stretch>
                                  </pic:blipFill>
                                  <pic:spPr bwMode="auto">
                                    <a:xfrm>
                                      <a:off x="0" y="0"/>
                                      <a:ext cx="266700" cy="200025"/>
                                    </a:xfrm>
                                    <a:prstGeom prst="rect">
                                      <a:avLst/>
                                    </a:prstGeom>
                                  </pic:spPr>
                                </pic:pic>
                              </a:graphicData>
                            </a:graphic>
                          </wp:inline>
                        </w:drawing>
                      </w:r>
                      <w:bookmarkStart w:id="333" w:name="i-262"/>
                      <w:bookmarkEnd w:id="333"/>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tbl>
      <w:tblPr>
        <w:tblW w:w="10205" w:type="dxa"/>
        <w:jc w:val="left"/>
        <w:tblInd w:w="0" w:type="dxa"/>
        <w:tblLayout w:type="fixed"/>
        <w:tblCellMar>
          <w:top w:w="28" w:type="dxa"/>
          <w:left w:w="28" w:type="dxa"/>
          <w:bottom w:w="28" w:type="dxa"/>
          <w:right w:w="28" w:type="dxa"/>
        </w:tblCellMar>
      </w:tblPr>
      <w:tblGrid>
        <w:gridCol w:w="261"/>
        <w:gridCol w:w="177"/>
        <w:gridCol w:w="178"/>
        <w:gridCol w:w="171"/>
        <w:gridCol w:w="171"/>
        <w:gridCol w:w="172"/>
        <w:gridCol w:w="345"/>
        <w:gridCol w:w="345"/>
        <w:gridCol w:w="346"/>
        <w:gridCol w:w="390"/>
        <w:gridCol w:w="390"/>
        <w:gridCol w:w="391"/>
        <w:gridCol w:w="351"/>
        <w:gridCol w:w="351"/>
        <w:gridCol w:w="352"/>
        <w:gridCol w:w="242"/>
        <w:gridCol w:w="242"/>
        <w:gridCol w:w="243"/>
        <w:gridCol w:w="287"/>
        <w:gridCol w:w="287"/>
        <w:gridCol w:w="288"/>
        <w:gridCol w:w="109"/>
        <w:gridCol w:w="109"/>
        <w:gridCol w:w="109"/>
        <w:gridCol w:w="272"/>
        <w:gridCol w:w="272"/>
        <w:gridCol w:w="273"/>
        <w:gridCol w:w="278"/>
        <w:gridCol w:w="219"/>
        <w:gridCol w:w="220"/>
        <w:gridCol w:w="327"/>
        <w:gridCol w:w="327"/>
        <w:gridCol w:w="328"/>
        <w:gridCol w:w="330"/>
        <w:gridCol w:w="330"/>
        <w:gridCol w:w="331"/>
        <w:gridCol w:w="109"/>
        <w:gridCol w:w="109"/>
        <w:gridCol w:w="173"/>
      </w:tblGrid>
      <w:tr>
        <w:trPr/>
        <w:tc>
          <w:tcPr>
            <w:tcW w:w="26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center"/>
              <w:rPr>
                <w:color w:val="FFFFFF"/>
              </w:rPr>
            </w:pPr>
            <w:r>
              <w:rPr>
                <w:color w:val="FFFFFF"/>
              </w:rPr>
              <w:t> </w:t>
            </w:r>
          </w:p>
        </w:tc>
        <w:tc>
          <w:tcPr>
            <w:tcW w:w="514"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center"/>
              <w:rPr>
                <w:color w:val="FFFFFF"/>
              </w:rPr>
            </w:pPr>
            <w:r>
              <w:rPr>
                <w:color w:val="FFFFFF"/>
              </w:rPr>
              <w:t> </w:t>
            </w:r>
          </w:p>
        </w:tc>
        <w:tc>
          <w:tcPr>
            <w:tcW w:w="4850" w:type="dxa"/>
            <w:gridSpan w:val="15"/>
            <w:tcBorders/>
            <w:shd w:fill="1946C8" w:val="clear"/>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FFFFFF"/>
                <w:sz w:val="14"/>
              </w:rPr>
            </w:pPr>
            <w:r>
              <w:rPr>
                <w:rFonts w:ascii="Roboto;sans-serif" w:hAnsi="Roboto;sans-serif"/>
                <w:b/>
                <w:color w:val="FFFFFF"/>
                <w:sz w:val="14"/>
              </w:rPr>
              <w:t>Option Awards</w:t>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2"/>
            <w:tcBorders/>
            <w:shd w:fill="1946C8" w:val="clear"/>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FFFFFF"/>
                <w:sz w:val="14"/>
              </w:rPr>
            </w:pPr>
            <w:r>
              <w:rPr>
                <w:rFonts w:ascii="Roboto;sans-serif" w:hAnsi="Roboto;sans-serif"/>
                <w:b/>
                <w:color w:val="FFFFFF"/>
                <w:sz w:val="14"/>
              </w:rPr>
              <w:t>Stock Awards</w:t>
            </w:r>
          </w:p>
        </w:tc>
        <w:tc>
          <w:tcPr>
            <w:tcW w:w="39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FFFFFF"/>
                <w:sz w:val="14"/>
              </w:rPr>
            </w:pPr>
            <w:r>
              <w:rPr>
                <w:rFonts w:ascii="Roboto;sans-serif" w:hAnsi="Roboto;sans-serif"/>
                <w:b/>
                <w:color w:val="FFFFFF"/>
                <w:sz w:val="14"/>
              </w:rPr>
              <w:t>Name</w:t>
            </w:r>
          </w:p>
        </w:tc>
        <w:tc>
          <w:tcPr>
            <w:tcW w:w="514"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FFFFFF"/>
                <w:sz w:val="14"/>
              </w:rPr>
            </w:pPr>
            <w:r>
              <w:rPr>
                <w:rFonts w:ascii="Roboto;sans-serif" w:hAnsi="Roboto;sans-serif"/>
                <w:b/>
                <w:color w:val="FFFFFF"/>
                <w:sz w:val="14"/>
              </w:rPr>
              <w:t>Grant Date</w:t>
            </w:r>
          </w:p>
        </w:tc>
        <w:tc>
          <w:tcPr>
            <w:tcW w:w="1036"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4"/>
              </w:rPr>
            </w:pPr>
            <w:r>
              <w:rPr>
                <w:rFonts w:ascii="Roboto;sans-serif" w:hAnsi="Roboto;sans-serif"/>
                <w:b/>
                <w:color w:val="FFFFFF"/>
                <w:sz w:val="14"/>
              </w:rPr>
              <w:t xml:space="preserve">Number of Securities Underlying Unexercised Options Exercisable </w:t>
            </w:r>
          </w:p>
          <w:p>
            <w:pPr>
              <w:pStyle w:val="TableContents"/>
              <w:bidi w:val="0"/>
              <w:spacing w:lineRule="auto" w:line="312" w:before="0" w:after="0"/>
              <w:jc w:val="right"/>
              <w:rPr/>
            </w:pPr>
            <w:r>
              <w:rPr>
                <w:rFonts w:ascii="Roboto;sans-serif" w:hAnsi="Roboto;sans-serif"/>
                <w:b/>
                <w:color w:val="FFFFFF"/>
                <w:sz w:val="14"/>
              </w:rPr>
              <w:t>(#)</w:t>
            </w:r>
            <w:r>
              <w:rPr>
                <w:rFonts w:ascii="Roboto;sans-serif" w:hAnsi="Roboto;sans-serif"/>
                <w:b/>
                <w:color w:val="FFFFFF"/>
                <w:sz w:val="9"/>
              </w:rPr>
              <w:t>(1)</w:t>
            </w:r>
          </w:p>
        </w:tc>
        <w:tc>
          <w:tcPr>
            <w:tcW w:w="1171"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4"/>
              </w:rPr>
            </w:pPr>
            <w:r>
              <w:rPr>
                <w:rFonts w:ascii="Roboto;sans-serif" w:hAnsi="Roboto;sans-serif"/>
                <w:b/>
                <w:color w:val="FFFFFF"/>
                <w:sz w:val="14"/>
              </w:rPr>
              <w:t xml:space="preserve">Number of Securities Underlying Unexercised Options Unexercisable </w:t>
            </w:r>
          </w:p>
          <w:p>
            <w:pPr>
              <w:pStyle w:val="TableContents"/>
              <w:bidi w:val="0"/>
              <w:spacing w:lineRule="auto" w:line="312" w:before="0" w:after="0"/>
              <w:jc w:val="right"/>
              <w:rPr/>
            </w:pPr>
            <w:r>
              <w:rPr>
                <w:rFonts w:ascii="Roboto;sans-serif" w:hAnsi="Roboto;sans-serif"/>
                <w:b/>
                <w:color w:val="FFFFFF"/>
                <w:sz w:val="14"/>
              </w:rPr>
              <w:t>(#)</w:t>
            </w:r>
            <w:r>
              <w:rPr>
                <w:rFonts w:ascii="Roboto;sans-serif" w:hAnsi="Roboto;sans-serif"/>
                <w:b/>
                <w:color w:val="FFFFFF"/>
                <w:sz w:val="9"/>
              </w:rPr>
              <w:t>(2)</w:t>
            </w:r>
          </w:p>
        </w:tc>
        <w:tc>
          <w:tcPr>
            <w:tcW w:w="1054"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4"/>
              </w:rPr>
            </w:pPr>
            <w:r>
              <w:rPr>
                <w:rFonts w:ascii="Roboto;sans-serif" w:hAnsi="Roboto;sans-serif"/>
                <w:b/>
                <w:color w:val="FFFFFF"/>
                <w:sz w:val="14"/>
              </w:rPr>
              <w:t xml:space="preserve">Equity Incentive Plan Awards: Number of Securities Underlying Unexercised Unearned Options </w:t>
            </w:r>
          </w:p>
          <w:p>
            <w:pPr>
              <w:pStyle w:val="TableContents"/>
              <w:bidi w:val="0"/>
              <w:spacing w:lineRule="auto" w:line="312" w:before="0" w:after="0"/>
              <w:jc w:val="right"/>
              <w:rPr>
                <w:rFonts w:ascii="Roboto;sans-serif" w:hAnsi="Roboto;sans-serif"/>
                <w:b/>
                <w:color w:val="FFFFFF"/>
                <w:sz w:val="14"/>
              </w:rPr>
            </w:pPr>
            <w:r>
              <w:rPr>
                <w:rFonts w:ascii="Roboto;sans-serif" w:hAnsi="Roboto;sans-serif"/>
                <w:b/>
                <w:color w:val="FFFFFF"/>
                <w:sz w:val="14"/>
              </w:rPr>
              <w:t>(#)</w:t>
            </w:r>
          </w:p>
        </w:tc>
        <w:tc>
          <w:tcPr>
            <w:tcW w:w="727"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4"/>
              </w:rPr>
            </w:pPr>
            <w:r>
              <w:rPr>
                <w:rFonts w:ascii="Roboto;sans-serif" w:hAnsi="Roboto;sans-serif"/>
                <w:b/>
                <w:color w:val="FFFFFF"/>
                <w:sz w:val="14"/>
              </w:rPr>
              <w:t>Option Exercise Price</w:t>
            </w:r>
          </w:p>
          <w:p>
            <w:pPr>
              <w:pStyle w:val="TableContents"/>
              <w:bidi w:val="0"/>
              <w:spacing w:lineRule="auto" w:line="312" w:before="0" w:after="0"/>
              <w:jc w:val="right"/>
              <w:rPr>
                <w:rFonts w:ascii="Roboto;sans-serif" w:hAnsi="Roboto;sans-serif"/>
                <w:b/>
                <w:color w:val="FFFFFF"/>
                <w:sz w:val="14"/>
              </w:rPr>
            </w:pPr>
            <w:r>
              <w:rPr>
                <w:rFonts w:ascii="Roboto;sans-serif" w:hAnsi="Roboto;sans-serif"/>
                <w:b/>
                <w:color w:val="FFFFFF"/>
                <w:sz w:val="14"/>
              </w:rPr>
              <w:t>($)</w:t>
            </w:r>
          </w:p>
        </w:tc>
        <w:tc>
          <w:tcPr>
            <w:tcW w:w="862"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color w:val="FFFFFF"/>
                <w:sz w:val="14"/>
              </w:rPr>
              <w:t>Option Expiration Date</w:t>
            </w:r>
            <w:r>
              <w:rPr>
                <w:rFonts w:ascii="Roboto;sans-serif" w:hAnsi="Roboto;sans-serif"/>
                <w:b/>
                <w:color w:val="FFFFFF"/>
                <w:sz w:val="9"/>
              </w:rPr>
              <w:t>(3)</w:t>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4"/>
              </w:rPr>
            </w:pPr>
            <w:r>
              <w:rPr>
                <w:rFonts w:ascii="Roboto;sans-serif" w:hAnsi="Roboto;sans-serif"/>
                <w:b/>
                <w:color w:val="FFFFFF"/>
                <w:sz w:val="14"/>
              </w:rPr>
              <w:t>Number of Shares of Stock that Have Not Vested</w:t>
            </w:r>
          </w:p>
          <w:p>
            <w:pPr>
              <w:pStyle w:val="TableContents"/>
              <w:bidi w:val="0"/>
              <w:spacing w:lineRule="auto" w:line="312" w:before="0" w:after="0"/>
              <w:jc w:val="right"/>
              <w:rPr/>
            </w:pPr>
            <w:r>
              <w:rPr>
                <w:rFonts w:ascii="Roboto;sans-serif" w:hAnsi="Roboto;sans-serif"/>
                <w:b/>
                <w:color w:val="FFFFFF"/>
                <w:sz w:val="14"/>
              </w:rPr>
              <w:t>(#)</w:t>
            </w:r>
            <w:r>
              <w:rPr>
                <w:rFonts w:ascii="Roboto;sans-serif" w:hAnsi="Roboto;sans-serif"/>
                <w:b/>
                <w:color w:val="FFFFFF"/>
                <w:sz w:val="9"/>
              </w:rPr>
              <w:t>(4)</w:t>
            </w:r>
          </w:p>
        </w:tc>
        <w:tc>
          <w:tcPr>
            <w:tcW w:w="717"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4"/>
              </w:rPr>
            </w:pPr>
            <w:r>
              <w:rPr>
                <w:rFonts w:ascii="Roboto;sans-serif" w:hAnsi="Roboto;sans-serif"/>
                <w:b/>
                <w:color w:val="FFFFFF"/>
                <w:sz w:val="14"/>
              </w:rPr>
              <w:t>Market Value of Shares of Stock That Have Not Vested</w:t>
            </w:r>
          </w:p>
          <w:p>
            <w:pPr>
              <w:pStyle w:val="TableContents"/>
              <w:bidi w:val="0"/>
              <w:spacing w:lineRule="auto" w:line="312" w:before="0" w:after="0"/>
              <w:jc w:val="right"/>
              <w:rPr/>
            </w:pPr>
            <w:r>
              <w:rPr>
                <w:rFonts w:ascii="Roboto;sans-serif" w:hAnsi="Roboto;sans-serif"/>
                <w:b/>
                <w:color w:val="FFFFFF"/>
                <w:sz w:val="14"/>
              </w:rPr>
              <w:t>($)</w:t>
            </w:r>
            <w:r>
              <w:rPr>
                <w:rFonts w:ascii="Roboto;sans-serif" w:hAnsi="Roboto;sans-serif"/>
                <w:b/>
                <w:color w:val="FFFFFF"/>
                <w:sz w:val="9"/>
              </w:rPr>
              <w:t>(5)</w:t>
            </w:r>
          </w:p>
        </w:tc>
        <w:tc>
          <w:tcPr>
            <w:tcW w:w="982"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4"/>
              </w:rPr>
            </w:pPr>
            <w:r>
              <w:rPr>
                <w:rFonts w:ascii="Roboto;sans-serif" w:hAnsi="Roboto;sans-serif"/>
                <w:b/>
                <w:color w:val="FFFFFF"/>
                <w:sz w:val="14"/>
              </w:rPr>
              <w:t>Equity Incentive Plan Awards: Number of Unearned Shares, or Other Rights That Have Not Vested</w:t>
            </w:r>
          </w:p>
          <w:p>
            <w:pPr>
              <w:pStyle w:val="TableContents"/>
              <w:bidi w:val="0"/>
              <w:spacing w:lineRule="auto" w:line="312" w:before="0" w:after="0"/>
              <w:jc w:val="right"/>
              <w:rPr/>
            </w:pPr>
            <w:r>
              <w:rPr>
                <w:rFonts w:ascii="Roboto;sans-serif" w:hAnsi="Roboto;sans-serif"/>
                <w:b/>
                <w:color w:val="FFFFFF"/>
                <w:sz w:val="14"/>
              </w:rPr>
              <w:t>(#)</w:t>
            </w:r>
            <w:r>
              <w:rPr>
                <w:rFonts w:ascii="Roboto;sans-serif" w:hAnsi="Roboto;sans-serif"/>
                <w:b/>
                <w:color w:val="FFFFFF"/>
                <w:sz w:val="9"/>
              </w:rPr>
              <w:t>(6)</w:t>
            </w:r>
          </w:p>
        </w:tc>
        <w:tc>
          <w:tcPr>
            <w:tcW w:w="991"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4"/>
              </w:rPr>
            </w:pPr>
            <w:r>
              <w:rPr>
                <w:rFonts w:ascii="Roboto;sans-serif" w:hAnsi="Roboto;sans-serif"/>
                <w:b/>
                <w:color w:val="FFFFFF"/>
                <w:sz w:val="14"/>
              </w:rPr>
              <w:t>Equity Incentive Plan Awards: Market or Payout Value of Unearned Shares, or Other Rights That Have Not Vested</w:t>
            </w:r>
          </w:p>
          <w:p>
            <w:pPr>
              <w:pStyle w:val="TableContents"/>
              <w:bidi w:val="0"/>
              <w:spacing w:lineRule="auto" w:line="312" w:before="0" w:after="0"/>
              <w:jc w:val="right"/>
              <w:rPr/>
            </w:pPr>
            <w:r>
              <w:rPr>
                <w:rFonts w:ascii="Roboto;sans-serif" w:hAnsi="Roboto;sans-serif"/>
                <w:b/>
                <w:color w:val="FFFFFF"/>
                <w:sz w:val="14"/>
              </w:rPr>
              <w:t>($)</w:t>
            </w:r>
            <w:r>
              <w:rPr>
                <w:rFonts w:ascii="Roboto;sans-serif" w:hAnsi="Roboto;sans-serif"/>
                <w:b/>
                <w:color w:val="FFFFFF"/>
                <w:sz w:val="9"/>
              </w:rPr>
              <w:t>(5)</w:t>
            </w:r>
          </w:p>
        </w:tc>
        <w:tc>
          <w:tcPr>
            <w:tcW w:w="39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restart"/>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000000"/>
                <w:sz w:val="14"/>
              </w:rPr>
            </w:pPr>
            <w:r>
              <w:rPr>
                <w:rFonts w:ascii="Roboto;sans-serif" w:hAnsi="Roboto;sans-serif"/>
                <w:b/>
                <w:color w:val="000000"/>
                <w:sz w:val="14"/>
              </w:rPr>
              <w:t>Carl Ford</w:t>
            </w:r>
          </w:p>
        </w:tc>
        <w:tc>
          <w:tcPr>
            <w:tcW w:w="514"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3/31/2021</w:t>
            </w:r>
          </w:p>
        </w:tc>
        <w:tc>
          <w:tcPr>
            <w:tcW w:w="103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11,368</w:t>
            </w:r>
          </w:p>
        </w:tc>
        <w:tc>
          <w:tcPr>
            <w:tcW w:w="117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54"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7"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26.99</w:t>
            </w:r>
          </w:p>
        </w:tc>
        <w:tc>
          <w:tcPr>
            <w:tcW w:w="862"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3/31/2031</w:t>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7"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82"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9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514"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3/30/2022</w:t>
            </w:r>
            <w:r>
              <w:rPr>
                <w:rFonts w:ascii="Roboto;sans-serif" w:hAnsi="Roboto;sans-serif"/>
                <w:b w:val="false"/>
                <w:color w:val="000000"/>
                <w:sz w:val="9"/>
              </w:rPr>
              <w:t>(7)</w:t>
            </w:r>
          </w:p>
        </w:tc>
        <w:tc>
          <w:tcPr>
            <w:tcW w:w="103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7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54"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7"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62"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27" w:type="dxa"/>
            <w:gridSpan w:val="3"/>
            <w:tcBorders>
              <w:top w:val="single" w:sz="4" w:space="0" w:color="1946C8"/>
            </w:tcBorders>
            <w:shd w:fill="ECF8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val="false"/>
                <w:color w:val="000000"/>
                <w:sz w:val="14"/>
              </w:rPr>
            </w:pPr>
            <w:r>
              <w:rPr>
                <w:rFonts w:ascii="Roboto;sans-serif" w:hAnsi="Roboto;sans-serif"/>
                <w:b w:val="false"/>
                <w:color w:val="000000"/>
                <w:sz w:val="14"/>
              </w:rPr>
              <w:t>135</w:t>
            </w:r>
          </w:p>
        </w:tc>
        <w:tc>
          <w:tcPr>
            <w:tcW w:w="717"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val="false"/>
                <w:color w:val="000000"/>
                <w:sz w:val="14"/>
              </w:rPr>
            </w:pPr>
            <w:r>
              <w:rPr>
                <w:rFonts w:ascii="Roboto;sans-serif" w:hAnsi="Roboto;sans-serif"/>
                <w:b w:val="false"/>
                <w:color w:val="000000"/>
                <w:sz w:val="14"/>
              </w:rPr>
              <w:t>7,426</w:t>
            </w:r>
          </w:p>
        </w:tc>
        <w:tc>
          <w:tcPr>
            <w:tcW w:w="982"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9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514"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3/30/2022</w:t>
            </w:r>
            <w:r>
              <w:rPr>
                <w:rFonts w:ascii="Roboto;sans-serif" w:hAnsi="Roboto;sans-serif"/>
                <w:b w:val="false"/>
                <w:color w:val="000000"/>
                <w:sz w:val="9"/>
              </w:rPr>
              <w:t>(8)</w:t>
            </w:r>
          </w:p>
        </w:tc>
        <w:tc>
          <w:tcPr>
            <w:tcW w:w="103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7,629</w:t>
            </w:r>
          </w:p>
        </w:tc>
        <w:tc>
          <w:tcPr>
            <w:tcW w:w="117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2,544</w:t>
            </w:r>
          </w:p>
        </w:tc>
        <w:tc>
          <w:tcPr>
            <w:tcW w:w="1054"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7"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39.17</w:t>
            </w:r>
          </w:p>
        </w:tc>
        <w:tc>
          <w:tcPr>
            <w:tcW w:w="862"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3/30/2032</w:t>
            </w:r>
          </w:p>
        </w:tc>
        <w:tc>
          <w:tcPr>
            <w:tcW w:w="327" w:type="dxa"/>
            <w:gridSpan w:val="3"/>
            <w:tcBorders>
              <w:top w:val="single" w:sz="4" w:space="0" w:color="1946C8"/>
            </w:tcBorders>
            <w:shd w:fill="ECF8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7"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82"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9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514"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3/21/2023</w:t>
            </w:r>
            <w:r>
              <w:rPr>
                <w:rFonts w:ascii="Roboto;sans-serif" w:hAnsi="Roboto;sans-serif"/>
                <w:b w:val="false"/>
                <w:color w:val="000000"/>
                <w:sz w:val="9"/>
              </w:rPr>
              <w:t>(10)</w:t>
            </w:r>
          </w:p>
        </w:tc>
        <w:tc>
          <w:tcPr>
            <w:tcW w:w="103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7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54"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7"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62"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27" w:type="dxa"/>
            <w:gridSpan w:val="3"/>
            <w:tcBorders>
              <w:top w:val="single" w:sz="4" w:space="0" w:color="1946C8"/>
            </w:tcBorders>
            <w:shd w:fill="ECF8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1,289</w:t>
            </w:r>
          </w:p>
        </w:tc>
        <w:tc>
          <w:tcPr>
            <w:tcW w:w="717"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70,908</w:t>
            </w:r>
          </w:p>
        </w:tc>
        <w:tc>
          <w:tcPr>
            <w:tcW w:w="982"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9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514"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9/6/2023</w:t>
            </w:r>
            <w:r>
              <w:rPr>
                <w:rFonts w:ascii="Roboto;sans-serif" w:hAnsi="Roboto;sans-serif"/>
                <w:b w:val="false"/>
                <w:color w:val="000000"/>
                <w:sz w:val="9"/>
              </w:rPr>
              <w:t>(9)</w:t>
            </w:r>
          </w:p>
        </w:tc>
        <w:tc>
          <w:tcPr>
            <w:tcW w:w="103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6,558</w:t>
            </w:r>
          </w:p>
        </w:tc>
        <w:tc>
          <w:tcPr>
            <w:tcW w:w="117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3,280</w:t>
            </w:r>
          </w:p>
        </w:tc>
        <w:tc>
          <w:tcPr>
            <w:tcW w:w="1054"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7"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51.40</w:t>
            </w:r>
          </w:p>
        </w:tc>
        <w:tc>
          <w:tcPr>
            <w:tcW w:w="862"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9/6/2033</w:t>
            </w:r>
          </w:p>
        </w:tc>
        <w:tc>
          <w:tcPr>
            <w:tcW w:w="327" w:type="dxa"/>
            <w:gridSpan w:val="3"/>
            <w:tcBorders>
              <w:top w:val="single" w:sz="4" w:space="0" w:color="1946C8"/>
            </w:tcBorders>
            <w:shd w:fill="ECF8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7"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82"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9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514"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9/6/2023</w:t>
            </w:r>
            <w:r>
              <w:rPr>
                <w:rFonts w:ascii="Roboto;sans-serif" w:hAnsi="Roboto;sans-serif"/>
                <w:b w:val="false"/>
                <w:color w:val="000000"/>
                <w:sz w:val="9"/>
              </w:rPr>
              <w:t>(10)</w:t>
            </w:r>
          </w:p>
        </w:tc>
        <w:tc>
          <w:tcPr>
            <w:tcW w:w="103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7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54"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7"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62"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27" w:type="dxa"/>
            <w:gridSpan w:val="3"/>
            <w:tcBorders>
              <w:top w:val="single" w:sz="4" w:space="0" w:color="1946C8"/>
            </w:tcBorders>
            <w:shd w:fill="ECF8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1,621</w:t>
            </w:r>
          </w:p>
        </w:tc>
        <w:tc>
          <w:tcPr>
            <w:tcW w:w="717"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89,171</w:t>
            </w:r>
          </w:p>
        </w:tc>
        <w:tc>
          <w:tcPr>
            <w:tcW w:w="982"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9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514"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3/26/2024</w:t>
            </w:r>
            <w:r>
              <w:rPr>
                <w:rFonts w:ascii="Roboto;sans-serif" w:hAnsi="Roboto;sans-serif"/>
                <w:b w:val="false"/>
                <w:color w:val="000000"/>
                <w:sz w:val="9"/>
              </w:rPr>
              <w:t>(11)</w:t>
            </w:r>
          </w:p>
        </w:tc>
        <w:tc>
          <w:tcPr>
            <w:tcW w:w="103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7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54"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7"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62"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27" w:type="dxa"/>
            <w:gridSpan w:val="3"/>
            <w:tcBorders>
              <w:top w:val="single" w:sz="4" w:space="0" w:color="1946C8"/>
            </w:tcBorders>
            <w:shd w:fill="ECF8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7"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82"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val="false"/>
                <w:color w:val="000000"/>
                <w:sz w:val="14"/>
              </w:rPr>
            </w:pPr>
            <w:r>
              <w:rPr>
                <w:rFonts w:ascii="Roboto;sans-serif" w:hAnsi="Roboto;sans-serif"/>
                <w:b w:val="false"/>
                <w:color w:val="000000"/>
                <w:sz w:val="14"/>
              </w:rPr>
              <w:t>4,772</w:t>
            </w:r>
          </w:p>
        </w:tc>
        <w:tc>
          <w:tcPr>
            <w:tcW w:w="99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val="false"/>
                <w:color w:val="000000"/>
                <w:sz w:val="14"/>
              </w:rPr>
            </w:pPr>
            <w:r>
              <w:rPr>
                <w:rFonts w:ascii="Roboto;sans-serif" w:hAnsi="Roboto;sans-serif"/>
                <w:b w:val="false"/>
                <w:color w:val="000000"/>
                <w:sz w:val="14"/>
              </w:rPr>
              <w:t>262,508</w:t>
            </w:r>
          </w:p>
        </w:tc>
        <w:tc>
          <w:tcPr>
            <w:tcW w:w="39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514"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3/26/2024</w:t>
            </w:r>
            <w:r>
              <w:rPr>
                <w:rFonts w:ascii="Roboto;sans-serif" w:hAnsi="Roboto;sans-serif"/>
                <w:b w:val="false"/>
                <w:color w:val="000000"/>
                <w:sz w:val="9"/>
              </w:rPr>
              <w:t>(10)</w:t>
            </w:r>
          </w:p>
        </w:tc>
        <w:tc>
          <w:tcPr>
            <w:tcW w:w="103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7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54"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7"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62"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27" w:type="dxa"/>
            <w:gridSpan w:val="3"/>
            <w:tcBorders>
              <w:top w:val="single" w:sz="4" w:space="0" w:color="1946C8"/>
            </w:tcBorders>
            <w:shd w:fill="ECF8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6,363</w:t>
            </w:r>
          </w:p>
        </w:tc>
        <w:tc>
          <w:tcPr>
            <w:tcW w:w="717"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350,029</w:t>
            </w:r>
          </w:p>
        </w:tc>
        <w:tc>
          <w:tcPr>
            <w:tcW w:w="982"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9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514"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3/25/2025</w:t>
            </w:r>
            <w:r>
              <w:rPr>
                <w:rFonts w:ascii="Roboto;sans-serif" w:hAnsi="Roboto;sans-serif"/>
                <w:b w:val="false"/>
                <w:color w:val="000000"/>
                <w:sz w:val="9"/>
              </w:rPr>
              <w:t>(12)</w:t>
            </w:r>
          </w:p>
        </w:tc>
        <w:tc>
          <w:tcPr>
            <w:tcW w:w="103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7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54"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7"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62"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27" w:type="dxa"/>
            <w:gridSpan w:val="3"/>
            <w:tcBorders>
              <w:top w:val="single" w:sz="4" w:space="0" w:color="1946C8"/>
            </w:tcBorders>
            <w:shd w:fill="ECF8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7"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82"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9,994</w:t>
            </w:r>
          </w:p>
        </w:tc>
        <w:tc>
          <w:tcPr>
            <w:tcW w:w="99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549,770</w:t>
            </w:r>
          </w:p>
        </w:tc>
        <w:tc>
          <w:tcPr>
            <w:tcW w:w="39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514"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3/25/2025</w:t>
            </w:r>
            <w:r>
              <w:rPr>
                <w:rFonts w:ascii="Roboto;sans-serif" w:hAnsi="Roboto;sans-serif"/>
                <w:b w:val="false"/>
                <w:color w:val="000000"/>
                <w:sz w:val="9"/>
              </w:rPr>
              <w:t>(10)</w:t>
            </w:r>
          </w:p>
        </w:tc>
        <w:tc>
          <w:tcPr>
            <w:tcW w:w="1036"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7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54"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7"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62"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9,994</w:t>
            </w:r>
          </w:p>
        </w:tc>
        <w:tc>
          <w:tcPr>
            <w:tcW w:w="717"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549,770</w:t>
            </w:r>
          </w:p>
        </w:tc>
        <w:tc>
          <w:tcPr>
            <w:tcW w:w="982"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9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restart"/>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000000"/>
                <w:sz w:val="14"/>
              </w:rPr>
            </w:pPr>
            <w:r>
              <w:rPr>
                <w:rFonts w:ascii="Arial;sans-serif" w:hAnsi="Arial;sans-serif"/>
                <w:b/>
                <w:color w:val="000000"/>
                <w:sz w:val="14"/>
              </w:rPr>
              <w:t>Matt McCabe</w:t>
            </w:r>
          </w:p>
        </w:tc>
        <w:tc>
          <w:tcPr>
            <w:tcW w:w="51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3/31/2021</w:t>
            </w:r>
          </w:p>
        </w:tc>
        <w:tc>
          <w:tcPr>
            <w:tcW w:w="103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11,368</w:t>
            </w:r>
          </w:p>
        </w:tc>
        <w:tc>
          <w:tcPr>
            <w:tcW w:w="117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54"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7"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26.99</w:t>
            </w:r>
          </w:p>
        </w:tc>
        <w:tc>
          <w:tcPr>
            <w:tcW w:w="862"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3/31/2031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7"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82"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bottom w:val="single" w:sz="12" w:space="0" w:color="E81111"/>
            </w:tcBorders>
            <w:shd w:fill="FFFFFF" w:val="clear"/>
            <w:tcMar>
              <w:top w:w="0" w:type="dxa"/>
              <w:left w:w="0" w:type="dxa"/>
              <w:bottom w:w="30" w:type="dxa"/>
              <w:right w:w="0" w:type="dxa"/>
            </w:tcMar>
            <w:vAlign w:val="center"/>
          </w:tcPr>
          <w:p>
            <w:pPr>
              <w:pStyle w:val="Normal"/>
              <w:bidi w:val="0"/>
              <w:jc w:val="left"/>
              <w:rPr/>
            </w:pPr>
            <w:r>
              <w:rPr/>
            </w:r>
          </w:p>
        </w:tc>
        <w:tc>
          <w:tcPr>
            <w:tcW w:w="514"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3/30/2022</w:t>
            </w:r>
            <w:r>
              <w:rPr>
                <w:rFonts w:ascii="Roboto;sans-serif" w:hAnsi="Roboto;sans-serif"/>
                <w:b w:val="false"/>
                <w:color w:val="000000"/>
                <w:sz w:val="9"/>
              </w:rPr>
              <w:t>(7)</w:t>
            </w:r>
          </w:p>
        </w:tc>
        <w:tc>
          <w:tcPr>
            <w:tcW w:w="1036"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7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54"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7"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62"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27" w:type="dxa"/>
            <w:gridSpan w:val="3"/>
            <w:tcBorders>
              <w:top w:val="single" w:sz="4"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val="false"/>
                <w:color w:val="000000"/>
                <w:sz w:val="14"/>
              </w:rPr>
            </w:pPr>
            <w:r>
              <w:rPr>
                <w:rFonts w:ascii="Roboto;sans-serif" w:hAnsi="Roboto;sans-serif"/>
                <w:b w:val="false"/>
                <w:color w:val="000000"/>
                <w:sz w:val="14"/>
              </w:rPr>
              <w:t>135</w:t>
            </w:r>
          </w:p>
        </w:tc>
        <w:tc>
          <w:tcPr>
            <w:tcW w:w="717"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val="false"/>
                <w:color w:val="000000"/>
                <w:sz w:val="14"/>
              </w:rPr>
            </w:pPr>
            <w:r>
              <w:rPr>
                <w:rFonts w:ascii="Roboto;sans-serif" w:hAnsi="Roboto;sans-serif"/>
                <w:b w:val="false"/>
                <w:color w:val="000000"/>
                <w:sz w:val="14"/>
              </w:rPr>
              <w:t>7,426</w:t>
            </w:r>
          </w:p>
        </w:tc>
        <w:tc>
          <w:tcPr>
            <w:tcW w:w="982"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bottom w:val="single" w:sz="12" w:space="0" w:color="E81111"/>
            </w:tcBorders>
            <w:shd w:fill="FFFFFF" w:val="clear"/>
            <w:tcMar>
              <w:top w:w="0" w:type="dxa"/>
              <w:left w:w="0" w:type="dxa"/>
              <w:bottom w:w="30" w:type="dxa"/>
              <w:right w:w="0" w:type="dxa"/>
            </w:tcMar>
            <w:vAlign w:val="center"/>
          </w:tcPr>
          <w:p>
            <w:pPr>
              <w:pStyle w:val="Normal"/>
              <w:bidi w:val="0"/>
              <w:jc w:val="left"/>
              <w:rPr/>
            </w:pPr>
            <w:r>
              <w:rPr/>
            </w:r>
          </w:p>
        </w:tc>
        <w:tc>
          <w:tcPr>
            <w:tcW w:w="514"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3/30/2022</w:t>
            </w:r>
            <w:r>
              <w:rPr>
                <w:rFonts w:ascii="Roboto;sans-serif" w:hAnsi="Roboto;sans-serif"/>
                <w:b w:val="false"/>
                <w:color w:val="000000"/>
                <w:sz w:val="9"/>
              </w:rPr>
              <w:t>(8)</w:t>
            </w:r>
          </w:p>
        </w:tc>
        <w:tc>
          <w:tcPr>
            <w:tcW w:w="1036"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7,629</w:t>
            </w:r>
          </w:p>
        </w:tc>
        <w:tc>
          <w:tcPr>
            <w:tcW w:w="117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2,544</w:t>
            </w:r>
          </w:p>
        </w:tc>
        <w:tc>
          <w:tcPr>
            <w:tcW w:w="1054"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7"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39.17</w:t>
            </w:r>
          </w:p>
        </w:tc>
        <w:tc>
          <w:tcPr>
            <w:tcW w:w="862"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3/30/2032</w:t>
            </w:r>
          </w:p>
        </w:tc>
        <w:tc>
          <w:tcPr>
            <w:tcW w:w="327" w:type="dxa"/>
            <w:gridSpan w:val="3"/>
            <w:tcBorders>
              <w:top w:val="single" w:sz="4"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7"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82"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bottom w:val="single" w:sz="12" w:space="0" w:color="E81111"/>
            </w:tcBorders>
            <w:shd w:fill="FFFFFF" w:val="clear"/>
            <w:tcMar>
              <w:top w:w="0" w:type="dxa"/>
              <w:left w:w="0" w:type="dxa"/>
              <w:bottom w:w="30" w:type="dxa"/>
              <w:right w:w="0" w:type="dxa"/>
            </w:tcMar>
            <w:vAlign w:val="center"/>
          </w:tcPr>
          <w:p>
            <w:pPr>
              <w:pStyle w:val="Normal"/>
              <w:bidi w:val="0"/>
              <w:jc w:val="left"/>
              <w:rPr/>
            </w:pPr>
            <w:r>
              <w:rPr/>
            </w:r>
          </w:p>
        </w:tc>
        <w:tc>
          <w:tcPr>
            <w:tcW w:w="514"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3/21/2023</w:t>
            </w:r>
            <w:r>
              <w:rPr>
                <w:rFonts w:ascii="Roboto;sans-serif" w:hAnsi="Roboto;sans-serif"/>
                <w:b w:val="false"/>
                <w:color w:val="000000"/>
                <w:sz w:val="9"/>
              </w:rPr>
              <w:t>(10)</w:t>
            </w:r>
          </w:p>
        </w:tc>
        <w:tc>
          <w:tcPr>
            <w:tcW w:w="1036"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7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54"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7"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62"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27" w:type="dxa"/>
            <w:gridSpan w:val="3"/>
            <w:tcBorders>
              <w:top w:val="single" w:sz="4"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1,289</w:t>
            </w:r>
          </w:p>
        </w:tc>
        <w:tc>
          <w:tcPr>
            <w:tcW w:w="717"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70,908</w:t>
            </w:r>
          </w:p>
        </w:tc>
        <w:tc>
          <w:tcPr>
            <w:tcW w:w="982"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bottom w:val="single" w:sz="12" w:space="0" w:color="E81111"/>
            </w:tcBorders>
            <w:shd w:fill="FFFFFF" w:val="clear"/>
            <w:tcMar>
              <w:top w:w="0" w:type="dxa"/>
              <w:left w:w="0" w:type="dxa"/>
              <w:bottom w:w="30" w:type="dxa"/>
              <w:right w:w="0" w:type="dxa"/>
            </w:tcMar>
            <w:vAlign w:val="center"/>
          </w:tcPr>
          <w:p>
            <w:pPr>
              <w:pStyle w:val="Normal"/>
              <w:bidi w:val="0"/>
              <w:jc w:val="left"/>
              <w:rPr/>
            </w:pPr>
            <w:r>
              <w:rPr/>
            </w:r>
          </w:p>
        </w:tc>
        <w:tc>
          <w:tcPr>
            <w:tcW w:w="514"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9/6/2023</w:t>
            </w:r>
            <w:r>
              <w:rPr>
                <w:rFonts w:ascii="Roboto;sans-serif" w:hAnsi="Roboto;sans-serif"/>
                <w:b w:val="false"/>
                <w:color w:val="000000"/>
                <w:sz w:val="9"/>
              </w:rPr>
              <w:t>(9)</w:t>
            </w:r>
          </w:p>
        </w:tc>
        <w:tc>
          <w:tcPr>
            <w:tcW w:w="1036"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6,558</w:t>
            </w:r>
          </w:p>
        </w:tc>
        <w:tc>
          <w:tcPr>
            <w:tcW w:w="117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3,280</w:t>
            </w:r>
          </w:p>
        </w:tc>
        <w:tc>
          <w:tcPr>
            <w:tcW w:w="1054"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7"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51.40</w:t>
            </w:r>
          </w:p>
        </w:tc>
        <w:tc>
          <w:tcPr>
            <w:tcW w:w="862"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center"/>
              <w:rPr>
                <w:rFonts w:ascii="Roboto;sans-serif" w:hAnsi="Roboto;sans-serif"/>
                <w:b w:val="false"/>
                <w:color w:val="000000"/>
                <w:sz w:val="14"/>
              </w:rPr>
            </w:pPr>
            <w:r>
              <w:rPr>
                <w:rFonts w:ascii="Roboto;sans-serif" w:hAnsi="Roboto;sans-serif"/>
                <w:b w:val="false"/>
                <w:color w:val="000000"/>
                <w:sz w:val="14"/>
              </w:rPr>
              <w:t>9/6/2033</w:t>
            </w:r>
          </w:p>
        </w:tc>
        <w:tc>
          <w:tcPr>
            <w:tcW w:w="327" w:type="dxa"/>
            <w:gridSpan w:val="3"/>
            <w:tcBorders>
              <w:top w:val="single" w:sz="4"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7"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82"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bottom w:val="single" w:sz="12" w:space="0" w:color="E81111"/>
            </w:tcBorders>
            <w:shd w:fill="FFFFFF" w:val="clear"/>
            <w:tcMar>
              <w:top w:w="0" w:type="dxa"/>
              <w:left w:w="0" w:type="dxa"/>
              <w:bottom w:w="30" w:type="dxa"/>
              <w:right w:w="0" w:type="dxa"/>
            </w:tcMar>
            <w:vAlign w:val="center"/>
          </w:tcPr>
          <w:p>
            <w:pPr>
              <w:pStyle w:val="Normal"/>
              <w:bidi w:val="0"/>
              <w:jc w:val="left"/>
              <w:rPr/>
            </w:pPr>
            <w:r>
              <w:rPr/>
            </w:r>
          </w:p>
        </w:tc>
        <w:tc>
          <w:tcPr>
            <w:tcW w:w="514"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9/6/2023</w:t>
            </w:r>
            <w:r>
              <w:rPr>
                <w:rFonts w:ascii="Roboto;sans-serif" w:hAnsi="Roboto;sans-serif"/>
                <w:b w:val="false"/>
                <w:color w:val="000000"/>
                <w:sz w:val="9"/>
              </w:rPr>
              <w:t>(10)</w:t>
            </w:r>
          </w:p>
        </w:tc>
        <w:tc>
          <w:tcPr>
            <w:tcW w:w="1036"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7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54"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7"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62"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27" w:type="dxa"/>
            <w:gridSpan w:val="3"/>
            <w:tcBorders>
              <w:top w:val="single" w:sz="4"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1,621</w:t>
            </w:r>
          </w:p>
        </w:tc>
        <w:tc>
          <w:tcPr>
            <w:tcW w:w="717"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89,171</w:t>
            </w:r>
          </w:p>
        </w:tc>
        <w:tc>
          <w:tcPr>
            <w:tcW w:w="982"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bottom w:val="single" w:sz="12" w:space="0" w:color="E81111"/>
            </w:tcBorders>
            <w:shd w:fill="FFFFFF" w:val="clear"/>
            <w:tcMar>
              <w:top w:w="0" w:type="dxa"/>
              <w:left w:w="0" w:type="dxa"/>
              <w:bottom w:w="30" w:type="dxa"/>
              <w:right w:w="0" w:type="dxa"/>
            </w:tcMar>
            <w:vAlign w:val="center"/>
          </w:tcPr>
          <w:p>
            <w:pPr>
              <w:pStyle w:val="Normal"/>
              <w:bidi w:val="0"/>
              <w:jc w:val="left"/>
              <w:rPr/>
            </w:pPr>
            <w:r>
              <w:rPr/>
            </w:r>
          </w:p>
        </w:tc>
        <w:tc>
          <w:tcPr>
            <w:tcW w:w="514"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3/26/2024</w:t>
            </w:r>
            <w:r>
              <w:rPr>
                <w:rFonts w:ascii="Roboto;sans-serif" w:hAnsi="Roboto;sans-serif"/>
                <w:b w:val="false"/>
                <w:color w:val="000000"/>
                <w:sz w:val="9"/>
              </w:rPr>
              <w:t>(11)</w:t>
            </w:r>
          </w:p>
        </w:tc>
        <w:tc>
          <w:tcPr>
            <w:tcW w:w="1036"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7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54"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7"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62"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27" w:type="dxa"/>
            <w:gridSpan w:val="3"/>
            <w:tcBorders>
              <w:top w:val="single" w:sz="4"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7"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82"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val="false"/>
                <w:color w:val="000000"/>
                <w:sz w:val="14"/>
              </w:rPr>
            </w:pPr>
            <w:r>
              <w:rPr>
                <w:rFonts w:ascii="Roboto;sans-serif" w:hAnsi="Roboto;sans-serif"/>
                <w:b w:val="false"/>
                <w:color w:val="000000"/>
                <w:sz w:val="14"/>
              </w:rPr>
              <w:t>4,772</w:t>
            </w:r>
          </w:p>
        </w:tc>
        <w:tc>
          <w:tcPr>
            <w:tcW w:w="99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val="false"/>
                <w:color w:val="000000"/>
                <w:sz w:val="14"/>
              </w:rPr>
            </w:pPr>
            <w:r>
              <w:rPr>
                <w:rFonts w:ascii="Roboto;sans-serif" w:hAnsi="Roboto;sans-serif"/>
                <w:b w:val="false"/>
                <w:color w:val="000000"/>
                <w:sz w:val="14"/>
              </w:rPr>
              <w:t>262,508</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bottom w:val="single" w:sz="12" w:space="0" w:color="E81111"/>
            </w:tcBorders>
            <w:shd w:fill="FFFFFF" w:val="clear"/>
            <w:tcMar>
              <w:top w:w="0" w:type="dxa"/>
              <w:left w:w="0" w:type="dxa"/>
              <w:bottom w:w="30" w:type="dxa"/>
              <w:right w:w="0" w:type="dxa"/>
            </w:tcMar>
            <w:vAlign w:val="center"/>
          </w:tcPr>
          <w:p>
            <w:pPr>
              <w:pStyle w:val="Normal"/>
              <w:bidi w:val="0"/>
              <w:jc w:val="left"/>
              <w:rPr/>
            </w:pPr>
            <w:r>
              <w:rPr/>
            </w:r>
          </w:p>
        </w:tc>
        <w:tc>
          <w:tcPr>
            <w:tcW w:w="514"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3/26/2024</w:t>
            </w:r>
            <w:r>
              <w:rPr>
                <w:rFonts w:ascii="Roboto;sans-serif" w:hAnsi="Roboto;sans-serif"/>
                <w:b w:val="false"/>
                <w:color w:val="000000"/>
                <w:sz w:val="9"/>
              </w:rPr>
              <w:t>(10)</w:t>
            </w:r>
          </w:p>
        </w:tc>
        <w:tc>
          <w:tcPr>
            <w:tcW w:w="1036"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7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54"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7"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62"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27" w:type="dxa"/>
            <w:gridSpan w:val="3"/>
            <w:tcBorders>
              <w:top w:val="single" w:sz="4"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6,363</w:t>
            </w:r>
          </w:p>
        </w:tc>
        <w:tc>
          <w:tcPr>
            <w:tcW w:w="717"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350,029</w:t>
            </w:r>
          </w:p>
        </w:tc>
        <w:tc>
          <w:tcPr>
            <w:tcW w:w="982"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9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bottom w:val="single" w:sz="12" w:space="0" w:color="E81111"/>
            </w:tcBorders>
            <w:shd w:fill="FFFFFF" w:val="clear"/>
            <w:tcMar>
              <w:top w:w="0" w:type="dxa"/>
              <w:left w:w="0" w:type="dxa"/>
              <w:bottom w:w="30" w:type="dxa"/>
              <w:right w:w="0" w:type="dxa"/>
            </w:tcMar>
            <w:vAlign w:val="center"/>
          </w:tcPr>
          <w:p>
            <w:pPr>
              <w:pStyle w:val="Normal"/>
              <w:bidi w:val="0"/>
              <w:jc w:val="left"/>
              <w:rPr/>
            </w:pPr>
            <w:r>
              <w:rPr/>
            </w:r>
          </w:p>
        </w:tc>
        <w:tc>
          <w:tcPr>
            <w:tcW w:w="514"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3/25/2025</w:t>
            </w:r>
            <w:r>
              <w:rPr>
                <w:rFonts w:ascii="Roboto;sans-serif" w:hAnsi="Roboto;sans-serif"/>
                <w:b w:val="false"/>
                <w:color w:val="000000"/>
                <w:sz w:val="9"/>
              </w:rPr>
              <w:t>(12)</w:t>
            </w:r>
          </w:p>
        </w:tc>
        <w:tc>
          <w:tcPr>
            <w:tcW w:w="1036"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7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54"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27"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862"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27" w:type="dxa"/>
            <w:gridSpan w:val="3"/>
            <w:tcBorders>
              <w:top w:val="single" w:sz="4" w:space="0" w:color="19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717"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982"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9,994</w:t>
            </w:r>
          </w:p>
        </w:tc>
        <w:tc>
          <w:tcPr>
            <w:tcW w:w="99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549,770</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bottom w:val="single" w:sz="12" w:space="0" w:color="E81111"/>
            </w:tcBorders>
            <w:shd w:fill="FFFFFF" w:val="clear"/>
            <w:tcMar>
              <w:top w:w="0" w:type="dxa"/>
              <w:left w:w="0" w:type="dxa"/>
              <w:bottom w:w="30" w:type="dxa"/>
              <w:right w:w="0" w:type="dxa"/>
            </w:tcMar>
            <w:vAlign w:val="center"/>
          </w:tcPr>
          <w:p>
            <w:pPr>
              <w:pStyle w:val="Normal"/>
              <w:bidi w:val="0"/>
              <w:jc w:val="left"/>
              <w:rPr/>
            </w:pPr>
            <w:r>
              <w:rPr/>
            </w:r>
          </w:p>
        </w:tc>
        <w:tc>
          <w:tcPr>
            <w:tcW w:w="514"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0"/>
              <w:jc w:val="center"/>
              <w:rPr/>
            </w:pPr>
            <w:r>
              <w:rPr>
                <w:rFonts w:ascii="Roboto;sans-serif" w:hAnsi="Roboto;sans-serif"/>
                <w:b w:val="false"/>
                <w:color w:val="000000"/>
                <w:sz w:val="14"/>
              </w:rPr>
              <w:t>3/25/2025</w:t>
            </w:r>
            <w:r>
              <w:rPr>
                <w:rFonts w:ascii="Roboto;sans-serif" w:hAnsi="Roboto;sans-serif"/>
                <w:b w:val="false"/>
                <w:color w:val="000000"/>
                <w:sz w:val="9"/>
              </w:rPr>
              <w:t>(10)</w:t>
            </w:r>
          </w:p>
        </w:tc>
        <w:tc>
          <w:tcPr>
            <w:tcW w:w="1036"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1171"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1054"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727"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862"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center"/>
              <w:rPr>
                <w:color w:val="000000"/>
              </w:rPr>
            </w:pPr>
            <w:r>
              <w:rPr>
                <w:color w:val="000000"/>
              </w:rPr>
              <w:t>—</w:t>
            </w:r>
          </w:p>
        </w:tc>
        <w:tc>
          <w:tcPr>
            <w:tcW w:w="327" w:type="dxa"/>
            <w:gridSpan w:val="3"/>
            <w:tcBorders>
              <w:bottom w:val="single" w:sz="12" w:space="0" w:color="E81111"/>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9,994</w:t>
            </w:r>
          </w:p>
        </w:tc>
        <w:tc>
          <w:tcPr>
            <w:tcW w:w="717"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549,770</w:t>
            </w:r>
          </w:p>
        </w:tc>
        <w:tc>
          <w:tcPr>
            <w:tcW w:w="982"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991"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391" w:type="dxa"/>
            <w:gridSpan w:val="3"/>
            <w:tcBorders>
              <w:bottom w:val="single" w:sz="12" w:space="0" w:color="E81111"/>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 xml:space="preserve">1.The numbers in this column represent vested Options outstanding as of January 31, 2026. </w:t>
      </w:r>
    </w:p>
    <w:p>
      <w:pPr>
        <w:pStyle w:val="TextBody"/>
        <w:bidi w:val="0"/>
        <w:spacing w:lineRule="auto" w:line="288" w:before="0" w:after="6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2.The numbers in this column represent unvested Options outstanding as of January 31, 2026.</w:t>
      </w:r>
    </w:p>
    <w:p>
      <w:pPr>
        <w:pStyle w:val="TextBody"/>
        <w:bidi w:val="0"/>
        <w:spacing w:lineRule="auto" w:line="288" w:before="0" w:after="6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 xml:space="preserve">3.The expiration date for each of the Options is the date that is ten years after the grant date. </w:t>
      </w:r>
    </w:p>
    <w:p>
      <w:pPr>
        <w:pStyle w:val="TextBody"/>
        <w:bidi w:val="0"/>
        <w:spacing w:lineRule="auto" w:line="288" w:before="0" w:after="6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4.The numbers in this column represent RSUs that are subject to time vesting conditions, including performance-based RSUs that were earned but still subject to service based vesting requirements (“Earned RSUs”) as of January 31, 2026.</w:t>
      </w:r>
    </w:p>
    <w:p>
      <w:pPr>
        <w:pStyle w:val="TextBody"/>
        <w:bidi w:val="0"/>
        <w:spacing w:lineRule="auto" w:line="288" w:before="0" w:after="6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5.Amounts reported are based on $55.01, which was the closing price of our common stock on January 30, 2026, the last trading day before the end of our 2025 fiscal year.</w:t>
      </w:r>
    </w:p>
    <w:p>
      <w:pPr>
        <w:pStyle w:val="TextBody"/>
        <w:bidi w:val="0"/>
        <w:spacing w:lineRule="auto" w:line="312" w:before="0" w:after="12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6.The numbers in this column represent RSUs that are subject to performance-based and time-based vesting conditions that were not earned as of January 31, 2026.</w:t>
      </w:r>
    </w:p>
    <w:p>
      <w:pPr>
        <w:pStyle w:val="TextBody"/>
        <w:bidi w:val="0"/>
        <w:spacing w:lineRule="auto" w:line="288" w:before="0" w:after="60"/>
        <w:ind w:left="0" w:right="0" w:hanging="360"/>
        <w:jc w:val="left"/>
        <w:rPr/>
      </w:pPr>
      <w:r>
        <w:rPr>
          <w:rFonts w:ascii="Roboto Light;sans-serif" w:hAnsi="Roboto Light;sans-serif"/>
          <w:b w:val="false"/>
          <w:color w:val="000000"/>
          <w:sz w:val="14"/>
        </w:rPr>
        <w:t>7.</w:t>
      </w:r>
      <w:r>
        <w:rPr>
          <w:rFonts w:ascii="Roboto Light;sans-serif" w:hAnsi="Roboto Light;sans-serif"/>
          <w:b w:val="false"/>
          <w:color w:val="000000"/>
          <w:sz w:val="14"/>
          <w:shd w:fill="FFFFFF" w:val="clear"/>
        </w:rPr>
        <w:t>Reflects outstanding performance-based RSUs that had not become Earned RSUs as of January 31, 2026. In March 2026, the Committee determined that the twenty (20) trading-day average fair market value of a share of common stock as of January 30, 2026 exceeded the specified target share price, therefore these RSUs became vested Earned RSUs.</w:t>
      </w:r>
    </w:p>
    <w:p>
      <w:pPr>
        <w:pStyle w:val="TextBody"/>
        <w:bidi w:val="0"/>
        <w:spacing w:lineRule="auto" w:line="312" w:before="0" w:after="60"/>
        <w:ind w:left="0" w:right="0" w:hanging="360"/>
        <w:jc w:val="left"/>
        <w:rPr/>
      </w:pPr>
      <w:r>
        <w:rPr>
          <w:rFonts w:ascii="Roboto Light;sans-serif" w:hAnsi="Roboto Light;sans-serif"/>
          <w:b w:val="false"/>
          <w:color w:val="000000"/>
          <w:sz w:val="14"/>
          <w:shd w:fill="FFFFFF" w:val="clear"/>
        </w:rPr>
        <w:t>8.</w:t>
      </w:r>
      <w:r>
        <w:rPr>
          <w:rFonts w:ascii="Roboto Light;sans-serif" w:hAnsi="Roboto Light;sans-serif"/>
          <w:b w:val="false"/>
          <w:color w:val="000000"/>
          <w:sz w:val="14"/>
        </w:rPr>
        <w:t>The Options vest as follows: 25% become vested and exercisable on each anniversary of the grant date, subject to the NEO’s continued service through the applicable vesting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263525"/>
                <wp:effectExtent l="0" t="0" r="0" b="0"/>
                <wp:wrapNone/>
                <wp:docPr id="409" name="Frame76"/>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410"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263" descr=""/>
                                          <pic:cNvPicPr>
                                            <a:picLocks noChangeAspect="1" noChangeArrowheads="1"/>
                                          </pic:cNvPicPr>
                                        </pic:nvPicPr>
                                        <pic:blipFill>
                                          <a:blip r:embed="rId335"/>
                                          <a:stretch>
                                            <a:fillRect/>
                                          </a:stretch>
                                        </pic:blipFill>
                                        <pic:spPr bwMode="auto">
                                          <a:xfrm>
                                            <a:off x="0" y="0"/>
                                            <a:ext cx="266700" cy="200025"/>
                                          </a:xfrm>
                                          <a:prstGeom prst="rect">
                                            <a:avLst/>
                                          </a:prstGeom>
                                        </pic:spPr>
                                      </pic:pic>
                                    </a:graphicData>
                                  </a:graphic>
                                </wp:inline>
                              </w:drawing>
                            </w:r>
                            <w:bookmarkStart w:id="334" w:name="i-263"/>
                            <w:bookmarkEnd w:id="33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411"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263" descr=""/>
                                    <pic:cNvPicPr>
                                      <a:picLocks noChangeAspect="1" noChangeArrowheads="1"/>
                                    </pic:cNvPicPr>
                                  </pic:nvPicPr>
                                  <pic:blipFill>
                                    <a:blip r:embed="rId336"/>
                                    <a:stretch>
                                      <a:fillRect/>
                                    </a:stretch>
                                  </pic:blipFill>
                                  <pic:spPr bwMode="auto">
                                    <a:xfrm>
                                      <a:off x="0" y="0"/>
                                      <a:ext cx="266700" cy="200025"/>
                                    </a:xfrm>
                                    <a:prstGeom prst="rect">
                                      <a:avLst/>
                                    </a:prstGeom>
                                  </pic:spPr>
                                </pic:pic>
                              </a:graphicData>
                            </a:graphic>
                          </wp:inline>
                        </w:drawing>
                      </w:r>
                      <w:bookmarkStart w:id="335" w:name="i-263"/>
                      <w:bookmarkEnd w:id="335"/>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71</w:t>
            </w:r>
          </w:p>
        </w:tc>
      </w:tr>
    </w:tbl>
    <w:p>
      <w:pPr>
        <w:pStyle w:val="TextBody"/>
        <w:bidi w:val="0"/>
        <w:spacing w:lineRule="auto" w:line="312" w:before="0" w:after="6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 xml:space="preserve">9.These Options vest as follows: 33% become vested and exercisable on each anniversary of the grant date, subject to the NEO’s continued service through the applicable vesting date. </w:t>
      </w:r>
    </w:p>
    <w:p>
      <w:pPr>
        <w:pStyle w:val="TextBody"/>
        <w:bidi w:val="0"/>
        <w:spacing w:lineRule="auto" w:line="312" w:before="0" w:after="6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 xml:space="preserve">10.These time-based RSUs vest as follows: 33% become vested and exercisable on each anniversary of the grant date, subject to the NEO’s continued service through the applicable vesting date. </w:t>
      </w:r>
    </w:p>
    <w:p>
      <w:pPr>
        <w:pStyle w:val="TextBody"/>
        <w:bidi w:val="0"/>
        <w:spacing w:lineRule="auto" w:line="312" w:before="0" w:after="6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11.Reflects 50% (threshold performance) of the 2024 performance-based RSUs that are Unearned RSUs. Based on the achievement of the three (3) year cumulative performance metrics, the earned amount will be earned and vest upon such determination by the Committee, subject to the NEO’s continued service through the applicable vesting date.</w:t>
      </w:r>
    </w:p>
    <w:p>
      <w:pPr>
        <w:pStyle w:val="TextBody"/>
        <w:bidi w:val="0"/>
        <w:spacing w:lineRule="auto" w:line="312" w:before="0" w:after="12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12.Reflects 100% (target performance) of the 2025 performance-based RSUs that are Unearned RSUs. Based on the achievement of the three (3) year cumulative performance metrics, the earned amount will be earned and vest upon such determination by the Committee, subject to the NEO’s continued service through the applicable vesting date.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Option Exercises and Stock Awards Vested</w:t>
      </w:r>
    </w:p>
    <w:p>
      <w:pPr>
        <w:pStyle w:val="TextBody"/>
        <w:bidi w:val="0"/>
        <w:spacing w:lineRule="atLeast" w:line="240" w:before="0" w:after="120"/>
        <w:jc w:val="left"/>
        <w:rPr>
          <w:rFonts w:ascii="Roboto Light;sans-serif" w:hAnsi="Roboto Light;sans-serif"/>
          <w:b w:val="false"/>
          <w:color w:val="000000"/>
          <w:sz w:val="18"/>
        </w:rPr>
      </w:pPr>
      <w:r>
        <w:rPr>
          <w:rFonts w:ascii="Roboto Light;sans-serif" w:hAnsi="Roboto Light;sans-serif"/>
          <w:b w:val="false"/>
          <w:color w:val="000000"/>
          <w:sz w:val="18"/>
        </w:rPr>
        <w:t>The following table provides information on RSU awards that vested during the 2025 fiscal year which ended January 31, 2026. None of the NEOs exercised any Option awards during fiscal 2025.</w:t>
      </w:r>
    </w:p>
    <w:tbl>
      <w:tblPr>
        <w:tblW w:w="10205" w:type="dxa"/>
        <w:jc w:val="left"/>
        <w:tblInd w:w="0" w:type="dxa"/>
        <w:tblLayout w:type="fixed"/>
        <w:tblCellMar>
          <w:top w:w="28" w:type="dxa"/>
          <w:left w:w="28" w:type="dxa"/>
          <w:bottom w:w="28" w:type="dxa"/>
          <w:right w:w="28" w:type="dxa"/>
        </w:tblCellMar>
      </w:tblPr>
      <w:tblGrid>
        <w:gridCol w:w="419"/>
        <w:gridCol w:w="369"/>
        <w:gridCol w:w="372"/>
        <w:gridCol w:w="794"/>
        <w:gridCol w:w="794"/>
        <w:gridCol w:w="795"/>
        <w:gridCol w:w="594"/>
        <w:gridCol w:w="594"/>
        <w:gridCol w:w="610"/>
        <w:gridCol w:w="109"/>
        <w:gridCol w:w="109"/>
        <w:gridCol w:w="109"/>
        <w:gridCol w:w="788"/>
        <w:gridCol w:w="788"/>
        <w:gridCol w:w="789"/>
        <w:gridCol w:w="598"/>
        <w:gridCol w:w="587"/>
        <w:gridCol w:w="606"/>
        <w:gridCol w:w="109"/>
        <w:gridCol w:w="109"/>
        <w:gridCol w:w="163"/>
      </w:tblGrid>
      <w:tr>
        <w:trPr/>
        <w:tc>
          <w:tcPr>
            <w:tcW w:w="41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60" w:type="dxa"/>
            <w:gridSpan w:val="3"/>
            <w:tcBorders/>
            <w:shd w:fill="1946C8"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1" w:type="dxa"/>
            <w:gridSpan w:val="6"/>
            <w:tcBorders/>
            <w:shd w:fill="1946C8"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color w:val="FFFFFF"/>
                <w:sz w:val="16"/>
              </w:rPr>
            </w:pPr>
            <w:r>
              <w:rPr>
                <w:rFonts w:ascii="Roboto;sans-serif" w:hAnsi="Roboto;sans-serif"/>
                <w:b/>
                <w:color w:val="FFFFFF"/>
                <w:sz w:val="16"/>
              </w:rPr>
              <w:t>Options Awards Exercised</w:t>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6"/>
            <w:tcBorders/>
            <w:shd w:fill="1946C8" w:val="clear"/>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FFFFFF"/>
                <w:sz w:val="16"/>
              </w:rPr>
            </w:pPr>
            <w:r>
              <w:rPr>
                <w:rFonts w:ascii="Roboto;sans-serif" w:hAnsi="Roboto;sans-serif"/>
                <w:b/>
                <w:color w:val="FFFFFF"/>
                <w:sz w:val="16"/>
              </w:rPr>
              <w:t>Stock Awards Vested</w:t>
            </w:r>
          </w:p>
        </w:tc>
        <w:tc>
          <w:tcPr>
            <w:tcW w:w="38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FFFFFF"/>
                <w:sz w:val="16"/>
              </w:rPr>
            </w:pPr>
            <w:r>
              <w:rPr>
                <w:rFonts w:ascii="Roboto;sans-serif" w:hAnsi="Roboto;sans-serif"/>
                <w:b/>
                <w:color w:val="FFFFFF"/>
                <w:sz w:val="16"/>
              </w:rPr>
              <w:t>Name</w:t>
            </w:r>
          </w:p>
        </w:tc>
        <w:tc>
          <w:tcPr>
            <w:tcW w:w="2383"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Number of Shares Acquired on Exercise</w:t>
            </w:r>
          </w:p>
          <w:p>
            <w:pPr>
              <w:pStyle w:val="TableContents"/>
              <w:bidi w:val="0"/>
              <w:spacing w:lineRule="auto" w:line="312" w:before="0" w:after="0"/>
              <w:jc w:val="right"/>
              <w:rPr>
                <w:color w:val="FFFFFF"/>
              </w:rPr>
            </w:pPr>
            <w:r>
              <w:rPr>
                <w:color w:val="FFFFFF"/>
              </w:rPr>
              <w:t> </w:t>
            </w:r>
            <w:r>
              <w:rPr>
                <w:rFonts w:ascii="Roboto;sans-serif" w:hAnsi="Roboto;sans-serif"/>
                <w:b/>
                <w:color w:val="FFFFFF"/>
                <w:sz w:val="16"/>
              </w:rPr>
              <w:t>(#)</w:t>
            </w:r>
          </w:p>
        </w:tc>
        <w:tc>
          <w:tcPr>
            <w:tcW w:w="1798"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Value Realized on Exercise</w:t>
            </w:r>
          </w:p>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w:t>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Number of Shares Acquired on Vesting</w:t>
            </w:r>
          </w:p>
          <w:p>
            <w:pPr>
              <w:pStyle w:val="TableContents"/>
              <w:bidi w:val="0"/>
              <w:spacing w:lineRule="auto" w:line="312" w:before="0" w:after="0"/>
              <w:jc w:val="right"/>
              <w:rPr>
                <w:color w:val="FFFFFF"/>
              </w:rPr>
            </w:pPr>
            <w:r>
              <w:rPr>
                <w:color w:val="FFFFFF"/>
              </w:rPr>
              <w:t> </w:t>
            </w:r>
            <w:r>
              <w:rPr>
                <w:rFonts w:ascii="Roboto;sans-serif" w:hAnsi="Roboto;sans-serif"/>
                <w:b/>
                <w:color w:val="FFFFFF"/>
                <w:sz w:val="16"/>
              </w:rPr>
              <w:t>(#)</w:t>
            </w:r>
          </w:p>
        </w:tc>
        <w:tc>
          <w:tcPr>
            <w:tcW w:w="1791"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Value Realized on Vesting</w:t>
            </w:r>
          </w:p>
          <w:p>
            <w:pPr>
              <w:pStyle w:val="TableContents"/>
              <w:bidi w:val="0"/>
              <w:spacing w:lineRule="auto" w:line="312" w:before="0" w:after="0"/>
              <w:jc w:val="right"/>
              <w:rPr/>
            </w:pPr>
            <w:r>
              <w:rPr>
                <w:rFonts w:ascii="Roboto;sans-serif" w:hAnsi="Roboto;sans-serif"/>
                <w:b/>
                <w:color w:val="FFFFFF"/>
                <w:sz w:val="16"/>
              </w:rPr>
              <w:t>($)</w:t>
            </w:r>
            <w:r>
              <w:rPr>
                <w:rFonts w:ascii="Roboto;sans-serif" w:hAnsi="Roboto;sans-serif"/>
                <w:b/>
                <w:color w:val="FFFFFF"/>
                <w:sz w:val="10"/>
              </w:rPr>
              <w:t>(1)</w:t>
            </w:r>
          </w:p>
        </w:tc>
        <w:tc>
          <w:tcPr>
            <w:tcW w:w="38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000000"/>
                <w:sz w:val="16"/>
              </w:rPr>
            </w:pPr>
            <w:r>
              <w:rPr>
                <w:rFonts w:ascii="Roboto;sans-serif" w:hAnsi="Roboto;sans-serif"/>
                <w:b/>
                <w:color w:val="000000"/>
                <w:sz w:val="16"/>
              </w:rPr>
              <w:t>Steve Lawrence</w:t>
            </w:r>
          </w:p>
        </w:tc>
        <w:tc>
          <w:tcPr>
            <w:tcW w:w="2383"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798"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30,385 </w:t>
            </w:r>
          </w:p>
        </w:tc>
        <w:tc>
          <w:tcPr>
            <w:tcW w:w="789"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1,451,163 </w:t>
            </w:r>
          </w:p>
        </w:tc>
        <w:tc>
          <w:tcPr>
            <w:tcW w:w="606"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000000"/>
                <w:sz w:val="16"/>
              </w:rPr>
            </w:pPr>
            <w:r>
              <w:rPr>
                <w:rFonts w:ascii="Roboto;sans-serif" w:hAnsi="Roboto;sans-serif"/>
                <w:b/>
                <w:color w:val="000000"/>
                <w:sz w:val="16"/>
              </w:rPr>
              <w:t>Sam Johnson</w:t>
            </w:r>
          </w:p>
        </w:tc>
        <w:tc>
          <w:tcPr>
            <w:tcW w:w="238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79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13,911</w:t>
            </w:r>
          </w:p>
        </w:tc>
        <w:tc>
          <w:tcPr>
            <w:tcW w:w="17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688,083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000000"/>
                <w:sz w:val="16"/>
              </w:rPr>
            </w:pPr>
            <w:r>
              <w:rPr>
                <w:rFonts w:ascii="Roboto;sans-serif" w:hAnsi="Roboto;sans-serif"/>
                <w:b/>
                <w:color w:val="000000"/>
                <w:sz w:val="16"/>
              </w:rPr>
              <w:t>Carl Ford</w:t>
            </w:r>
          </w:p>
        </w:tc>
        <w:tc>
          <w:tcPr>
            <w:tcW w:w="2383"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798"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6,589 </w:t>
            </w:r>
          </w:p>
        </w:tc>
        <w:tc>
          <w:tcPr>
            <w:tcW w:w="789"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325,899 </w:t>
            </w:r>
          </w:p>
        </w:tc>
        <w:tc>
          <w:tcPr>
            <w:tcW w:w="606"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0"/>
              <w:jc w:val="left"/>
              <w:rPr>
                <w:rFonts w:ascii="Roboto;sans-serif" w:hAnsi="Roboto;sans-serif"/>
                <w:b/>
                <w:color w:val="000000"/>
                <w:sz w:val="16"/>
              </w:rPr>
            </w:pPr>
            <w:r>
              <w:rPr>
                <w:rFonts w:ascii="Roboto;sans-serif" w:hAnsi="Roboto;sans-serif"/>
                <w:b/>
                <w:color w:val="000000"/>
                <w:sz w:val="16"/>
              </w:rPr>
              <w:t>Matt McCabe</w:t>
            </w:r>
          </w:p>
        </w:tc>
        <w:tc>
          <w:tcPr>
            <w:tcW w:w="2383"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1798"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327" w:type="dxa"/>
            <w:gridSpan w:val="3"/>
            <w:tcBorders>
              <w:bottom w:val="single" w:sz="12" w:space="0" w:color="E81111"/>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bottom w:val="single" w:sz="12" w:space="0" w:color="E81111"/>
            </w:tcBorders>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10,314</w:t>
            </w:r>
          </w:p>
        </w:tc>
        <w:tc>
          <w:tcPr>
            <w:tcW w:w="1791" w:type="dxa"/>
            <w:gridSpan w:val="3"/>
            <w:tcBorders>
              <w:bottom w:val="single" w:sz="12" w:space="0" w:color="E81111"/>
            </w:tcBorders>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462,868</w:t>
            </w:r>
          </w:p>
        </w:tc>
        <w:tc>
          <w:tcPr>
            <w:tcW w:w="381" w:type="dxa"/>
            <w:gridSpan w:val="3"/>
            <w:tcBorders>
              <w:bottom w:val="single" w:sz="12" w:space="0" w:color="E81111"/>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2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1.The value realized equals the Company’s closing stock price on the vesting date, multiplied by the number of RSUs that vested. If the vesting date was on a day which the market was not open, then the closing price for the first preceding day the market was open was used.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63525"/>
                <wp:effectExtent l="0" t="0" r="0" b="0"/>
                <wp:wrapNone/>
                <wp:docPr id="412" name="Frame77"/>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413"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Image264" descr=""/>
                                          <pic:cNvPicPr>
                                            <a:picLocks noChangeAspect="1" noChangeArrowheads="1"/>
                                          </pic:cNvPicPr>
                                        </pic:nvPicPr>
                                        <pic:blipFill>
                                          <a:blip r:embed="rId337"/>
                                          <a:stretch>
                                            <a:fillRect/>
                                          </a:stretch>
                                        </pic:blipFill>
                                        <pic:spPr bwMode="auto">
                                          <a:xfrm>
                                            <a:off x="0" y="0"/>
                                            <a:ext cx="266700" cy="200025"/>
                                          </a:xfrm>
                                          <a:prstGeom prst="rect">
                                            <a:avLst/>
                                          </a:prstGeom>
                                        </pic:spPr>
                                      </pic:pic>
                                    </a:graphicData>
                                  </a:graphic>
                                </wp:inline>
                              </w:drawing>
                            </w:r>
                            <w:bookmarkStart w:id="336" w:name="i-264"/>
                            <w:bookmarkEnd w:id="33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414"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264" descr=""/>
                                    <pic:cNvPicPr>
                                      <a:picLocks noChangeAspect="1" noChangeArrowheads="1"/>
                                    </pic:cNvPicPr>
                                  </pic:nvPicPr>
                                  <pic:blipFill>
                                    <a:blip r:embed="rId338"/>
                                    <a:stretch>
                                      <a:fillRect/>
                                    </a:stretch>
                                  </pic:blipFill>
                                  <pic:spPr bwMode="auto">
                                    <a:xfrm>
                                      <a:off x="0" y="0"/>
                                      <a:ext cx="266700" cy="200025"/>
                                    </a:xfrm>
                                    <a:prstGeom prst="rect">
                                      <a:avLst/>
                                    </a:prstGeom>
                                  </pic:spPr>
                                </pic:pic>
                              </a:graphicData>
                            </a:graphic>
                          </wp:inline>
                        </w:drawing>
                      </w:r>
                      <w:bookmarkStart w:id="337" w:name="i-264"/>
                      <w:bookmarkEnd w:id="337"/>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Potential Payments Upon Qualifying Termination of Employment or Change of Control</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 information below describes and estimates potential payments and benefits to which the NEOs would be entitled under existing arrangements if a qualifying termination of employment occurred on January 31, 2026, the last business day of our 2025 fiscal year, and based on the closing price of our stock of $55.01, as of the last trading day of our 2025 fiscal year. These benefits are in addition to benefits available generally to salaried team members. The amounts actually paid or distributed in connection with a qualifying termination of employment may differ from the estimates below. The qualifying termination events listed below are as defined in the applicable agreements. The Company does not provide for enhanced cash severance in connection with or following a change of control.</w:t>
      </w:r>
    </w:p>
    <w:tbl>
      <w:tblPr>
        <w:tblW w:w="10205" w:type="dxa"/>
        <w:jc w:val="left"/>
        <w:tblInd w:w="0" w:type="dxa"/>
        <w:tblLayout w:type="fixed"/>
        <w:tblCellMar>
          <w:top w:w="28" w:type="dxa"/>
          <w:left w:w="28" w:type="dxa"/>
          <w:bottom w:w="28" w:type="dxa"/>
          <w:right w:w="28" w:type="dxa"/>
        </w:tblCellMar>
      </w:tblPr>
      <w:tblGrid>
        <w:gridCol w:w="386"/>
        <w:gridCol w:w="339"/>
        <w:gridCol w:w="344"/>
        <w:gridCol w:w="725"/>
        <w:gridCol w:w="563"/>
        <w:gridCol w:w="565"/>
        <w:gridCol w:w="370"/>
        <w:gridCol w:w="370"/>
        <w:gridCol w:w="371"/>
        <w:gridCol w:w="429"/>
        <w:gridCol w:w="395"/>
        <w:gridCol w:w="396"/>
        <w:gridCol w:w="657"/>
        <w:gridCol w:w="657"/>
        <w:gridCol w:w="658"/>
        <w:gridCol w:w="867"/>
        <w:gridCol w:w="867"/>
        <w:gridCol w:w="869"/>
        <w:gridCol w:w="109"/>
        <w:gridCol w:w="109"/>
        <w:gridCol w:w="159"/>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6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6" w:type="dxa"/>
            <w:gridSpan w:val="12"/>
            <w:tcBorders/>
            <w:shd w:fill="1946C8"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color w:val="FFFFFF"/>
                <w:sz w:val="16"/>
              </w:rPr>
            </w:pPr>
            <w:r>
              <w:rPr>
                <w:rFonts w:ascii="Roboto;sans-serif" w:hAnsi="Roboto;sans-serif"/>
                <w:b/>
                <w:color w:val="FFFFFF"/>
                <w:sz w:val="16"/>
              </w:rPr>
              <w:t>Qualifying Termination Event</w:t>
            </w:r>
          </w:p>
        </w:tc>
        <w:tc>
          <w:tcPr>
            <w:tcW w:w="37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FFFFFF"/>
                <w:sz w:val="16"/>
              </w:rPr>
            </w:pPr>
            <w:r>
              <w:rPr>
                <w:rFonts w:ascii="Roboto;sans-serif" w:hAnsi="Roboto;sans-serif"/>
                <w:b/>
                <w:color w:val="FFFFFF"/>
                <w:sz w:val="16"/>
              </w:rPr>
              <w:t>NEO</w:t>
            </w:r>
          </w:p>
        </w:tc>
        <w:tc>
          <w:tcPr>
            <w:tcW w:w="1853"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FFFFFF"/>
                <w:sz w:val="16"/>
              </w:rPr>
            </w:pPr>
            <w:r>
              <w:rPr>
                <w:rFonts w:ascii="Roboto;sans-serif" w:hAnsi="Roboto;sans-serif"/>
                <w:b/>
                <w:color w:val="FFFFFF"/>
                <w:sz w:val="16"/>
              </w:rPr>
              <w:t>Payment Type</w:t>
            </w:r>
          </w:p>
        </w:tc>
        <w:tc>
          <w:tcPr>
            <w:tcW w:w="1111"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6"/>
              </w:rPr>
            </w:pPr>
            <w:r>
              <w:rPr>
                <w:rFonts w:ascii="Roboto;sans-serif" w:hAnsi="Roboto;sans-serif"/>
                <w:b/>
                <w:color w:val="FFFFFF"/>
                <w:sz w:val="16"/>
              </w:rPr>
              <w:t>Retirement</w:t>
              <w:br/>
              <w:t>($)</w:t>
            </w:r>
          </w:p>
        </w:tc>
        <w:tc>
          <w:tcPr>
            <w:tcW w:w="1220"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6"/>
              </w:rPr>
            </w:pPr>
            <w:r>
              <w:rPr>
                <w:rFonts w:ascii="Roboto;sans-serif" w:hAnsi="Roboto;sans-serif"/>
                <w:b/>
                <w:color w:val="FFFFFF"/>
                <w:sz w:val="16"/>
              </w:rPr>
              <w:t>Death or Disability</w:t>
              <w:br/>
              <w:t>($)</w:t>
            </w:r>
          </w:p>
        </w:tc>
        <w:tc>
          <w:tcPr>
            <w:tcW w:w="1972"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6"/>
              </w:rPr>
            </w:pPr>
            <w:r>
              <w:rPr>
                <w:rFonts w:ascii="Roboto;sans-serif" w:hAnsi="Roboto;sans-serif"/>
                <w:b/>
                <w:color w:val="FFFFFF"/>
                <w:sz w:val="16"/>
              </w:rPr>
              <w:t>Without Cause or Resignation for Good Reason</w:t>
              <w:br/>
              <w:t>($)</w:t>
            </w:r>
          </w:p>
        </w:tc>
        <w:tc>
          <w:tcPr>
            <w:tcW w:w="2603"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Without Cause or Resignation for Good Reason Following Change of Control</w:t>
            </w:r>
          </w:p>
          <w:p>
            <w:pPr>
              <w:pStyle w:val="TableContents"/>
              <w:bidi w:val="0"/>
              <w:spacing w:lineRule="auto" w:line="312" w:before="0" w:after="0"/>
              <w:jc w:val="right"/>
              <w:rPr/>
            </w:pPr>
            <w:r>
              <w:rPr>
                <w:rFonts w:ascii="Roboto;sans-serif" w:hAnsi="Roboto;sans-serif"/>
                <w:b/>
                <w:color w:val="FFFFFF"/>
                <w:sz w:val="16"/>
              </w:rPr>
              <w:t>($)</w:t>
            </w:r>
            <w:r>
              <w:rPr>
                <w:rFonts w:ascii="Roboto;sans-serif" w:hAnsi="Roboto;sans-serif"/>
                <w:b/>
                <w:color w:val="FFFFFF"/>
                <w:sz w:val="10"/>
              </w:rPr>
              <w:t>(1)</w:t>
            </w:r>
          </w:p>
        </w:tc>
        <w:tc>
          <w:tcPr>
            <w:tcW w:w="37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vMerge w:val="restart"/>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000000"/>
                <w:sz w:val="16"/>
              </w:rPr>
            </w:pPr>
            <w:r>
              <w:rPr>
                <w:rFonts w:ascii="Roboto;sans-serif" w:hAnsi="Roboto;sans-serif"/>
                <w:b/>
                <w:color w:val="000000"/>
                <w:sz w:val="16"/>
              </w:rPr>
              <w:t>Steve</w:t>
            </w:r>
          </w:p>
          <w:p>
            <w:pPr>
              <w:pStyle w:val="TableContents"/>
              <w:bidi w:val="0"/>
              <w:spacing w:lineRule="auto" w:line="312" w:before="0" w:after="0"/>
              <w:jc w:val="left"/>
              <w:rPr>
                <w:rFonts w:ascii="Roboto;sans-serif" w:hAnsi="Roboto;sans-serif"/>
                <w:b/>
                <w:color w:val="000000"/>
                <w:sz w:val="16"/>
              </w:rPr>
            </w:pPr>
            <w:r>
              <w:rPr>
                <w:rFonts w:ascii="Roboto;sans-serif" w:hAnsi="Roboto;sans-serif"/>
                <w:b/>
                <w:color w:val="000000"/>
                <w:sz w:val="16"/>
              </w:rPr>
              <w:t>Lawrence</w:t>
            </w:r>
          </w:p>
        </w:tc>
        <w:tc>
          <w:tcPr>
            <w:tcW w:w="1853"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Cash Severance (Salary and Bonus)</w:t>
            </w:r>
          </w:p>
        </w:tc>
        <w:tc>
          <w:tcPr>
            <w:tcW w:w="111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220"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972"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3,401,501</w:t>
            </w:r>
          </w:p>
        </w:tc>
        <w:tc>
          <w:tcPr>
            <w:tcW w:w="2603"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3,401,501</w:t>
            </w:r>
          </w:p>
        </w:tc>
        <w:tc>
          <w:tcPr>
            <w:tcW w:w="3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1853"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Pro-Rata Bonus</w:t>
            </w:r>
          </w:p>
        </w:tc>
        <w:tc>
          <w:tcPr>
            <w:tcW w:w="111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220"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972"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1,082,612</w:t>
            </w:r>
          </w:p>
        </w:tc>
        <w:tc>
          <w:tcPr>
            <w:tcW w:w="2603"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1,082,612</w:t>
            </w:r>
          </w:p>
        </w:tc>
        <w:tc>
          <w:tcPr>
            <w:tcW w:w="3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1853"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COBRA Insurance</w:t>
            </w:r>
          </w:p>
        </w:tc>
        <w:tc>
          <w:tcPr>
            <w:tcW w:w="111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220"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972"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57,544</w:t>
            </w:r>
          </w:p>
        </w:tc>
        <w:tc>
          <w:tcPr>
            <w:tcW w:w="2603"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57,544</w:t>
            </w:r>
          </w:p>
        </w:tc>
        <w:tc>
          <w:tcPr>
            <w:tcW w:w="3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1853"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Life Insurance</w:t>
            </w:r>
          </w:p>
        </w:tc>
        <w:tc>
          <w:tcPr>
            <w:tcW w:w="111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220"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972"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540</w:t>
            </w:r>
          </w:p>
        </w:tc>
        <w:tc>
          <w:tcPr>
            <w:tcW w:w="2603"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540</w:t>
            </w:r>
          </w:p>
        </w:tc>
        <w:tc>
          <w:tcPr>
            <w:tcW w:w="3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1853"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Accelerated Vesting: Options</w:t>
            </w:r>
          </w:p>
        </w:tc>
        <w:tc>
          <w:tcPr>
            <w:tcW w:w="111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220"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253,250</w:t>
            </w:r>
          </w:p>
        </w:tc>
        <w:tc>
          <w:tcPr>
            <w:tcW w:w="1972"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603"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253,250</w:t>
            </w:r>
          </w:p>
        </w:tc>
        <w:tc>
          <w:tcPr>
            <w:tcW w:w="3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1853"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Accelerated Vesting: Performance Restricted Units</w:t>
            </w:r>
          </w:p>
        </w:tc>
        <w:tc>
          <w:tcPr>
            <w:tcW w:w="111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220"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6,938,136</w:t>
            </w:r>
          </w:p>
        </w:tc>
        <w:tc>
          <w:tcPr>
            <w:tcW w:w="1972"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603"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10,489,747</w:t>
            </w:r>
          </w:p>
        </w:tc>
        <w:tc>
          <w:tcPr>
            <w:tcW w:w="3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1853"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Accelerated Vesting: Time Restricted Units</w:t>
            </w:r>
          </w:p>
        </w:tc>
        <w:tc>
          <w:tcPr>
            <w:tcW w:w="111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220"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2,844,732</w:t>
            </w:r>
          </w:p>
        </w:tc>
        <w:tc>
          <w:tcPr>
            <w:tcW w:w="1972"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603"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6,320,484</w:t>
            </w:r>
          </w:p>
        </w:tc>
        <w:tc>
          <w:tcPr>
            <w:tcW w:w="3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1853"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00000"/>
                <w:sz w:val="16"/>
              </w:rPr>
            </w:pPr>
            <w:r>
              <w:rPr>
                <w:rFonts w:ascii="Roboto;sans-serif" w:hAnsi="Roboto;sans-serif"/>
                <w:b/>
                <w:color w:val="000000"/>
                <w:sz w:val="16"/>
              </w:rPr>
              <w:t>Total</w:t>
            </w:r>
          </w:p>
        </w:tc>
        <w:tc>
          <w:tcPr>
            <w:tcW w:w="111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220"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10,036,118</w:t>
            </w:r>
          </w:p>
        </w:tc>
        <w:tc>
          <w:tcPr>
            <w:tcW w:w="1972"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4,542,197</w:t>
            </w:r>
          </w:p>
        </w:tc>
        <w:tc>
          <w:tcPr>
            <w:tcW w:w="2603"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21,605,678</w:t>
            </w:r>
          </w:p>
        </w:tc>
        <w:tc>
          <w:tcPr>
            <w:tcW w:w="3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000000"/>
                <w:sz w:val="16"/>
              </w:rPr>
            </w:pPr>
            <w:r>
              <w:rPr>
                <w:rFonts w:ascii="Roboto;sans-serif" w:hAnsi="Roboto;sans-serif"/>
                <w:b/>
                <w:color w:val="000000"/>
                <w:sz w:val="16"/>
              </w:rPr>
              <w:t>Sam Johnson</w:t>
            </w:r>
          </w:p>
        </w:tc>
        <w:tc>
          <w:tcPr>
            <w:tcW w:w="185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Cash Severance (Salary and Bonus)</w:t>
            </w:r>
          </w:p>
        </w:tc>
        <w:tc>
          <w:tcPr>
            <w:tcW w:w="111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220"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97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2,584,797</w:t>
            </w:r>
          </w:p>
        </w:tc>
        <w:tc>
          <w:tcPr>
            <w:tcW w:w="2603"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2,584,797</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vMerge w:val="continue"/>
            <w:tcBorders/>
            <w:tcMar>
              <w:top w:w="0" w:type="dxa"/>
              <w:left w:w="0" w:type="dxa"/>
              <w:bottom w:w="0" w:type="dxa"/>
              <w:right w:w="0" w:type="dxa"/>
            </w:tcMar>
            <w:vAlign w:val="center"/>
          </w:tcPr>
          <w:p>
            <w:pPr>
              <w:pStyle w:val="Normal"/>
              <w:bidi w:val="0"/>
              <w:jc w:val="left"/>
              <w:rPr/>
            </w:pPr>
            <w:r>
              <w:rPr/>
            </w:r>
          </w:p>
        </w:tc>
        <w:tc>
          <w:tcPr>
            <w:tcW w:w="1853"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Pro-Rata Bonus</w:t>
            </w:r>
          </w:p>
        </w:tc>
        <w:tc>
          <w:tcPr>
            <w:tcW w:w="111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220"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972"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917,238</w:t>
            </w:r>
          </w:p>
        </w:tc>
        <w:tc>
          <w:tcPr>
            <w:tcW w:w="2603"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917,238</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vMerge w:val="continue"/>
            <w:tcBorders/>
            <w:tcMar>
              <w:top w:w="0" w:type="dxa"/>
              <w:left w:w="0" w:type="dxa"/>
              <w:bottom w:w="0" w:type="dxa"/>
              <w:right w:w="0" w:type="dxa"/>
            </w:tcMar>
            <w:vAlign w:val="center"/>
          </w:tcPr>
          <w:p>
            <w:pPr>
              <w:pStyle w:val="Normal"/>
              <w:bidi w:val="0"/>
              <w:jc w:val="left"/>
              <w:rPr/>
            </w:pPr>
            <w:r>
              <w:rPr/>
            </w:r>
          </w:p>
        </w:tc>
        <w:tc>
          <w:tcPr>
            <w:tcW w:w="1853"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COBRA Insurance</w:t>
            </w:r>
          </w:p>
        </w:tc>
        <w:tc>
          <w:tcPr>
            <w:tcW w:w="111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220"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972"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57,544</w:t>
            </w:r>
          </w:p>
        </w:tc>
        <w:tc>
          <w:tcPr>
            <w:tcW w:w="2603"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57,544</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vMerge w:val="continue"/>
            <w:tcBorders/>
            <w:tcMar>
              <w:top w:w="0" w:type="dxa"/>
              <w:left w:w="0" w:type="dxa"/>
              <w:bottom w:w="0" w:type="dxa"/>
              <w:right w:w="0" w:type="dxa"/>
            </w:tcMar>
            <w:vAlign w:val="center"/>
          </w:tcPr>
          <w:p>
            <w:pPr>
              <w:pStyle w:val="Normal"/>
              <w:bidi w:val="0"/>
              <w:jc w:val="left"/>
              <w:rPr/>
            </w:pPr>
            <w:r>
              <w:rPr/>
            </w:r>
          </w:p>
        </w:tc>
        <w:tc>
          <w:tcPr>
            <w:tcW w:w="1853"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Life Insurance</w:t>
            </w:r>
          </w:p>
        </w:tc>
        <w:tc>
          <w:tcPr>
            <w:tcW w:w="111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220"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972"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540</w:t>
            </w:r>
          </w:p>
        </w:tc>
        <w:tc>
          <w:tcPr>
            <w:tcW w:w="2603"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540</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vMerge w:val="continue"/>
            <w:tcBorders/>
            <w:tcMar>
              <w:top w:w="0" w:type="dxa"/>
              <w:left w:w="0" w:type="dxa"/>
              <w:bottom w:w="0" w:type="dxa"/>
              <w:right w:w="0" w:type="dxa"/>
            </w:tcMar>
            <w:vAlign w:val="center"/>
          </w:tcPr>
          <w:p>
            <w:pPr>
              <w:pStyle w:val="Normal"/>
              <w:bidi w:val="0"/>
              <w:jc w:val="left"/>
              <w:rPr/>
            </w:pPr>
            <w:r>
              <w:rPr/>
            </w:r>
          </w:p>
        </w:tc>
        <w:tc>
          <w:tcPr>
            <w:tcW w:w="1853"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Accelerated Vesting: Options</w:t>
            </w:r>
          </w:p>
        </w:tc>
        <w:tc>
          <w:tcPr>
            <w:tcW w:w="111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220"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170,143</w:t>
            </w:r>
          </w:p>
        </w:tc>
        <w:tc>
          <w:tcPr>
            <w:tcW w:w="1972"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603"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170,143</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vMerge w:val="continue"/>
            <w:tcBorders/>
            <w:tcMar>
              <w:top w:w="0" w:type="dxa"/>
              <w:left w:w="0" w:type="dxa"/>
              <w:bottom w:w="0" w:type="dxa"/>
              <w:right w:w="0" w:type="dxa"/>
            </w:tcMar>
            <w:vAlign w:val="center"/>
          </w:tcPr>
          <w:p>
            <w:pPr>
              <w:pStyle w:val="Normal"/>
              <w:bidi w:val="0"/>
              <w:jc w:val="left"/>
              <w:rPr/>
            </w:pPr>
            <w:r>
              <w:rPr/>
            </w:r>
          </w:p>
        </w:tc>
        <w:tc>
          <w:tcPr>
            <w:tcW w:w="1853"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Accelerated Vesting: Performance Restricted Units</w:t>
            </w:r>
          </w:p>
        </w:tc>
        <w:tc>
          <w:tcPr>
            <w:tcW w:w="111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220"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2,769,148</w:t>
            </w:r>
          </w:p>
        </w:tc>
        <w:tc>
          <w:tcPr>
            <w:tcW w:w="1972"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603"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4,323,731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vMerge w:val="continue"/>
            <w:tcBorders/>
            <w:tcMar>
              <w:top w:w="0" w:type="dxa"/>
              <w:left w:w="0" w:type="dxa"/>
              <w:bottom w:w="0" w:type="dxa"/>
              <w:right w:w="0" w:type="dxa"/>
            </w:tcMar>
            <w:vAlign w:val="center"/>
          </w:tcPr>
          <w:p>
            <w:pPr>
              <w:pStyle w:val="Normal"/>
              <w:bidi w:val="0"/>
              <w:jc w:val="left"/>
              <w:rPr/>
            </w:pPr>
            <w:r>
              <w:rPr/>
            </w:r>
          </w:p>
        </w:tc>
        <w:tc>
          <w:tcPr>
            <w:tcW w:w="1853"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Accelerated Vesting: Time Restricted Units</w:t>
            </w:r>
          </w:p>
        </w:tc>
        <w:tc>
          <w:tcPr>
            <w:tcW w:w="111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220"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1,205,599</w:t>
            </w:r>
          </w:p>
        </w:tc>
        <w:tc>
          <w:tcPr>
            <w:tcW w:w="1972"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603"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2,725,195</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vMerge w:val="continue"/>
            <w:tcBorders/>
            <w:tcMar>
              <w:top w:w="0" w:type="dxa"/>
              <w:left w:w="0" w:type="dxa"/>
              <w:bottom w:w="0" w:type="dxa"/>
              <w:right w:w="0" w:type="dxa"/>
            </w:tcMar>
            <w:vAlign w:val="center"/>
          </w:tcPr>
          <w:p>
            <w:pPr>
              <w:pStyle w:val="Normal"/>
              <w:bidi w:val="0"/>
              <w:jc w:val="left"/>
              <w:rPr/>
            </w:pPr>
            <w:r>
              <w:rPr/>
            </w:r>
          </w:p>
        </w:tc>
        <w:tc>
          <w:tcPr>
            <w:tcW w:w="1853"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00000"/>
                <w:sz w:val="16"/>
              </w:rPr>
            </w:pPr>
            <w:r>
              <w:rPr>
                <w:rFonts w:ascii="Roboto;sans-serif" w:hAnsi="Roboto;sans-serif"/>
                <w:b/>
                <w:color w:val="000000"/>
                <w:sz w:val="16"/>
              </w:rPr>
              <w:t>Total</w:t>
            </w:r>
          </w:p>
        </w:tc>
        <w:tc>
          <w:tcPr>
            <w:tcW w:w="111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220"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4,144,890</w:t>
            </w:r>
          </w:p>
        </w:tc>
        <w:tc>
          <w:tcPr>
            <w:tcW w:w="1972"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3,560,119</w:t>
            </w:r>
          </w:p>
        </w:tc>
        <w:tc>
          <w:tcPr>
            <w:tcW w:w="2603"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10,779,188</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63525"/>
                <wp:effectExtent l="0" t="0" r="0" b="0"/>
                <wp:wrapNone/>
                <wp:docPr id="415" name="Frame78"/>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416"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265" descr=""/>
                                          <pic:cNvPicPr>
                                            <a:picLocks noChangeAspect="1" noChangeArrowheads="1"/>
                                          </pic:cNvPicPr>
                                        </pic:nvPicPr>
                                        <pic:blipFill>
                                          <a:blip r:embed="rId339"/>
                                          <a:stretch>
                                            <a:fillRect/>
                                          </a:stretch>
                                        </pic:blipFill>
                                        <pic:spPr bwMode="auto">
                                          <a:xfrm>
                                            <a:off x="0" y="0"/>
                                            <a:ext cx="266700" cy="200025"/>
                                          </a:xfrm>
                                          <a:prstGeom prst="rect">
                                            <a:avLst/>
                                          </a:prstGeom>
                                        </pic:spPr>
                                      </pic:pic>
                                    </a:graphicData>
                                  </a:graphic>
                                </wp:inline>
                              </w:drawing>
                            </w:r>
                            <w:bookmarkStart w:id="338" w:name="i-265"/>
                            <w:bookmarkEnd w:id="33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417"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265" descr=""/>
                                    <pic:cNvPicPr>
                                      <a:picLocks noChangeAspect="1" noChangeArrowheads="1"/>
                                    </pic:cNvPicPr>
                                  </pic:nvPicPr>
                                  <pic:blipFill>
                                    <a:blip r:embed="rId340"/>
                                    <a:stretch>
                                      <a:fillRect/>
                                    </a:stretch>
                                  </pic:blipFill>
                                  <pic:spPr bwMode="auto">
                                    <a:xfrm>
                                      <a:off x="0" y="0"/>
                                      <a:ext cx="266700" cy="200025"/>
                                    </a:xfrm>
                                    <a:prstGeom prst="rect">
                                      <a:avLst/>
                                    </a:prstGeom>
                                  </pic:spPr>
                                </pic:pic>
                              </a:graphicData>
                            </a:graphic>
                          </wp:inline>
                        </w:drawing>
                      </w:r>
                      <w:bookmarkStart w:id="339" w:name="i-265"/>
                      <w:bookmarkEnd w:id="339"/>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73</w:t>
            </w:r>
          </w:p>
        </w:tc>
      </w:tr>
    </w:tbl>
    <w:tbl>
      <w:tblPr>
        <w:tblW w:w="10205" w:type="dxa"/>
        <w:jc w:val="left"/>
        <w:tblInd w:w="0" w:type="dxa"/>
        <w:tblLayout w:type="fixed"/>
        <w:tblCellMar>
          <w:top w:w="28" w:type="dxa"/>
          <w:left w:w="28" w:type="dxa"/>
          <w:bottom w:w="28" w:type="dxa"/>
          <w:right w:w="28" w:type="dxa"/>
        </w:tblCellMar>
      </w:tblPr>
      <w:tblGrid>
        <w:gridCol w:w="382"/>
        <w:gridCol w:w="334"/>
        <w:gridCol w:w="239"/>
        <w:gridCol w:w="735"/>
        <w:gridCol w:w="575"/>
        <w:gridCol w:w="578"/>
        <w:gridCol w:w="370"/>
        <w:gridCol w:w="370"/>
        <w:gridCol w:w="371"/>
        <w:gridCol w:w="398"/>
        <w:gridCol w:w="398"/>
        <w:gridCol w:w="399"/>
        <w:gridCol w:w="669"/>
        <w:gridCol w:w="669"/>
        <w:gridCol w:w="670"/>
        <w:gridCol w:w="889"/>
        <w:gridCol w:w="889"/>
        <w:gridCol w:w="891"/>
        <w:gridCol w:w="109"/>
        <w:gridCol w:w="109"/>
        <w:gridCol w:w="161"/>
      </w:tblGrid>
      <w:tr>
        <w:trPr/>
        <w:tc>
          <w:tcPr>
            <w:tcW w:w="38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5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3" w:type="dxa"/>
            <w:gridSpan w:val="12"/>
            <w:tcBorders/>
            <w:shd w:fill="1946C8"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color w:val="FFFFFF"/>
                <w:sz w:val="16"/>
              </w:rPr>
            </w:pPr>
            <w:r>
              <w:rPr>
                <w:rFonts w:ascii="Roboto;sans-serif" w:hAnsi="Roboto;sans-serif"/>
                <w:b/>
                <w:color w:val="FFFFFF"/>
                <w:sz w:val="16"/>
              </w:rPr>
              <w:t>Qualifying Termination Event</w:t>
            </w:r>
          </w:p>
        </w:tc>
        <w:tc>
          <w:tcPr>
            <w:tcW w:w="37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FFFFFF"/>
                <w:sz w:val="16"/>
              </w:rPr>
            </w:pPr>
            <w:r>
              <w:rPr>
                <w:rFonts w:ascii="Roboto;sans-serif" w:hAnsi="Roboto;sans-serif"/>
                <w:b/>
                <w:color w:val="FFFFFF"/>
                <w:sz w:val="16"/>
              </w:rPr>
              <w:t>NEO</w:t>
            </w:r>
          </w:p>
        </w:tc>
        <w:tc>
          <w:tcPr>
            <w:tcW w:w="1888"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FFFFFF"/>
                <w:sz w:val="16"/>
              </w:rPr>
            </w:pPr>
            <w:r>
              <w:rPr>
                <w:rFonts w:ascii="Roboto;sans-serif" w:hAnsi="Roboto;sans-serif"/>
                <w:b/>
                <w:color w:val="FFFFFF"/>
                <w:sz w:val="16"/>
              </w:rPr>
              <w:t>Payment Type</w:t>
            </w:r>
          </w:p>
        </w:tc>
        <w:tc>
          <w:tcPr>
            <w:tcW w:w="1111"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6"/>
              </w:rPr>
            </w:pPr>
            <w:r>
              <w:rPr>
                <w:rFonts w:ascii="Roboto;sans-serif" w:hAnsi="Roboto;sans-serif"/>
                <w:b/>
                <w:color w:val="FFFFFF"/>
                <w:sz w:val="16"/>
              </w:rPr>
              <w:t>Retirement</w:t>
              <w:br/>
              <w:t>($)</w:t>
            </w:r>
          </w:p>
        </w:tc>
        <w:tc>
          <w:tcPr>
            <w:tcW w:w="1195"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6"/>
              </w:rPr>
            </w:pPr>
            <w:r>
              <w:rPr>
                <w:rFonts w:ascii="Roboto;sans-serif" w:hAnsi="Roboto;sans-serif"/>
                <w:b/>
                <w:color w:val="FFFFFF"/>
                <w:sz w:val="16"/>
              </w:rPr>
              <w:t>Death or Disability</w:t>
              <w:br/>
              <w:t>($)</w:t>
            </w:r>
          </w:p>
        </w:tc>
        <w:tc>
          <w:tcPr>
            <w:tcW w:w="2008"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6"/>
              </w:rPr>
            </w:pPr>
            <w:r>
              <w:rPr>
                <w:rFonts w:ascii="Roboto;sans-serif" w:hAnsi="Roboto;sans-serif"/>
                <w:b/>
                <w:color w:val="FFFFFF"/>
                <w:sz w:val="16"/>
              </w:rPr>
              <w:t>Without Cause or Resignation for Good Reason</w:t>
              <w:br/>
              <w:t>($)</w:t>
            </w:r>
          </w:p>
        </w:tc>
        <w:tc>
          <w:tcPr>
            <w:tcW w:w="2669"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Without Cause or Resignation for Good Reason Following Change of Control</w:t>
            </w:r>
          </w:p>
          <w:p>
            <w:pPr>
              <w:pStyle w:val="TableContents"/>
              <w:bidi w:val="0"/>
              <w:spacing w:lineRule="auto" w:line="312" w:before="0" w:after="0"/>
              <w:jc w:val="right"/>
              <w:rPr/>
            </w:pPr>
            <w:r>
              <w:rPr>
                <w:rFonts w:ascii="Roboto;sans-serif" w:hAnsi="Roboto;sans-serif"/>
                <w:b/>
                <w:color w:val="FFFFFF"/>
                <w:sz w:val="16"/>
              </w:rPr>
              <w:t>($)</w:t>
            </w:r>
            <w:r>
              <w:rPr>
                <w:rFonts w:ascii="Roboto;sans-serif" w:hAnsi="Roboto;sans-serif"/>
                <w:b/>
                <w:color w:val="FFFFFF"/>
                <w:sz w:val="10"/>
              </w:rPr>
              <w:t>(1)</w:t>
            </w:r>
          </w:p>
        </w:tc>
        <w:tc>
          <w:tcPr>
            <w:tcW w:w="37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vMerge w:val="restart"/>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color w:val="000000"/>
                <w:sz w:val="16"/>
              </w:rPr>
            </w:pPr>
            <w:r>
              <w:rPr>
                <w:rFonts w:ascii="Roboto;sans-serif" w:hAnsi="Roboto;sans-serif"/>
                <w:b/>
                <w:color w:val="000000"/>
                <w:sz w:val="16"/>
              </w:rPr>
              <w:t>Carl Ford</w:t>
            </w:r>
          </w:p>
        </w:tc>
        <w:tc>
          <w:tcPr>
            <w:tcW w:w="1888"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Cash Severance (Salary and Bonus)</w:t>
            </w:r>
          </w:p>
        </w:tc>
        <w:tc>
          <w:tcPr>
            <w:tcW w:w="111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95"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08"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1,548,098</w:t>
            </w:r>
          </w:p>
        </w:tc>
        <w:tc>
          <w:tcPr>
            <w:tcW w:w="2669"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1,548,098</w:t>
            </w:r>
          </w:p>
        </w:tc>
        <w:tc>
          <w:tcPr>
            <w:tcW w:w="37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1888"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Pro-Rata Bonus</w:t>
            </w:r>
          </w:p>
        </w:tc>
        <w:tc>
          <w:tcPr>
            <w:tcW w:w="111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95"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08"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499,899</w:t>
            </w:r>
          </w:p>
        </w:tc>
        <w:tc>
          <w:tcPr>
            <w:tcW w:w="2669"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499,899</w:t>
            </w:r>
          </w:p>
        </w:tc>
        <w:tc>
          <w:tcPr>
            <w:tcW w:w="37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1888"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COBRA Insurance</w:t>
            </w:r>
          </w:p>
        </w:tc>
        <w:tc>
          <w:tcPr>
            <w:tcW w:w="111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95"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08"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37,475</w:t>
            </w:r>
          </w:p>
        </w:tc>
        <w:tc>
          <w:tcPr>
            <w:tcW w:w="2669"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37,475</w:t>
            </w:r>
          </w:p>
        </w:tc>
        <w:tc>
          <w:tcPr>
            <w:tcW w:w="37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1888"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Life Insurance</w:t>
            </w:r>
          </w:p>
        </w:tc>
        <w:tc>
          <w:tcPr>
            <w:tcW w:w="111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95"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08"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669"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1888"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Accelerated Vesting: Options</w:t>
            </w:r>
          </w:p>
        </w:tc>
        <w:tc>
          <w:tcPr>
            <w:tcW w:w="111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95"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52,138</w:t>
            </w:r>
          </w:p>
        </w:tc>
        <w:tc>
          <w:tcPr>
            <w:tcW w:w="2008"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669"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52,138</w:t>
            </w:r>
          </w:p>
        </w:tc>
        <w:tc>
          <w:tcPr>
            <w:tcW w:w="37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1888"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Accelerated Vesting: Performance Restricted Units</w:t>
            </w:r>
          </w:p>
        </w:tc>
        <w:tc>
          <w:tcPr>
            <w:tcW w:w="111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95"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1,053,717</w:t>
            </w:r>
          </w:p>
        </w:tc>
        <w:tc>
          <w:tcPr>
            <w:tcW w:w="2008"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669"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1,609,868</w:t>
            </w:r>
          </w:p>
        </w:tc>
        <w:tc>
          <w:tcPr>
            <w:tcW w:w="37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1888"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Accelerated Vesting: Time Restricted Units</w:t>
            </w:r>
          </w:p>
        </w:tc>
        <w:tc>
          <w:tcPr>
            <w:tcW w:w="111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95"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518,304</w:t>
            </w:r>
          </w:p>
        </w:tc>
        <w:tc>
          <w:tcPr>
            <w:tcW w:w="2008"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669"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1,059,878</w:t>
            </w:r>
          </w:p>
        </w:tc>
        <w:tc>
          <w:tcPr>
            <w:tcW w:w="37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vMerge w:val="continue"/>
            <w:tcBorders/>
            <w:shd w:fill="ECF8FE" w:val="clear"/>
            <w:tcMar>
              <w:top w:w="0" w:type="dxa"/>
              <w:left w:w="0" w:type="dxa"/>
              <w:bottom w:w="0" w:type="dxa"/>
              <w:right w:w="0" w:type="dxa"/>
            </w:tcMar>
            <w:vAlign w:val="center"/>
          </w:tcPr>
          <w:p>
            <w:pPr>
              <w:pStyle w:val="Normal"/>
              <w:bidi w:val="0"/>
              <w:jc w:val="left"/>
              <w:rPr/>
            </w:pPr>
            <w:r>
              <w:rPr/>
            </w:r>
          </w:p>
        </w:tc>
        <w:tc>
          <w:tcPr>
            <w:tcW w:w="1888"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00000"/>
                <w:sz w:val="16"/>
              </w:rPr>
            </w:pPr>
            <w:r>
              <w:rPr>
                <w:rFonts w:ascii="Roboto;sans-serif" w:hAnsi="Roboto;sans-serif"/>
                <w:b/>
                <w:color w:val="000000"/>
                <w:sz w:val="16"/>
              </w:rPr>
              <w:t>Total</w:t>
            </w:r>
          </w:p>
        </w:tc>
        <w:tc>
          <w:tcPr>
            <w:tcW w:w="111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95"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1,624,159</w:t>
            </w:r>
          </w:p>
        </w:tc>
        <w:tc>
          <w:tcPr>
            <w:tcW w:w="2008"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2,085,472</w:t>
            </w:r>
          </w:p>
        </w:tc>
        <w:tc>
          <w:tcPr>
            <w:tcW w:w="2669"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4,807,356</w:t>
            </w:r>
          </w:p>
        </w:tc>
        <w:tc>
          <w:tcPr>
            <w:tcW w:w="37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vMerge w:val="restart"/>
            <w:tcBorders>
              <w:bottom w:val="single" w:sz="12" w:space="0" w:color="E81111"/>
            </w:tcBorders>
            <w:tcMar>
              <w:top w:w="0" w:type="dxa"/>
              <w:left w:w="0" w:type="dxa"/>
              <w:bottom w:w="30" w:type="dxa"/>
              <w:right w:w="0" w:type="dxa"/>
            </w:tcMar>
            <w:vAlign w:val="center"/>
          </w:tcPr>
          <w:p>
            <w:pPr>
              <w:pStyle w:val="TableContents"/>
              <w:bidi w:val="0"/>
              <w:spacing w:lineRule="auto" w:line="312" w:before="0" w:after="0"/>
              <w:jc w:val="left"/>
              <w:rPr>
                <w:rFonts w:ascii="Roboto;sans-serif" w:hAnsi="Roboto;sans-serif"/>
                <w:b/>
                <w:color w:val="000000"/>
                <w:sz w:val="16"/>
              </w:rPr>
            </w:pPr>
            <w:r>
              <w:rPr>
                <w:rFonts w:ascii="Roboto;sans-serif" w:hAnsi="Roboto;sans-serif"/>
                <w:b/>
                <w:color w:val="000000"/>
                <w:sz w:val="16"/>
              </w:rPr>
              <w:t>Matt McCabe</w:t>
            </w:r>
          </w:p>
        </w:tc>
        <w:tc>
          <w:tcPr>
            <w:tcW w:w="1888"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Cash Severance (Salary and Bonus)</w:t>
            </w:r>
          </w:p>
        </w:tc>
        <w:tc>
          <w:tcPr>
            <w:tcW w:w="1111"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95"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0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1,539,135</w:t>
            </w:r>
          </w:p>
        </w:tc>
        <w:tc>
          <w:tcPr>
            <w:tcW w:w="266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1,539,135</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vMerge w:val="continue"/>
            <w:tcBorders>
              <w:bottom w:val="single" w:sz="12" w:space="0" w:color="E81111"/>
            </w:tcBorders>
            <w:tcMar>
              <w:top w:w="0" w:type="dxa"/>
              <w:left w:w="0" w:type="dxa"/>
              <w:bottom w:w="30" w:type="dxa"/>
              <w:right w:w="0" w:type="dxa"/>
            </w:tcMar>
            <w:vAlign w:val="center"/>
          </w:tcPr>
          <w:p>
            <w:pPr>
              <w:pStyle w:val="Normal"/>
              <w:bidi w:val="0"/>
              <w:jc w:val="left"/>
              <w:rPr/>
            </w:pPr>
            <w:r>
              <w:rPr/>
            </w:r>
          </w:p>
        </w:tc>
        <w:tc>
          <w:tcPr>
            <w:tcW w:w="1888"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Pro-Rata Bonus</w:t>
            </w:r>
          </w:p>
        </w:tc>
        <w:tc>
          <w:tcPr>
            <w:tcW w:w="111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95"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08"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499,899</w:t>
            </w:r>
          </w:p>
        </w:tc>
        <w:tc>
          <w:tcPr>
            <w:tcW w:w="2669"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499,899</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vMerge w:val="continue"/>
            <w:tcBorders>
              <w:bottom w:val="single" w:sz="12" w:space="0" w:color="E81111"/>
            </w:tcBorders>
            <w:tcMar>
              <w:top w:w="0" w:type="dxa"/>
              <w:left w:w="0" w:type="dxa"/>
              <w:bottom w:w="30" w:type="dxa"/>
              <w:right w:w="0" w:type="dxa"/>
            </w:tcMar>
            <w:vAlign w:val="center"/>
          </w:tcPr>
          <w:p>
            <w:pPr>
              <w:pStyle w:val="Normal"/>
              <w:bidi w:val="0"/>
              <w:jc w:val="left"/>
              <w:rPr/>
            </w:pPr>
            <w:r>
              <w:rPr/>
            </w:r>
          </w:p>
        </w:tc>
        <w:tc>
          <w:tcPr>
            <w:tcW w:w="1888"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COBRA Insurance</w:t>
            </w:r>
          </w:p>
        </w:tc>
        <w:tc>
          <w:tcPr>
            <w:tcW w:w="111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95"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08"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37,475</w:t>
            </w:r>
          </w:p>
        </w:tc>
        <w:tc>
          <w:tcPr>
            <w:tcW w:w="2669"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37,475</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vMerge w:val="continue"/>
            <w:tcBorders>
              <w:bottom w:val="single" w:sz="12" w:space="0" w:color="E81111"/>
            </w:tcBorders>
            <w:tcMar>
              <w:top w:w="0" w:type="dxa"/>
              <w:left w:w="0" w:type="dxa"/>
              <w:bottom w:w="30" w:type="dxa"/>
              <w:right w:w="0" w:type="dxa"/>
            </w:tcMar>
            <w:vAlign w:val="center"/>
          </w:tcPr>
          <w:p>
            <w:pPr>
              <w:pStyle w:val="Normal"/>
              <w:bidi w:val="0"/>
              <w:jc w:val="left"/>
              <w:rPr/>
            </w:pPr>
            <w:r>
              <w:rPr/>
            </w:r>
          </w:p>
        </w:tc>
        <w:tc>
          <w:tcPr>
            <w:tcW w:w="1888"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Life Insurance</w:t>
            </w:r>
          </w:p>
        </w:tc>
        <w:tc>
          <w:tcPr>
            <w:tcW w:w="111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95"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008"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669"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vMerge w:val="continue"/>
            <w:tcBorders>
              <w:bottom w:val="single" w:sz="12" w:space="0" w:color="E81111"/>
            </w:tcBorders>
            <w:tcMar>
              <w:top w:w="0" w:type="dxa"/>
              <w:left w:w="0" w:type="dxa"/>
              <w:bottom w:w="30" w:type="dxa"/>
              <w:right w:w="0" w:type="dxa"/>
            </w:tcMar>
            <w:vAlign w:val="center"/>
          </w:tcPr>
          <w:p>
            <w:pPr>
              <w:pStyle w:val="Normal"/>
              <w:bidi w:val="0"/>
              <w:jc w:val="left"/>
              <w:rPr/>
            </w:pPr>
            <w:r>
              <w:rPr/>
            </w:r>
          </w:p>
        </w:tc>
        <w:tc>
          <w:tcPr>
            <w:tcW w:w="1888"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Accelerated Vesting: Options</w:t>
            </w:r>
          </w:p>
        </w:tc>
        <w:tc>
          <w:tcPr>
            <w:tcW w:w="111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95"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52,138</w:t>
            </w:r>
          </w:p>
        </w:tc>
        <w:tc>
          <w:tcPr>
            <w:tcW w:w="2008"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669"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52,138</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vMerge w:val="continue"/>
            <w:tcBorders>
              <w:bottom w:val="single" w:sz="12" w:space="0" w:color="E81111"/>
            </w:tcBorders>
            <w:tcMar>
              <w:top w:w="0" w:type="dxa"/>
              <w:left w:w="0" w:type="dxa"/>
              <w:bottom w:w="30" w:type="dxa"/>
              <w:right w:w="0" w:type="dxa"/>
            </w:tcMar>
            <w:vAlign w:val="center"/>
          </w:tcPr>
          <w:p>
            <w:pPr>
              <w:pStyle w:val="Normal"/>
              <w:bidi w:val="0"/>
              <w:jc w:val="left"/>
              <w:rPr/>
            </w:pPr>
            <w:r>
              <w:rPr/>
            </w:r>
          </w:p>
        </w:tc>
        <w:tc>
          <w:tcPr>
            <w:tcW w:w="1888"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Accelerated Vesting: Performance Restricted Units</w:t>
            </w:r>
          </w:p>
        </w:tc>
        <w:tc>
          <w:tcPr>
            <w:tcW w:w="111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95"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1,053,717</w:t>
            </w:r>
          </w:p>
        </w:tc>
        <w:tc>
          <w:tcPr>
            <w:tcW w:w="2008"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669"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1,609,868</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vMerge w:val="continue"/>
            <w:tcBorders>
              <w:bottom w:val="single" w:sz="12" w:space="0" w:color="E81111"/>
            </w:tcBorders>
            <w:tcMar>
              <w:top w:w="0" w:type="dxa"/>
              <w:left w:w="0" w:type="dxa"/>
              <w:bottom w:w="30" w:type="dxa"/>
              <w:right w:w="0" w:type="dxa"/>
            </w:tcMar>
            <w:vAlign w:val="center"/>
          </w:tcPr>
          <w:p>
            <w:pPr>
              <w:pStyle w:val="Normal"/>
              <w:bidi w:val="0"/>
              <w:jc w:val="left"/>
              <w:rPr/>
            </w:pPr>
            <w:r>
              <w:rPr/>
            </w:r>
          </w:p>
        </w:tc>
        <w:tc>
          <w:tcPr>
            <w:tcW w:w="1888"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Accelerated Vesting: Time Restricted Units</w:t>
            </w:r>
          </w:p>
        </w:tc>
        <w:tc>
          <w:tcPr>
            <w:tcW w:w="1111"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195"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518,304</w:t>
            </w:r>
          </w:p>
        </w:tc>
        <w:tc>
          <w:tcPr>
            <w:tcW w:w="2008"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2669"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1,059,878</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 w:type="dxa"/>
            <w:gridSpan w:val="3"/>
            <w:vMerge w:val="continue"/>
            <w:tcBorders>
              <w:bottom w:val="single" w:sz="12" w:space="0" w:color="E81111"/>
            </w:tcBorders>
            <w:tcMar>
              <w:top w:w="0" w:type="dxa"/>
              <w:left w:w="0" w:type="dxa"/>
              <w:bottom w:w="30" w:type="dxa"/>
              <w:right w:w="0" w:type="dxa"/>
            </w:tcMar>
            <w:vAlign w:val="center"/>
          </w:tcPr>
          <w:p>
            <w:pPr>
              <w:pStyle w:val="Normal"/>
              <w:bidi w:val="0"/>
              <w:jc w:val="left"/>
              <w:rPr/>
            </w:pPr>
            <w:r>
              <w:rPr/>
            </w:r>
          </w:p>
        </w:tc>
        <w:tc>
          <w:tcPr>
            <w:tcW w:w="1888"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left"/>
              <w:rPr>
                <w:rFonts w:ascii="Roboto;sans-serif" w:hAnsi="Roboto;sans-serif"/>
                <w:b/>
                <w:color w:val="000000"/>
                <w:sz w:val="16"/>
              </w:rPr>
            </w:pPr>
            <w:r>
              <w:rPr>
                <w:rFonts w:ascii="Roboto;sans-serif" w:hAnsi="Roboto;sans-serif"/>
                <w:b/>
                <w:color w:val="000000"/>
                <w:sz w:val="16"/>
              </w:rPr>
              <w:t>Total</w:t>
            </w:r>
          </w:p>
        </w:tc>
        <w:tc>
          <w:tcPr>
            <w:tcW w:w="1111"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1195"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1,624,159</w:t>
            </w:r>
          </w:p>
        </w:tc>
        <w:tc>
          <w:tcPr>
            <w:tcW w:w="2008"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2,076,509</w:t>
            </w:r>
          </w:p>
        </w:tc>
        <w:tc>
          <w:tcPr>
            <w:tcW w:w="2669" w:type="dxa"/>
            <w:gridSpan w:val="3"/>
            <w:tcBorders>
              <w:top w:val="single" w:sz="4"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4,798,393</w:t>
            </w:r>
          </w:p>
        </w:tc>
        <w:tc>
          <w:tcPr>
            <w:tcW w:w="379" w:type="dxa"/>
            <w:gridSpan w:val="3"/>
            <w:tcBorders>
              <w:bottom w:val="single" w:sz="12" w:space="0" w:color="E81111"/>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360"/>
        <w:jc w:val="left"/>
        <w:rPr/>
      </w:pPr>
      <w:r>
        <w:rPr>
          <w:rFonts w:ascii="Roboto Light;sans-serif" w:hAnsi="Roboto Light;sans-serif"/>
          <w:b w:val="false"/>
          <w:color w:val="000000"/>
          <w:sz w:val="14"/>
        </w:rPr>
        <w:t>1.</w:t>
      </w:r>
      <w:r>
        <w:rPr>
          <w:rFonts w:ascii="Roboto Light;sans-serif" w:hAnsi="Roboto Light;sans-serif"/>
          <w:b w:val="false"/>
          <w:color w:val="000000"/>
          <w:sz w:val="14"/>
        </w:rPr>
        <w:t>Qualifying termination event must occur within 24-months of a Change of Control to receive applicable equity award vesting acceleration.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Employment Agreements</w:t>
      </w:r>
    </w:p>
    <w:p>
      <w:pPr>
        <w:pStyle w:val="TextBody"/>
        <w:bidi w:val="0"/>
        <w:spacing w:lineRule="auto" w:line="312" w:before="0" w:after="60"/>
        <w:jc w:val="left"/>
        <w:rPr>
          <w:rFonts w:ascii="Roboto;sans-serif" w:hAnsi="Roboto;sans-serif"/>
          <w:b w:val="false"/>
          <w:color w:val="01024A"/>
          <w:sz w:val="20"/>
        </w:rPr>
      </w:pPr>
      <w:r>
        <w:rPr>
          <w:rFonts w:ascii="Roboto;sans-serif" w:hAnsi="Roboto;sans-serif"/>
          <w:b w:val="false"/>
          <w:color w:val="01024A"/>
          <w:sz w:val="20"/>
        </w:rPr>
        <w:t>Each NEO employment agreement, as in effect at the end of fiscal 2025, provides for the following terms:</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 xml:space="preserve">NEOs are entitled to a base salary, which may be increased at the discretion of the Board or the Committee, and are eligible to participate in the Company’s annual cash bonus plan pursuant to target bonus opportunities and pre-established performance targets, as determined by the Board or Committee.     </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NEOs are entitled to reimbursement for all reasonable business expenses incurred in performing services under the NEO’s employment agreement in accordance with the Company’s expense reimbursement policy, including all travel expenses while away from home on business or at the request of and in the service of the Company.</w:t>
      </w:r>
    </w:p>
    <w:p>
      <w:pPr>
        <w:pStyle w:val="TextBody"/>
        <w:bidi w:val="0"/>
        <w:spacing w:lineRule="auto" w:line="288" w:before="0" w:after="100"/>
        <w:ind w:left="0" w:right="0" w:hanging="288"/>
        <w:jc w:val="left"/>
        <w:rPr/>
      </w:pPr>
      <w:r>
        <w:rPr>
          <w:color w:val="000000"/>
        </w:rPr>
        <w:t>•</w:t>
      </w:r>
      <w:r>
        <w:rPr>
          <w:rFonts w:ascii="Roboto Light;sans-serif" w:hAnsi="Roboto Light;sans-serif"/>
          <w:b w:val="false"/>
          <w:color w:val="000000"/>
          <w:sz w:val="18"/>
        </w:rPr>
        <w:t xml:space="preserve">The following restrictive covenants apply to each NEO: </w:t>
      </w:r>
    </w:p>
    <w:p>
      <w:pPr>
        <w:pStyle w:val="TextBody"/>
        <w:bidi w:val="0"/>
        <w:spacing w:lineRule="auto" w:line="288" w:before="0" w:after="100"/>
        <w:ind w:left="0" w:right="0" w:hanging="270"/>
        <w:jc w:val="left"/>
        <w:rPr>
          <w:rFonts w:ascii="Roboto Light;sans-serif" w:hAnsi="Roboto Light;sans-serif"/>
          <w:b w:val="false"/>
          <w:color w:val="000000"/>
          <w:sz w:val="18"/>
        </w:rPr>
      </w:pPr>
      <w:r>
        <w:rPr>
          <w:rFonts w:ascii="Roboto Light;sans-serif" w:hAnsi="Roboto Light;sans-serif"/>
          <w:b w:val="false"/>
          <w:color w:val="000000"/>
          <w:sz w:val="18"/>
        </w:rPr>
        <w:t>i.assignment of all rights of any intellectual property created during employment to the Company and, during employment and in perpetuity thereafter, confidentiality and non-disparagement; and</w:t>
      </w:r>
    </w:p>
    <w:p>
      <w:pPr>
        <w:pStyle w:val="TextBody"/>
        <w:bidi w:val="0"/>
        <w:spacing w:lineRule="auto" w:line="288" w:before="0" w:after="100"/>
        <w:ind w:left="0" w:right="0" w:hanging="270"/>
        <w:jc w:val="left"/>
        <w:rPr>
          <w:rFonts w:ascii="Roboto Light;sans-serif" w:hAnsi="Roboto Light;sans-serif"/>
          <w:b w:val="false"/>
          <w:color w:val="000000"/>
          <w:sz w:val="18"/>
        </w:rPr>
      </w:pPr>
      <w:r>
        <w:rPr>
          <w:rFonts w:ascii="Roboto Light;sans-serif" w:hAnsi="Roboto Light;sans-serif"/>
          <w:b w:val="false"/>
          <w:color w:val="000000"/>
          <w:sz w:val="18"/>
        </w:rPr>
        <w:t>ii.during employment and for up to 24 months following termination, non-compete, non-solicitation and no hire of team members, and non-solicitation of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63525"/>
                <wp:effectExtent l="0" t="0" r="0" b="0"/>
                <wp:wrapNone/>
                <wp:docPr id="418" name="Frame79"/>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419"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266" descr=""/>
                                          <pic:cNvPicPr>
                                            <a:picLocks noChangeAspect="1" noChangeArrowheads="1"/>
                                          </pic:cNvPicPr>
                                        </pic:nvPicPr>
                                        <pic:blipFill>
                                          <a:blip r:embed="rId341"/>
                                          <a:stretch>
                                            <a:fillRect/>
                                          </a:stretch>
                                        </pic:blipFill>
                                        <pic:spPr bwMode="auto">
                                          <a:xfrm>
                                            <a:off x="0" y="0"/>
                                            <a:ext cx="266700" cy="200025"/>
                                          </a:xfrm>
                                          <a:prstGeom prst="rect">
                                            <a:avLst/>
                                          </a:prstGeom>
                                        </pic:spPr>
                                      </pic:pic>
                                    </a:graphicData>
                                  </a:graphic>
                                </wp:inline>
                              </w:drawing>
                            </w:r>
                            <w:bookmarkStart w:id="340" w:name="i-266"/>
                            <w:bookmarkEnd w:id="34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420"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266" descr=""/>
                                    <pic:cNvPicPr>
                                      <a:picLocks noChangeAspect="1" noChangeArrowheads="1"/>
                                    </pic:cNvPicPr>
                                  </pic:nvPicPr>
                                  <pic:blipFill>
                                    <a:blip r:embed="rId342"/>
                                    <a:stretch>
                                      <a:fillRect/>
                                    </a:stretch>
                                  </pic:blipFill>
                                  <pic:spPr bwMode="auto">
                                    <a:xfrm>
                                      <a:off x="0" y="0"/>
                                      <a:ext cx="266700" cy="200025"/>
                                    </a:xfrm>
                                    <a:prstGeom prst="rect">
                                      <a:avLst/>
                                    </a:prstGeom>
                                  </pic:spPr>
                                </pic:pic>
                              </a:graphicData>
                            </a:graphic>
                          </wp:inline>
                        </w:drawing>
                      </w:r>
                      <w:bookmarkStart w:id="341" w:name="i-266"/>
                      <w:bookmarkEnd w:id="341"/>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Severance Arrangements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Each actively employed NEO is entitled to receive severance benefits under the terms of his employment agreement upon either termination by the Company without Cause (as defined in their applicable agreements) or a resignation by the NEO for Good Reason (as defined in their applicable agreements). We provide these severance benefits in order to provide an overall compensation package that is competitive with that offered by the companies with which we compete for executive talent. Severance benefits help us retain our NEOs and allow our NEOs to focus on our business objectives without concern for their employment security in the event of a termination. Set forth below are the severance provisions that were in effect as of the end of fiscal 2025.</w:t>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Payments and Benefits</w:t>
      </w:r>
    </w:p>
    <w:p>
      <w:pPr>
        <w:pStyle w:val="TextBody"/>
        <w:bidi w:val="0"/>
        <w:spacing w:lineRule="auto" w:line="288" w:before="0" w:after="120"/>
        <w:ind w:left="0" w:right="0" w:hanging="288"/>
        <w:jc w:val="left"/>
        <w:rPr/>
      </w:pPr>
      <w:r>
        <w:rPr>
          <w:color w:val="000000"/>
        </w:rPr>
        <w:t>•</w:t>
      </w:r>
      <w:r>
        <w:rPr>
          <w:rFonts w:ascii="Roboto Light;sans-serif" w:hAnsi="Roboto Light;sans-serif"/>
          <w:b w:val="false"/>
          <w:color w:val="000000"/>
          <w:sz w:val="18"/>
        </w:rPr>
        <w:t xml:space="preserve">Severance payments and benefits are subject to timely execution, without revocation, of an effective release of claims in favor of the Company and its affiliates. </w:t>
      </w:r>
    </w:p>
    <w:p>
      <w:pPr>
        <w:pStyle w:val="TextBody"/>
        <w:bidi w:val="0"/>
        <w:spacing w:lineRule="auto" w:line="288" w:before="0" w:after="120"/>
        <w:ind w:left="0" w:right="0" w:hanging="288"/>
        <w:jc w:val="left"/>
        <w:rPr/>
      </w:pPr>
      <w:r>
        <w:rPr>
          <w:color w:val="000000"/>
        </w:rPr>
        <w:t>•</w:t>
      </w:r>
      <w:r>
        <w:rPr>
          <w:rFonts w:ascii="Roboto Light;sans-serif" w:hAnsi="Roboto Light;sans-serif"/>
          <w:b w:val="false"/>
          <w:color w:val="000000"/>
          <w:sz w:val="18"/>
        </w:rPr>
        <w:t xml:space="preserve">NEOs are not entitled to any severance payments or benefits if terminated for Cause or if they resign without Good Reason. </w:t>
      </w:r>
    </w:p>
    <w:p>
      <w:pPr>
        <w:pStyle w:val="TextBody"/>
        <w:bidi w:val="0"/>
        <w:spacing w:lineRule="auto" w:line="312" w:before="240" w:after="60"/>
        <w:jc w:val="left"/>
        <w:rPr>
          <w:rFonts w:ascii="Roboto;sans-serif" w:hAnsi="Roboto;sans-serif"/>
          <w:b/>
          <w:color w:val="01024A"/>
          <w:sz w:val="20"/>
        </w:rPr>
      </w:pPr>
      <w:r>
        <w:rPr>
          <w:rFonts w:ascii="Roboto;sans-serif" w:hAnsi="Roboto;sans-serif"/>
          <w:b/>
          <w:color w:val="01024A"/>
          <w:sz w:val="20"/>
        </w:rPr>
        <w:t xml:space="preserve">Death or Disability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If employment is terminated due to death or disability, then the Company will pay to the executive or the designated beneficiary or legal representative (if applicable) the prior year bonus, if any is due, at the same time in the year of termination as such payment would be made if the executive had otherwise continued to be employed by the Company. Treatment of equity awards in connection with termination due to death and disability is discussed below under “Equity Award Accelerated Vesting — Death and Disability.”</w:t>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 xml:space="preserve">Termination Without Cause or for Good Reason </w:t>
      </w:r>
    </w:p>
    <w:p>
      <w:pPr>
        <w:pStyle w:val="TextBody"/>
        <w:bidi w:val="0"/>
        <w:spacing w:lineRule="atLeast" w:line="240" w:before="0" w:after="180"/>
        <w:jc w:val="left"/>
        <w:rPr>
          <w:rFonts w:ascii="Roboto Light;sans-serif" w:hAnsi="Roboto Light;sans-serif"/>
          <w:b w:val="false"/>
          <w:color w:val="000000"/>
          <w:sz w:val="18"/>
        </w:rPr>
      </w:pPr>
      <w:r>
        <w:rPr>
          <w:rFonts w:ascii="Roboto Light;sans-serif" w:hAnsi="Roboto Light;sans-serif"/>
          <w:b w:val="false"/>
          <w:color w:val="000000"/>
          <w:sz w:val="18"/>
        </w:rPr>
        <w:t>If the Company terminates employment without Cause or the NEO resigns for Good Reason, then the Company will pay the NEO the following severance benefits:</w:t>
      </w:r>
    </w:p>
    <w:p>
      <w:pPr>
        <w:pStyle w:val="TextBody"/>
        <w:bidi w:val="0"/>
        <w:spacing w:lineRule="auto" w:line="288" w:before="0" w:after="120"/>
        <w:ind w:left="0" w:right="0" w:hanging="288"/>
        <w:jc w:val="left"/>
        <w:rPr/>
      </w:pPr>
      <w:r>
        <w:rPr>
          <w:color w:val="000000"/>
        </w:rPr>
        <w:t>•</w:t>
      </w:r>
      <w:r>
        <w:rPr>
          <w:rFonts w:ascii="Roboto Light;sans-serif" w:hAnsi="Roboto Light;sans-serif"/>
          <w:b w:val="false"/>
          <w:color w:val="000000"/>
          <w:sz w:val="18"/>
        </w:rPr>
        <w:t xml:space="preserve">The prior year bonus, if any is due, payable at the same time in the year of termination as such payment would be made if the executive had otherwise continued to be employed by the Company. </w:t>
      </w:r>
    </w:p>
    <w:p>
      <w:pPr>
        <w:pStyle w:val="TextBody"/>
        <w:bidi w:val="0"/>
        <w:spacing w:lineRule="auto" w:line="288" w:before="0" w:after="120"/>
        <w:ind w:left="0" w:right="0" w:hanging="288"/>
        <w:jc w:val="left"/>
        <w:rPr/>
      </w:pPr>
      <w:r>
        <w:rPr>
          <w:color w:val="000000"/>
        </w:rPr>
        <w:t>•</w:t>
      </w:r>
      <w:r>
        <w:rPr>
          <w:rFonts w:ascii="Roboto Light;sans-serif" w:hAnsi="Roboto Light;sans-serif"/>
          <w:b w:val="false"/>
          <w:color w:val="000000"/>
          <w:sz w:val="18"/>
        </w:rPr>
        <w:t>A cash severance amount equal to the product of 2.0 multiplied by the sum of their current base salary and the average annual bonus paid (or earned, to the extent not yet paid as of the termination date) for the two fiscal years immediately preceding the fiscal year in which the termination date occurs, payable ratably in 24 equal monthly installments following the termination date in accordance with the Company’s normal payroll cycle and procedures.</w:t>
      </w:r>
    </w:p>
    <w:p>
      <w:pPr>
        <w:pStyle w:val="TextBody"/>
        <w:bidi w:val="0"/>
        <w:spacing w:lineRule="auto" w:line="288" w:before="0" w:after="120"/>
        <w:ind w:left="0" w:right="0" w:hanging="288"/>
        <w:jc w:val="left"/>
        <w:rPr/>
      </w:pPr>
      <w:r>
        <w:rPr>
          <w:color w:val="000000"/>
        </w:rPr>
        <w:t>•</w:t>
      </w:r>
      <w:r>
        <w:rPr>
          <w:rFonts w:ascii="Roboto Light;sans-serif" w:hAnsi="Roboto Light;sans-serif"/>
          <w:b w:val="false"/>
          <w:color w:val="000000"/>
          <w:sz w:val="18"/>
        </w:rPr>
        <w:t>For the NEOs, other than Mr. Lawrence, a pro-rata portion of the actual annual bonus that would have been earned (assuming the NEO achieved 100% of target for any individual goals set in the fiscal year) under the Company’s annual cash bonus plan for the fiscal year in which the termination occurs, paid in a lump sum when annual bonuses for the fiscal year in which the date of termination occurs are otherwise paid to other similarly situated employees of the Company. Mr. Lawrence will receive a pro-rata portion of the annual bonus earned under the Company’s annual cash bonus plan for the fiscal year immediately preceding the fiscal year in which termination occurs (in lieu of the annual bonus that would have otherwise been due under the Company’s annual cash bonus plan for the performance period in which the termination date occurs), paid in a lump sum when annual bonuses for the fiscal year in which the date of termination occurs are otherwise paid to other similarly situated employees of the Company.</w:t>
      </w:r>
    </w:p>
    <w:p>
      <w:pPr>
        <w:pStyle w:val="TextBody"/>
        <w:bidi w:val="0"/>
        <w:spacing w:lineRule="auto" w:line="288" w:before="0" w:after="120"/>
        <w:ind w:left="0" w:right="0" w:hanging="288"/>
        <w:jc w:val="left"/>
        <w:rPr/>
      </w:pPr>
      <w:r>
        <w:rPr>
          <w:color w:val="000000"/>
        </w:rPr>
        <w:t>•</w:t>
      </w:r>
      <w:r>
        <w:rPr>
          <w:rFonts w:ascii="Roboto Light;sans-serif" w:hAnsi="Roboto Light;sans-serif"/>
          <w:b w:val="false"/>
          <w:color w:val="000000"/>
          <w:sz w:val="18"/>
        </w:rPr>
        <w:t>For the NEOs other</w:t>
      </w:r>
      <w:r>
        <w:rPr>
          <w:color w:val="000000"/>
          <w:shd w:fill="FFFFFF" w:val="clear"/>
        </w:rPr>
        <w:t xml:space="preserve"> </w:t>
      </w:r>
      <w:r>
        <w:rPr>
          <w:rFonts w:ascii="Roboto Light;sans-serif" w:hAnsi="Roboto Light;sans-serif"/>
          <w:b w:val="false"/>
          <w:color w:val="000000"/>
          <w:sz w:val="18"/>
          <w:shd w:fill="FFFFFF" w:val="clear"/>
        </w:rPr>
        <w:t>than Messrs. Ford and McCabe,</w:t>
      </w:r>
      <w:r>
        <w:rPr>
          <w:color w:val="000000"/>
        </w:rPr>
        <w:t xml:space="preserve"> </w:t>
      </w:r>
      <w:r>
        <w:rPr>
          <w:rFonts w:ascii="Roboto Light;sans-serif" w:hAnsi="Roboto Light;sans-serif"/>
          <w:b w:val="false"/>
          <w:color w:val="000000"/>
          <w:sz w:val="18"/>
        </w:rPr>
        <w:t>an amount equal to 24 months of basic life insurance premiums at the rates in effect immediately prior to the termination date, payable in a lump sum in cash on the first payroll date following the effective date of the release.</w:t>
      </w:r>
    </w:p>
    <w:p>
      <w:pPr>
        <w:pStyle w:val="TextBody"/>
        <w:bidi w:val="0"/>
        <w:spacing w:lineRule="auto" w:line="288" w:before="0" w:after="120"/>
        <w:ind w:left="0" w:right="0" w:hanging="288"/>
        <w:jc w:val="left"/>
        <w:rPr/>
      </w:pPr>
      <w:r>
        <w:rPr>
          <w:color w:val="000000"/>
        </w:rPr>
        <w:t>•</w:t>
      </w:r>
      <w:r>
        <w:rPr>
          <w:rFonts w:ascii="Roboto Light;sans-serif" w:hAnsi="Roboto Light;sans-serif"/>
          <w:b w:val="false"/>
          <w:color w:val="000000"/>
          <w:sz w:val="18"/>
        </w:rPr>
        <w:t>Subject to the NEO’s timely election of continuation coverage for the NEO and/or their covered dependents under the Consolidated Omnibus Budget Reconciliation Act of 1985, as amended, or COBRA, an additional cash lump sum on the first payroll date following the effective date of the release in an amount equal to (i) the monthly COBRA insurance premium for participation in the medical insurance benefits of the Company (determined based on the rate in effect on the date of termination) multiplied by (ii) 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63525"/>
                <wp:effectExtent l="0" t="0" r="0" b="0"/>
                <wp:wrapNone/>
                <wp:docPr id="421" name="Frame80"/>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422"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267" descr=""/>
                                          <pic:cNvPicPr>
                                            <a:picLocks noChangeAspect="1" noChangeArrowheads="1"/>
                                          </pic:cNvPicPr>
                                        </pic:nvPicPr>
                                        <pic:blipFill>
                                          <a:blip r:embed="rId343"/>
                                          <a:stretch>
                                            <a:fillRect/>
                                          </a:stretch>
                                        </pic:blipFill>
                                        <pic:spPr bwMode="auto">
                                          <a:xfrm>
                                            <a:off x="0" y="0"/>
                                            <a:ext cx="266700" cy="200025"/>
                                          </a:xfrm>
                                          <a:prstGeom prst="rect">
                                            <a:avLst/>
                                          </a:prstGeom>
                                        </pic:spPr>
                                      </pic:pic>
                                    </a:graphicData>
                                  </a:graphic>
                                </wp:inline>
                              </w:drawing>
                            </w:r>
                            <w:bookmarkStart w:id="342" w:name="i-267"/>
                            <w:bookmarkEnd w:id="342"/>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423"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267" descr=""/>
                                    <pic:cNvPicPr>
                                      <a:picLocks noChangeAspect="1" noChangeArrowheads="1"/>
                                    </pic:cNvPicPr>
                                  </pic:nvPicPr>
                                  <pic:blipFill>
                                    <a:blip r:embed="rId344"/>
                                    <a:stretch>
                                      <a:fillRect/>
                                    </a:stretch>
                                  </pic:blipFill>
                                  <pic:spPr bwMode="auto">
                                    <a:xfrm>
                                      <a:off x="0" y="0"/>
                                      <a:ext cx="266700" cy="200025"/>
                                    </a:xfrm>
                                    <a:prstGeom prst="rect">
                                      <a:avLst/>
                                    </a:prstGeom>
                                  </pic:spPr>
                                </pic:pic>
                              </a:graphicData>
                            </a:graphic>
                          </wp:inline>
                        </w:drawing>
                      </w:r>
                      <w:bookmarkStart w:id="343" w:name="i-267"/>
                      <w:bookmarkEnd w:id="343"/>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75</w:t>
            </w:r>
          </w:p>
        </w:tc>
      </w:tr>
    </w:tbl>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Equity Award Accelerated Vesting</w:t>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Change of Control</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We have approved accelerated vesting provisions for Options and RSUs in connection with a termination of employment within the 24 month period following a Change of Control (as defined in the 2020 Equity Plan). Time-based RSUs granted in 2023 and later provide for a full accelerated vesting in connection with a termination without “Cause” or resignation for “Good Reason” (each as defined in the applicable award agreements) that occurs within the 24-month period following a Change of Control. For performance-based RSUs granted in fiscal 2023 and later, the target number of RSUs subject to the award will be deemed earned upon a Change of Control. For performance-based RSUs granted prior to fiscal 2023, only Earned RSUs that have met the applicable performance criteria will remain outstanding following the Change of Control while unearned performance-based RSUs will be forfeited upon the Change of Control. All such outstanding performance-based RSUs will remain eligible to vest subject to the holder’s continued service through the end of the applicable performance period. If the holder is terminated without “Cause” or resigns for “Good Reason” within the 24-month period following the Change of Control, such RSUs will accelerate and vest in full (see “Potential Payments Upon Qualifying Termination of Employment or Change of Control” for additional information regarding accelerated vesting of Options and RSUs in connection with a Change of Control).</w:t>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Death or Disability</w:t>
      </w:r>
    </w:p>
    <w:p>
      <w:pPr>
        <w:pStyle w:val="TextBody"/>
        <w:bidi w:val="0"/>
        <w:spacing w:lineRule="atLeast" w:line="240" w:before="0" w:after="240"/>
        <w:jc w:val="left"/>
        <w:rPr/>
      </w:pPr>
      <w:r>
        <w:rPr>
          <w:rFonts w:ascii="Roboto Light;sans-serif" w:hAnsi="Roboto Light;sans-serif"/>
          <w:b w:val="false"/>
          <w:color w:val="000000"/>
          <w:sz w:val="18"/>
        </w:rPr>
        <w:t>Each NEO is entitled to limited vesting acceleration with respect to their outstanding Options, performance-based RSUs and time-based RSUs upon a death or disability termination. In connection with a termination due to death or disability: (i) the NEOs will immediately vest in any unvested Options that would have otherwise vested on the next applicable vesting date</w:t>
      </w:r>
      <w:r>
        <w:rPr>
          <w:rFonts w:ascii="Roboto Light;sans-serif" w:hAnsi="Roboto Light;sans-serif"/>
          <w:b w:val="false"/>
          <w:color w:val="000000"/>
          <w:sz w:val="18"/>
          <w:shd w:fill="FFFFFF" w:val="clear"/>
        </w:rPr>
        <w:t>; (ii) for the 2023 grants forward, the NEOs will immediately vest in a pro-rata portion of unvested performan</w:t>
      </w:r>
      <w:r>
        <w:rPr>
          <w:rFonts w:ascii="Roboto Light;sans-serif" w:hAnsi="Roboto Light;sans-serif"/>
          <w:b w:val="false"/>
          <w:color w:val="000000"/>
          <w:sz w:val="18"/>
        </w:rPr>
        <w:t>ce-based RSUs determined as the target number of RSUs granted multiplied by a fraction with a numerator equal to, the higher of, either 12 or the number of full months completed by the NEO during the 36-month performance period and a denominator of 36; and (iii) the NEOs will immediately vest in any unvested time-based RSUs that would have otherwise vested on the next applicable vesting date.</w:t>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Retirement</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The Committee added retirement vesting provisions to all NEOs with equity awards granted in 2023 and later. For the 2023 grants forward, “Retirement” refers to an NEO’s voluntary termination of continuous service after the NEO has: (i) attained age 55; (ii) completed at least five years of continuous service; and (iii) the NEO’s years of age and years of continuous service totals at least 70. In the event of an NEO’s Retirement, the 2023, 2024 and 2025 equity awards provide that: (i) any unvested Options and time-based RSUs will remain outstanding and eligible to vest on each applicable vesting date as if the NEO had remained in continuous service to the Company; and (ii) a pro-rata portion of any unvested performance-based RSUs (based on months worked through the Retirement date) will remain outstanding and eligible to become earned and vest based on actual performance as if the NEO had remained in continuous service.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63525"/>
                <wp:effectExtent l="0" t="0" r="0" b="0"/>
                <wp:wrapNone/>
                <wp:docPr id="424" name="Frame81"/>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425"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268" descr=""/>
                                          <pic:cNvPicPr>
                                            <a:picLocks noChangeAspect="1" noChangeArrowheads="1"/>
                                          </pic:cNvPicPr>
                                        </pic:nvPicPr>
                                        <pic:blipFill>
                                          <a:blip r:embed="rId345"/>
                                          <a:stretch>
                                            <a:fillRect/>
                                          </a:stretch>
                                        </pic:blipFill>
                                        <pic:spPr bwMode="auto">
                                          <a:xfrm>
                                            <a:off x="0" y="0"/>
                                            <a:ext cx="266700" cy="200025"/>
                                          </a:xfrm>
                                          <a:prstGeom prst="rect">
                                            <a:avLst/>
                                          </a:prstGeom>
                                        </pic:spPr>
                                      </pic:pic>
                                    </a:graphicData>
                                  </a:graphic>
                                </wp:inline>
                              </w:drawing>
                            </w:r>
                            <w:bookmarkStart w:id="344" w:name="i-268"/>
                            <w:bookmarkEnd w:id="34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426"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268" descr=""/>
                                    <pic:cNvPicPr>
                                      <a:picLocks noChangeAspect="1" noChangeArrowheads="1"/>
                                    </pic:cNvPicPr>
                                  </pic:nvPicPr>
                                  <pic:blipFill>
                                    <a:blip r:embed="rId346"/>
                                    <a:stretch>
                                      <a:fillRect/>
                                    </a:stretch>
                                  </pic:blipFill>
                                  <pic:spPr bwMode="auto">
                                    <a:xfrm>
                                      <a:off x="0" y="0"/>
                                      <a:ext cx="266700" cy="200025"/>
                                    </a:xfrm>
                                    <a:prstGeom prst="rect">
                                      <a:avLst/>
                                    </a:prstGeom>
                                  </pic:spPr>
                                </pic:pic>
                              </a:graphicData>
                            </a:graphic>
                          </wp:inline>
                        </w:drawing>
                      </w:r>
                      <w:bookmarkStart w:id="345" w:name="i-268"/>
                      <w:bookmarkEnd w:id="345"/>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p>
      <w:pPr>
        <w:pStyle w:val="TextBody"/>
        <w:bidi w:val="0"/>
        <w:spacing w:lineRule="auto" w:line="312" w:before="360" w:after="120"/>
        <w:ind w:left="0" w:right="0" w:hanging="490"/>
        <w:jc w:val="left"/>
        <w:rPr>
          <w:rFonts w:ascii="Roboto;sans-serif" w:hAnsi="Roboto;sans-serif"/>
          <w:b/>
          <w:color w:val="1946C8"/>
          <w:sz w:val="24"/>
        </w:rPr>
      </w:pPr>
      <w:r>
        <w:rPr>
          <w:rFonts w:ascii="Roboto;sans-serif" w:hAnsi="Roboto;sans-serif"/>
          <w:b/>
          <w:color w:val="1946C8"/>
          <w:sz w:val="24"/>
        </w:rPr>
        <w:t>CEO Pay Ratio</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Pursuant to the Dodd-Frank Wall Street Reform and Consumer Protection Act and Item 402(u) of Regulation S-K under the Securities Act, we are required to disclose the ratio of our median team member’s annual total compensation to the annual total compensation of our CEO. The SEC’s rules for identifying the median compensated team member and calculating the pay ratio based on that team member’s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below, as other companies have different employee populations and compensation practices and may utilize different methodologies, exclusions, estimates and assumptions in calculating their own pay ratios. The following information is a reasonable good faith estimate calculated in a manner consistent with the SEC pay ratio rules and methods for disclosure.</w:t>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Methodology to Identify Our Median Team Member</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We identified our median compensated team member as follows:</w:t>
      </w:r>
    </w:p>
    <w:p>
      <w:pPr>
        <w:pStyle w:val="TextBody"/>
        <w:bidi w:val="0"/>
        <w:spacing w:lineRule="auto" w:line="288" w:before="0" w:after="120"/>
        <w:ind w:left="0" w:right="0" w:hanging="288"/>
        <w:jc w:val="left"/>
        <w:rPr/>
      </w:pPr>
      <w:r>
        <w:rPr>
          <w:color w:val="000000"/>
        </w:rPr>
        <w:t>•</w:t>
      </w:r>
      <w:r>
        <w:rPr>
          <w:rFonts w:ascii="Roboto Light;sans-serif" w:hAnsi="Roboto Light;sans-serif"/>
          <w:b w:val="false"/>
          <w:color w:val="000000"/>
          <w:sz w:val="18"/>
        </w:rPr>
        <w:t>We considered all of our active team members as of January 31, 2026, including any full-time, part-time, temporary or seasonal team members but excluding our CEO.</w:t>
      </w:r>
    </w:p>
    <w:p>
      <w:pPr>
        <w:pStyle w:val="TextBody"/>
        <w:bidi w:val="0"/>
        <w:spacing w:lineRule="auto" w:line="288" w:before="0" w:after="120"/>
        <w:ind w:left="0" w:right="0" w:hanging="288"/>
        <w:jc w:val="left"/>
        <w:rPr/>
      </w:pPr>
      <w:r>
        <w:rPr>
          <w:color w:val="000000"/>
        </w:rPr>
        <w:t>•</w:t>
      </w:r>
      <w:r>
        <w:rPr>
          <w:rFonts w:ascii="Roboto Light;sans-serif" w:hAnsi="Roboto Light;sans-serif"/>
          <w:b w:val="false"/>
          <w:color w:val="000000"/>
          <w:sz w:val="18"/>
        </w:rPr>
        <w:t xml:space="preserve">We used gross wages from our payroll records as reported for calendar year 2025. We converted any earnings paid in local (non-U.S.) currency to U.S. dollars using the published exchange rate as of January 31, 2026. We annualized gross wages for any team member who did not work for the entire year unless designated as a temporary, seasonal or other non-permanent team member as of January 31, 2026. </w:t>
      </w:r>
    </w:p>
    <w:p>
      <w:pPr>
        <w:pStyle w:val="TextBody"/>
        <w:bidi w:val="0"/>
        <w:spacing w:lineRule="auto" w:line="288" w:before="0" w:after="240"/>
        <w:ind w:left="0" w:right="0" w:hanging="288"/>
        <w:jc w:val="left"/>
        <w:rPr/>
      </w:pPr>
      <w:r>
        <w:rPr>
          <w:color w:val="000000"/>
        </w:rPr>
        <w:t>•</w:t>
      </w:r>
      <w:r>
        <w:rPr>
          <w:rFonts w:ascii="Roboto Light;sans-serif" w:hAnsi="Roboto Light;sans-serif"/>
          <w:b w:val="false"/>
          <w:color w:val="000000"/>
          <w:sz w:val="18"/>
        </w:rPr>
        <w:t>Our median team member was a full-time team member working in our stores division and employed the full fiscal year.</w:t>
      </w:r>
    </w:p>
    <w:p>
      <w:pPr>
        <w:pStyle w:val="TextBody"/>
        <w:bidi w:val="0"/>
        <w:spacing w:lineRule="auto" w:line="288" w:before="0" w:after="60"/>
        <w:jc w:val="left"/>
        <w:rPr>
          <w:rFonts w:ascii="Roboto;sans-serif" w:hAnsi="Roboto;sans-serif"/>
          <w:b/>
          <w:color w:val="01024A"/>
          <w:sz w:val="20"/>
        </w:rPr>
      </w:pPr>
      <w:r>
        <w:rPr>
          <w:rFonts w:ascii="Roboto;sans-serif" w:hAnsi="Roboto;sans-serif"/>
          <w:b/>
          <w:color w:val="01024A"/>
          <w:sz w:val="20"/>
        </w:rPr>
        <w:t>Calculating the Ratio</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After identifying the median team member, we calculated this team member’s total annual compensation in the same manner as the CEO’s compensation, which is described in the Summary Compensation Table (please see “Summary Compensation Table” for additional information). The annual total compensation of our median team member was $22,584 for 2025 and Mr. Lawrence’s 2025 compensation was $9,560,129. Thus, our CEO pay ratio based on fiscal year 2025 compensation is approximately 423:1.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63525"/>
                <wp:effectExtent l="0" t="0" r="0" b="0"/>
                <wp:wrapNone/>
                <wp:docPr id="427" name="Frame82"/>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428"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269" descr=""/>
                                          <pic:cNvPicPr>
                                            <a:picLocks noChangeAspect="1" noChangeArrowheads="1"/>
                                          </pic:cNvPicPr>
                                        </pic:nvPicPr>
                                        <pic:blipFill>
                                          <a:blip r:embed="rId347"/>
                                          <a:stretch>
                                            <a:fillRect/>
                                          </a:stretch>
                                        </pic:blipFill>
                                        <pic:spPr bwMode="auto">
                                          <a:xfrm>
                                            <a:off x="0" y="0"/>
                                            <a:ext cx="266700" cy="200025"/>
                                          </a:xfrm>
                                          <a:prstGeom prst="rect">
                                            <a:avLst/>
                                          </a:prstGeom>
                                        </pic:spPr>
                                      </pic:pic>
                                    </a:graphicData>
                                  </a:graphic>
                                </wp:inline>
                              </w:drawing>
                            </w:r>
                            <w:bookmarkStart w:id="346" w:name="i-269"/>
                            <w:bookmarkEnd w:id="346"/>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429"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269" descr=""/>
                                    <pic:cNvPicPr>
                                      <a:picLocks noChangeAspect="1" noChangeArrowheads="1"/>
                                    </pic:cNvPicPr>
                                  </pic:nvPicPr>
                                  <pic:blipFill>
                                    <a:blip r:embed="rId348"/>
                                    <a:stretch>
                                      <a:fillRect/>
                                    </a:stretch>
                                  </pic:blipFill>
                                  <pic:spPr bwMode="auto">
                                    <a:xfrm>
                                      <a:off x="0" y="0"/>
                                      <a:ext cx="266700" cy="200025"/>
                                    </a:xfrm>
                                    <a:prstGeom prst="rect">
                                      <a:avLst/>
                                    </a:prstGeom>
                                  </pic:spPr>
                                </pic:pic>
                              </a:graphicData>
                            </a:graphic>
                          </wp:inline>
                        </w:drawing>
                      </w:r>
                      <w:bookmarkStart w:id="347" w:name="i-269"/>
                      <w:bookmarkEnd w:id="347"/>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77</w:t>
            </w:r>
          </w:p>
        </w:tc>
      </w:tr>
    </w:tbl>
    <w:p>
      <w:pPr>
        <w:pStyle w:val="TextBody"/>
        <w:bidi w:val="0"/>
        <w:spacing w:lineRule="auto" w:line="288" w:before="0" w:after="120"/>
        <w:ind w:left="0" w:right="0" w:hanging="490"/>
        <w:jc w:val="left"/>
        <w:rPr>
          <w:rFonts w:ascii="Roboto;sans-serif" w:hAnsi="Roboto;sans-serif"/>
          <w:b/>
          <w:color w:val="1946C8"/>
          <w:sz w:val="24"/>
        </w:rPr>
      </w:pPr>
      <w:r>
        <w:rPr>
          <w:rFonts w:ascii="Roboto;sans-serif" w:hAnsi="Roboto;sans-serif"/>
          <w:b/>
          <w:color w:val="1946C8"/>
          <w:sz w:val="24"/>
        </w:rPr>
        <w:t>Pay versus Performance</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As required by Section 953(a) of the Dodd-Frank Wall Street Reform and Consumer Protection Act and Item 402(v) of Regulation S-K under the Securities Act, we are providing the following information about the relationship between executive “compensation actually paid” (“CAP”) and certain financial performance measures of the Company. For further information concerning the Company’s pay for performance philosophy and how the Company aligns executive compensation with the Company’s performance, refer to “Compensation Discussion and Analysis.”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 following table presents certain information regarding compensation paid to Academy’s Principal Executive Officer (“PEO”) and other Named Executive Officers (“Non-PEO NEOs”) both as reported in the Summary Compensation Table and with certain adjustments to reflect the CAP to such individuals, as well as certain measures of financial performance, for each of the six fiscal years ended January 31, 2026. The amounts shown below are calculated in accordance with Item 402(v) of Regulation S-K under the Securities Act and do not reflect the actual total compensation realized or received by our PEOs or Non-PEO NEOs.</w:t>
      </w:r>
    </w:p>
    <w:tbl>
      <w:tblPr>
        <w:tblW w:w="10331" w:type="dxa"/>
        <w:jc w:val="left"/>
        <w:tblInd w:w="0" w:type="dxa"/>
        <w:tblLayout w:type="fixed"/>
        <w:tblCellMar>
          <w:top w:w="28" w:type="dxa"/>
          <w:left w:w="28" w:type="dxa"/>
          <w:bottom w:w="28" w:type="dxa"/>
          <w:right w:w="28" w:type="dxa"/>
        </w:tblCellMar>
      </w:tblPr>
      <w:tblGrid>
        <w:gridCol w:w="190"/>
        <w:gridCol w:w="146"/>
        <w:gridCol w:w="145"/>
        <w:gridCol w:w="355"/>
        <w:gridCol w:w="355"/>
        <w:gridCol w:w="356"/>
        <w:gridCol w:w="355"/>
        <w:gridCol w:w="355"/>
        <w:gridCol w:w="356"/>
        <w:gridCol w:w="355"/>
        <w:gridCol w:w="355"/>
        <w:gridCol w:w="356"/>
        <w:gridCol w:w="355"/>
        <w:gridCol w:w="355"/>
        <w:gridCol w:w="356"/>
        <w:gridCol w:w="355"/>
        <w:gridCol w:w="355"/>
        <w:gridCol w:w="356"/>
        <w:gridCol w:w="355"/>
        <w:gridCol w:w="355"/>
        <w:gridCol w:w="356"/>
        <w:gridCol w:w="574"/>
        <w:gridCol w:w="197"/>
        <w:gridCol w:w="145"/>
        <w:gridCol w:w="574"/>
        <w:gridCol w:w="196"/>
        <w:gridCol w:w="146"/>
        <w:gridCol w:w="300"/>
        <w:gridCol w:w="300"/>
        <w:gridCol w:w="301"/>
        <w:gridCol w:w="211"/>
        <w:gridCol w:w="211"/>
        <w:gridCol w:w="299"/>
      </w:tblGrid>
      <w:tr>
        <w:trPr/>
        <w:tc>
          <w:tcPr>
            <w:tcW w:w="1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6"/>
            <w:tcBorders/>
            <w:shd w:fill="1946C8" w:val="clear"/>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FFFFFF"/>
                <w:sz w:val="12"/>
              </w:rPr>
            </w:pPr>
            <w:r>
              <w:rPr>
                <w:rFonts w:ascii="Roboto;sans-serif" w:hAnsi="Roboto;sans-serif"/>
                <w:b/>
                <w:color w:val="FFFFFF"/>
                <w:sz w:val="12"/>
              </w:rPr>
              <w:t>Value of Initial Fixed $100 Investment Based On:</w:t>
            </w:r>
          </w:p>
        </w:tc>
        <w:tc>
          <w:tcPr>
            <w:tcW w:w="1622" w:type="dxa"/>
            <w:gridSpan w:val="6"/>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color w:val="FFFFFF"/>
                <w:sz w:val="12"/>
              </w:rPr>
              <w:t>Year</w:t>
            </w:r>
            <w:r>
              <w:rPr>
                <w:rFonts w:ascii="Roboto;sans-serif" w:hAnsi="Roboto;sans-serif"/>
                <w:b/>
                <w:color w:val="FFFFFF"/>
                <w:sz w:val="8"/>
              </w:rPr>
              <w:t>(1)</w:t>
            </w:r>
          </w:p>
        </w:tc>
        <w:tc>
          <w:tcPr>
            <w:tcW w:w="1066"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2"/>
              </w:rPr>
            </w:pPr>
            <w:r>
              <w:rPr>
                <w:rFonts w:ascii="Roboto;sans-serif" w:hAnsi="Roboto;sans-serif"/>
                <w:b/>
                <w:color w:val="FFFFFF"/>
                <w:sz w:val="12"/>
              </w:rPr>
              <w:t>Summary Compensation Table Total for PEO 1</w:t>
              <w:br/>
              <w:t>($)</w:t>
            </w:r>
          </w:p>
        </w:tc>
        <w:tc>
          <w:tcPr>
            <w:tcW w:w="1066"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right"/>
              <w:rPr/>
            </w:pPr>
            <w:r>
              <w:rPr>
                <w:rFonts w:ascii="Roboto;sans-serif" w:hAnsi="Roboto;sans-serif"/>
                <w:b/>
                <w:color w:val="FFFFFF"/>
                <w:sz w:val="12"/>
              </w:rPr>
              <w:t>Compensation Actually Paid to PEO 1</w:t>
            </w:r>
            <w:r>
              <w:rPr>
                <w:rFonts w:ascii="Roboto;sans-serif" w:hAnsi="Roboto;sans-serif"/>
                <w:b/>
                <w:color w:val="FFFFFF"/>
                <w:sz w:val="8"/>
              </w:rPr>
              <w:t>(2)</w:t>
            </w:r>
          </w:p>
          <w:p>
            <w:pPr>
              <w:pStyle w:val="TableContents"/>
              <w:bidi w:val="0"/>
              <w:spacing w:lineRule="auto" w:line="312" w:before="0" w:after="0"/>
              <w:jc w:val="right"/>
              <w:rPr>
                <w:rFonts w:ascii="Roboto;sans-serif" w:hAnsi="Roboto;sans-serif"/>
                <w:b/>
                <w:color w:val="FFFFFF"/>
                <w:sz w:val="12"/>
              </w:rPr>
            </w:pPr>
            <w:r>
              <w:rPr>
                <w:rFonts w:ascii="Roboto;sans-serif" w:hAnsi="Roboto;sans-serif"/>
                <w:b/>
                <w:color w:val="FFFFFF"/>
                <w:sz w:val="12"/>
              </w:rPr>
              <w:t>($)</w:t>
            </w:r>
          </w:p>
        </w:tc>
        <w:tc>
          <w:tcPr>
            <w:tcW w:w="1066"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2"/>
              </w:rPr>
            </w:pPr>
            <w:r>
              <w:rPr>
                <w:rFonts w:ascii="Roboto;sans-serif" w:hAnsi="Roboto;sans-serif"/>
                <w:b/>
                <w:color w:val="FFFFFF"/>
                <w:sz w:val="12"/>
              </w:rPr>
              <w:t>Summary Compensation Table Total for PEO 2</w:t>
              <w:br/>
              <w:t>($)</w:t>
            </w:r>
          </w:p>
        </w:tc>
        <w:tc>
          <w:tcPr>
            <w:tcW w:w="1066"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right"/>
              <w:rPr/>
            </w:pPr>
            <w:r>
              <w:rPr>
                <w:rFonts w:ascii="Roboto;sans-serif" w:hAnsi="Roboto;sans-serif"/>
                <w:b/>
                <w:color w:val="FFFFFF"/>
                <w:sz w:val="12"/>
              </w:rPr>
              <w:t>Compensation Actually Paid to PEO 2</w:t>
            </w:r>
            <w:r>
              <w:rPr>
                <w:rFonts w:ascii="Roboto;sans-serif" w:hAnsi="Roboto;sans-serif"/>
                <w:b/>
                <w:color w:val="FFFFFF"/>
                <w:sz w:val="8"/>
              </w:rPr>
              <w:t>(2)</w:t>
            </w:r>
          </w:p>
          <w:p>
            <w:pPr>
              <w:pStyle w:val="TableContents"/>
              <w:bidi w:val="0"/>
              <w:spacing w:lineRule="auto" w:line="312" w:before="0" w:after="0"/>
              <w:jc w:val="right"/>
              <w:rPr>
                <w:rFonts w:ascii="Roboto;sans-serif" w:hAnsi="Roboto;sans-serif"/>
                <w:b/>
                <w:color w:val="FFFFFF"/>
                <w:sz w:val="12"/>
              </w:rPr>
            </w:pPr>
            <w:r>
              <w:rPr>
                <w:rFonts w:ascii="Roboto;sans-serif" w:hAnsi="Roboto;sans-serif"/>
                <w:b/>
                <w:color w:val="FFFFFF"/>
                <w:sz w:val="12"/>
              </w:rPr>
              <w:t>($)</w:t>
            </w:r>
          </w:p>
        </w:tc>
        <w:tc>
          <w:tcPr>
            <w:tcW w:w="1066"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2"/>
              </w:rPr>
            </w:pPr>
            <w:r>
              <w:rPr>
                <w:rFonts w:ascii="Roboto;sans-serif" w:hAnsi="Roboto;sans-serif"/>
                <w:b/>
                <w:color w:val="FFFFFF"/>
                <w:sz w:val="12"/>
              </w:rPr>
              <w:t>Average Summary Compensation Table Total for Non-PEO NEOs</w:t>
              <w:br/>
              <w:t>($)</w:t>
            </w:r>
          </w:p>
        </w:tc>
        <w:tc>
          <w:tcPr>
            <w:tcW w:w="1066"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right"/>
              <w:rPr/>
            </w:pPr>
            <w:r>
              <w:rPr>
                <w:rFonts w:ascii="Roboto;sans-serif" w:hAnsi="Roboto;sans-serif"/>
                <w:b/>
                <w:color w:val="FFFFFF"/>
                <w:sz w:val="12"/>
              </w:rPr>
              <w:t>Average Compensation Actually Paid to Non-PEO NEOs</w:t>
            </w:r>
            <w:r>
              <w:rPr>
                <w:rFonts w:ascii="Roboto;sans-serif" w:hAnsi="Roboto;sans-serif"/>
                <w:b/>
                <w:color w:val="FFFFFF"/>
                <w:sz w:val="8"/>
              </w:rPr>
              <w:t>(2)</w:t>
            </w:r>
          </w:p>
          <w:p>
            <w:pPr>
              <w:pStyle w:val="TableContents"/>
              <w:bidi w:val="0"/>
              <w:spacing w:lineRule="auto" w:line="312" w:before="0" w:after="0"/>
              <w:jc w:val="right"/>
              <w:rPr>
                <w:rFonts w:ascii="Roboto;sans-serif" w:hAnsi="Roboto;sans-serif"/>
                <w:b/>
                <w:color w:val="FFFFFF"/>
                <w:sz w:val="12"/>
              </w:rPr>
            </w:pPr>
            <w:r>
              <w:rPr>
                <w:rFonts w:ascii="Roboto;sans-serif" w:hAnsi="Roboto;sans-serif"/>
                <w:b/>
                <w:color w:val="FFFFFF"/>
                <w:sz w:val="12"/>
              </w:rPr>
              <w:t>($)</w:t>
            </w:r>
          </w:p>
        </w:tc>
        <w:tc>
          <w:tcPr>
            <w:tcW w:w="916"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right"/>
              <w:rPr/>
            </w:pPr>
            <w:r>
              <w:rPr>
                <w:rFonts w:ascii="Roboto;sans-serif" w:hAnsi="Roboto;sans-serif"/>
                <w:b/>
                <w:color w:val="FFFFFF"/>
                <w:sz w:val="12"/>
              </w:rPr>
              <w:t>Total Stockholder Return</w:t>
            </w:r>
            <w:r>
              <w:rPr>
                <w:rFonts w:ascii="Roboto;sans-serif" w:hAnsi="Roboto;sans-serif"/>
                <w:b/>
                <w:color w:val="FFFFFF"/>
                <w:sz w:val="8"/>
              </w:rPr>
              <w:t>(3)</w:t>
            </w:r>
          </w:p>
          <w:p>
            <w:pPr>
              <w:pStyle w:val="TableContents"/>
              <w:bidi w:val="0"/>
              <w:spacing w:lineRule="auto" w:line="312" w:before="0" w:after="0"/>
              <w:jc w:val="right"/>
              <w:rPr>
                <w:rFonts w:ascii="Roboto;sans-serif" w:hAnsi="Roboto;sans-serif"/>
                <w:b/>
                <w:color w:val="FFFFFF"/>
                <w:sz w:val="12"/>
              </w:rPr>
            </w:pPr>
            <w:r>
              <w:rPr>
                <w:rFonts w:ascii="Roboto;sans-serif" w:hAnsi="Roboto;sans-serif"/>
                <w:b/>
                <w:color w:val="FFFFFF"/>
                <w:sz w:val="12"/>
              </w:rPr>
              <w:t>($)</w:t>
            </w:r>
          </w:p>
        </w:tc>
        <w:tc>
          <w:tcPr>
            <w:tcW w:w="916"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right"/>
              <w:rPr/>
            </w:pPr>
            <w:r>
              <w:rPr>
                <w:rFonts w:ascii="Roboto;sans-serif" w:hAnsi="Roboto;sans-serif"/>
                <w:b/>
                <w:color w:val="FFFFFF"/>
                <w:sz w:val="12"/>
              </w:rPr>
              <w:t>Peer Group Total Stockholder Return</w:t>
            </w:r>
            <w:r>
              <w:rPr>
                <w:rFonts w:ascii="Roboto;sans-serif" w:hAnsi="Roboto;sans-serif"/>
                <w:b/>
                <w:color w:val="FFFFFF"/>
                <w:sz w:val="8"/>
              </w:rPr>
              <w:t>(4)</w:t>
            </w:r>
          </w:p>
          <w:p>
            <w:pPr>
              <w:pStyle w:val="TableContents"/>
              <w:bidi w:val="0"/>
              <w:spacing w:lineRule="auto" w:line="312" w:before="0" w:after="0"/>
              <w:jc w:val="right"/>
              <w:rPr>
                <w:rFonts w:ascii="Roboto;sans-serif" w:hAnsi="Roboto;sans-serif"/>
                <w:b/>
                <w:color w:val="FFFFFF"/>
                <w:sz w:val="12"/>
              </w:rPr>
            </w:pPr>
            <w:r>
              <w:rPr>
                <w:rFonts w:ascii="Roboto;sans-serif" w:hAnsi="Roboto;sans-serif"/>
                <w:b/>
                <w:color w:val="FFFFFF"/>
                <w:sz w:val="12"/>
              </w:rPr>
              <w:t>($)</w:t>
            </w:r>
          </w:p>
        </w:tc>
        <w:tc>
          <w:tcPr>
            <w:tcW w:w="901"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right"/>
              <w:rPr/>
            </w:pPr>
            <w:r>
              <w:rPr>
                <w:rFonts w:ascii="Roboto;sans-serif" w:hAnsi="Roboto;sans-serif"/>
                <w:b/>
                <w:color w:val="FFFFFF"/>
                <w:sz w:val="12"/>
              </w:rPr>
              <w:t>Net Income (in Thousands)</w:t>
            </w:r>
            <w:r>
              <w:rPr>
                <w:rFonts w:ascii="Roboto;sans-serif" w:hAnsi="Roboto;sans-serif"/>
                <w:b/>
                <w:color w:val="FFFFFF"/>
                <w:sz w:val="8"/>
              </w:rPr>
              <w:t>(5)</w:t>
            </w:r>
          </w:p>
          <w:p>
            <w:pPr>
              <w:pStyle w:val="TableContents"/>
              <w:bidi w:val="0"/>
              <w:spacing w:lineRule="auto" w:line="312" w:before="0" w:after="0"/>
              <w:jc w:val="right"/>
              <w:rPr>
                <w:rFonts w:ascii="Roboto;sans-serif" w:hAnsi="Roboto;sans-serif"/>
                <w:b/>
                <w:color w:val="FFFFFF"/>
                <w:sz w:val="12"/>
              </w:rPr>
            </w:pPr>
            <w:r>
              <w:rPr>
                <w:rFonts w:ascii="Roboto;sans-serif" w:hAnsi="Roboto;sans-serif"/>
                <w:b/>
                <w:color w:val="FFFFFF"/>
                <w:sz w:val="12"/>
              </w:rPr>
              <w:t>($)</w:t>
            </w:r>
          </w:p>
        </w:tc>
        <w:tc>
          <w:tcPr>
            <w:tcW w:w="721" w:type="dxa"/>
            <w:gridSpan w:val="3"/>
            <w:tcBorders/>
            <w:shd w:fill="1946C8" w:val="clear"/>
            <w:tcMar>
              <w:top w:w="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2"/>
              </w:rPr>
            </w:pPr>
            <w:r>
              <w:rPr>
                <w:rFonts w:ascii="Roboto;sans-serif" w:hAnsi="Roboto;sans-serif"/>
                <w:b/>
                <w:color w:val="FFFFFF"/>
                <w:sz w:val="12"/>
              </w:rPr>
              <w:t>Net Sales</w:t>
            </w:r>
          </w:p>
          <w:p>
            <w:pPr>
              <w:pStyle w:val="TableContents"/>
              <w:bidi w:val="0"/>
              <w:spacing w:lineRule="auto" w:line="312" w:before="0" w:after="0"/>
              <w:jc w:val="right"/>
              <w:rPr/>
            </w:pPr>
            <w:r>
              <w:rPr>
                <w:rFonts w:ascii="Roboto;sans-serif" w:hAnsi="Roboto;sans-serif"/>
                <w:b/>
                <w:color w:val="FFFFFF"/>
                <w:sz w:val="12"/>
              </w:rPr>
              <w:t>(in Billions)</w:t>
            </w:r>
            <w:r>
              <w:rPr>
                <w:rFonts w:ascii="Roboto;sans-serif" w:hAnsi="Roboto;sans-serif"/>
                <w:b/>
                <w:color w:val="FFFFFF"/>
                <w:sz w:val="8"/>
              </w:rPr>
              <w:t>(5)</w:t>
            </w:r>
          </w:p>
          <w:p>
            <w:pPr>
              <w:pStyle w:val="TableContents"/>
              <w:bidi w:val="0"/>
              <w:spacing w:lineRule="auto" w:line="312" w:before="0" w:after="0"/>
              <w:jc w:val="right"/>
              <w:rPr>
                <w:rFonts w:ascii="Roboto;sans-serif" w:hAnsi="Roboto;sans-serif"/>
                <w:b/>
                <w:color w:val="FFFFFF"/>
                <w:sz w:val="12"/>
              </w:rPr>
            </w:pPr>
            <w:r>
              <w:rPr>
                <w:rFonts w:ascii="Roboto;sans-serif" w:hAnsi="Roboto;sans-serif"/>
                <w:b/>
                <w:color w:val="FFFFFF"/>
                <w:sz w:val="12"/>
              </w:rPr>
              <w:t>($)</w:t>
            </w:r>
          </w:p>
        </w:tc>
      </w:tr>
      <w:tr>
        <w:trPr/>
        <w:tc>
          <w:tcPr>
            <w:tcW w:w="48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4"/>
              </w:rPr>
            </w:pPr>
            <w:r>
              <w:rPr>
                <w:rFonts w:ascii="Roboto;sans-serif" w:hAnsi="Roboto;sans-serif"/>
                <w:b w:val="false"/>
                <w:color w:val="000000"/>
                <w:sz w:val="14"/>
              </w:rPr>
              <w:t>2025</w:t>
            </w:r>
          </w:p>
        </w:tc>
        <w:tc>
          <w:tcPr>
            <w:tcW w:w="106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9,560,129</w:t>
            </w:r>
          </w:p>
        </w:tc>
        <w:tc>
          <w:tcPr>
            <w:tcW w:w="106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6,900,969</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2,983,227</w:t>
            </w:r>
          </w:p>
        </w:tc>
        <w:tc>
          <w:tcPr>
            <w:tcW w:w="106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2,265,436</w:t>
            </w:r>
          </w:p>
        </w:tc>
        <w:tc>
          <w:tcPr>
            <w:tcW w:w="91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264.15</w:t>
            </w:r>
          </w:p>
        </w:tc>
        <w:tc>
          <w:tcPr>
            <w:tcW w:w="91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167.96</w:t>
            </w:r>
          </w:p>
        </w:tc>
        <w:tc>
          <w:tcPr>
            <w:tcW w:w="90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376,768</w:t>
            </w:r>
          </w:p>
        </w:tc>
        <w:tc>
          <w:tcPr>
            <w:tcW w:w="72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6.05</w:t>
            </w:r>
          </w:p>
        </w:tc>
      </w:tr>
      <w:tr>
        <w:trPr/>
        <w:tc>
          <w:tcPr>
            <w:tcW w:w="48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4"/>
              </w:rPr>
            </w:pPr>
            <w:r>
              <w:rPr>
                <w:rFonts w:ascii="Roboto;sans-serif" w:hAnsi="Roboto;sans-serif"/>
                <w:b w:val="false"/>
                <w:color w:val="000000"/>
                <w:sz w:val="14"/>
              </w:rPr>
              <w:t>2024</w:t>
            </w:r>
          </w:p>
        </w:tc>
        <w:tc>
          <w:tcPr>
            <w:tcW w:w="106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8,661,073</w:t>
            </w:r>
          </w:p>
        </w:tc>
        <w:tc>
          <w:tcPr>
            <w:tcW w:w="106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1,504,404</w:t>
            </w:r>
          </w:p>
        </w:tc>
        <w:tc>
          <w:tcPr>
            <w:tcW w:w="106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2,413,830</w:t>
            </w:r>
          </w:p>
        </w:tc>
        <w:tc>
          <w:tcPr>
            <w:tcW w:w="106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237,350</w:t>
            </w:r>
          </w:p>
        </w:tc>
        <w:tc>
          <w:tcPr>
            <w:tcW w:w="91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248.53</w:t>
            </w:r>
          </w:p>
        </w:tc>
        <w:tc>
          <w:tcPr>
            <w:tcW w:w="91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161.84</w:t>
            </w:r>
          </w:p>
        </w:tc>
        <w:tc>
          <w:tcPr>
            <w:tcW w:w="90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418,447</w:t>
            </w:r>
          </w:p>
        </w:tc>
        <w:tc>
          <w:tcPr>
            <w:tcW w:w="72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5.93</w:t>
            </w:r>
          </w:p>
        </w:tc>
      </w:tr>
      <w:tr>
        <w:trPr/>
        <w:tc>
          <w:tcPr>
            <w:tcW w:w="48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4"/>
              </w:rPr>
            </w:pPr>
            <w:r>
              <w:rPr>
                <w:rFonts w:ascii="Roboto;sans-serif" w:hAnsi="Roboto;sans-serif"/>
                <w:b w:val="false"/>
                <w:color w:val="000000"/>
                <w:sz w:val="14"/>
              </w:rPr>
              <w:t>2023</w:t>
            </w:r>
          </w:p>
        </w:tc>
        <w:tc>
          <w:tcPr>
            <w:tcW w:w="106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8,627,400</w:t>
            </w:r>
          </w:p>
        </w:tc>
        <w:tc>
          <w:tcPr>
            <w:tcW w:w="106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11,774,408</w:t>
            </w:r>
          </w:p>
        </w:tc>
        <w:tc>
          <w:tcPr>
            <w:tcW w:w="106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9,117,082</w:t>
            </w:r>
          </w:p>
        </w:tc>
        <w:tc>
          <w:tcPr>
            <w:tcW w:w="106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11,619,208</w:t>
            </w:r>
          </w:p>
        </w:tc>
        <w:tc>
          <w:tcPr>
            <w:tcW w:w="106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2,904,320</w:t>
            </w:r>
          </w:p>
        </w:tc>
        <w:tc>
          <w:tcPr>
            <w:tcW w:w="106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3,887,928</w:t>
            </w:r>
          </w:p>
        </w:tc>
        <w:tc>
          <w:tcPr>
            <w:tcW w:w="91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304.08</w:t>
            </w:r>
          </w:p>
        </w:tc>
        <w:tc>
          <w:tcPr>
            <w:tcW w:w="91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120.71</w:t>
            </w:r>
          </w:p>
        </w:tc>
        <w:tc>
          <w:tcPr>
            <w:tcW w:w="90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519,190</w:t>
            </w:r>
          </w:p>
        </w:tc>
        <w:tc>
          <w:tcPr>
            <w:tcW w:w="72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6.16</w:t>
            </w:r>
          </w:p>
        </w:tc>
      </w:tr>
      <w:tr>
        <w:trPr/>
        <w:tc>
          <w:tcPr>
            <w:tcW w:w="48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4"/>
              </w:rPr>
            </w:pPr>
            <w:r>
              <w:rPr>
                <w:rFonts w:ascii="Roboto;sans-serif" w:hAnsi="Roboto;sans-serif"/>
                <w:b w:val="false"/>
                <w:color w:val="000000"/>
                <w:sz w:val="14"/>
              </w:rPr>
              <w:t>2022</w:t>
            </w:r>
          </w:p>
        </w:tc>
        <w:tc>
          <w:tcPr>
            <w:tcW w:w="106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06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11,357,804</w:t>
            </w:r>
          </w:p>
        </w:tc>
        <w:tc>
          <w:tcPr>
            <w:tcW w:w="106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23,085,858</w:t>
            </w:r>
          </w:p>
        </w:tc>
        <w:tc>
          <w:tcPr>
            <w:tcW w:w="106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2,174,177</w:t>
            </w:r>
          </w:p>
        </w:tc>
        <w:tc>
          <w:tcPr>
            <w:tcW w:w="106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4,364,899</w:t>
            </w:r>
          </w:p>
        </w:tc>
        <w:tc>
          <w:tcPr>
            <w:tcW w:w="91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260.73</w:t>
            </w:r>
          </w:p>
        </w:tc>
        <w:tc>
          <w:tcPr>
            <w:tcW w:w="916"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89.14</w:t>
            </w:r>
          </w:p>
        </w:tc>
        <w:tc>
          <w:tcPr>
            <w:tcW w:w="90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628,001</w:t>
            </w:r>
          </w:p>
        </w:tc>
        <w:tc>
          <w:tcPr>
            <w:tcW w:w="72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6.40</w:t>
            </w:r>
          </w:p>
        </w:tc>
      </w:tr>
      <w:tr>
        <w:trPr/>
        <w:tc>
          <w:tcPr>
            <w:tcW w:w="481"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left"/>
              <w:rPr>
                <w:rFonts w:ascii="Roboto;sans-serif" w:hAnsi="Roboto;sans-serif"/>
                <w:b w:val="false"/>
                <w:color w:val="000000"/>
                <w:sz w:val="14"/>
              </w:rPr>
            </w:pPr>
            <w:r>
              <w:rPr>
                <w:rFonts w:ascii="Roboto;sans-serif" w:hAnsi="Roboto;sans-serif"/>
                <w:b w:val="false"/>
                <w:color w:val="000000"/>
                <w:sz w:val="14"/>
              </w:rPr>
              <w:t>2021</w:t>
            </w:r>
          </w:p>
        </w:tc>
        <w:tc>
          <w:tcPr>
            <w:tcW w:w="1066"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1066"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1066"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11,484,293</w:t>
            </w:r>
          </w:p>
        </w:tc>
        <w:tc>
          <w:tcPr>
            <w:tcW w:w="1066"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24,288,147</w:t>
            </w:r>
          </w:p>
        </w:tc>
        <w:tc>
          <w:tcPr>
            <w:tcW w:w="1066"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3,843,333</w:t>
            </w:r>
          </w:p>
        </w:tc>
        <w:tc>
          <w:tcPr>
            <w:tcW w:w="1066"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7,366,023</w:t>
            </w:r>
          </w:p>
        </w:tc>
        <w:tc>
          <w:tcPr>
            <w:tcW w:w="916"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175.16</w:t>
            </w:r>
          </w:p>
        </w:tc>
        <w:tc>
          <w:tcPr>
            <w:tcW w:w="916"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104.59</w:t>
            </w:r>
          </w:p>
        </w:tc>
        <w:tc>
          <w:tcPr>
            <w:tcW w:w="901"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671,381</w:t>
            </w:r>
          </w:p>
        </w:tc>
        <w:tc>
          <w:tcPr>
            <w:tcW w:w="721"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6.77</w:t>
            </w:r>
          </w:p>
        </w:tc>
      </w:tr>
    </w:tbl>
    <w:p>
      <w:pPr>
        <w:pStyle w:val="TextBody"/>
        <w:bidi w:val="0"/>
        <w:spacing w:lineRule="auto" w:line="288" w:before="0" w:after="16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1.The PEO and Non-PEO NEOs for the applicable fiscal years were as follows:</w:t>
      </w:r>
    </w:p>
    <w:tbl>
      <w:tblPr>
        <w:tblW w:w="8068" w:type="dxa"/>
        <w:jc w:val="left"/>
        <w:tblInd w:w="0" w:type="dxa"/>
        <w:tblLayout w:type="fixed"/>
        <w:tblCellMar>
          <w:top w:w="28" w:type="dxa"/>
          <w:left w:w="28" w:type="dxa"/>
          <w:bottom w:w="28" w:type="dxa"/>
          <w:right w:w="28" w:type="dxa"/>
        </w:tblCellMar>
      </w:tblPr>
      <w:tblGrid>
        <w:gridCol w:w="337"/>
        <w:gridCol w:w="295"/>
        <w:gridCol w:w="297"/>
        <w:gridCol w:w="855"/>
        <w:gridCol w:w="855"/>
        <w:gridCol w:w="869"/>
        <w:gridCol w:w="1335"/>
        <w:gridCol w:w="1335"/>
        <w:gridCol w:w="1890"/>
      </w:tblGrid>
      <w:tr>
        <w:trPr/>
        <w:tc>
          <w:tcPr>
            <w:tcW w:w="3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FFFFFF"/>
                <w:sz w:val="14"/>
              </w:rPr>
            </w:pPr>
            <w:r>
              <w:rPr>
                <w:rFonts w:ascii="Roboto;sans-serif" w:hAnsi="Roboto;sans-serif"/>
                <w:b/>
                <w:color w:val="FFFFFF"/>
                <w:sz w:val="14"/>
              </w:rPr>
              <w:t>Fiscal Year</w:t>
            </w:r>
          </w:p>
        </w:tc>
        <w:tc>
          <w:tcPr>
            <w:tcW w:w="2579"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FFFFFF"/>
                <w:sz w:val="14"/>
              </w:rPr>
            </w:pPr>
            <w:r>
              <w:rPr>
                <w:rFonts w:ascii="Roboto;sans-serif" w:hAnsi="Roboto;sans-serif"/>
                <w:b/>
                <w:color w:val="FFFFFF"/>
                <w:sz w:val="14"/>
              </w:rPr>
              <w:t>PEO</w:t>
            </w:r>
          </w:p>
        </w:tc>
        <w:tc>
          <w:tcPr>
            <w:tcW w:w="4560"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FFFFFF"/>
                <w:sz w:val="14"/>
              </w:rPr>
            </w:pPr>
            <w:r>
              <w:rPr>
                <w:rFonts w:ascii="Roboto;sans-serif" w:hAnsi="Roboto;sans-serif"/>
                <w:b/>
                <w:color w:val="FFFFFF"/>
                <w:sz w:val="14"/>
              </w:rPr>
              <w:t>Non-PEO NEOs</w:t>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2025</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Steve Lawrence</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Sam Johnson, Carl Ford, and Matt McCabe</w:t>
            </w:r>
          </w:p>
        </w:tc>
      </w:tr>
      <w:tr>
        <w:trPr/>
        <w:tc>
          <w:tcPr>
            <w:tcW w:w="929"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2024</w:t>
            </w:r>
          </w:p>
        </w:tc>
        <w:tc>
          <w:tcPr>
            <w:tcW w:w="2579"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4"/>
              </w:rPr>
            </w:pPr>
            <w:r>
              <w:rPr>
                <w:rFonts w:ascii="Helvetica;sans-serif" w:hAnsi="Helvetica;sans-serif"/>
                <w:b w:val="false"/>
                <w:color w:val="000000"/>
                <w:sz w:val="14"/>
              </w:rPr>
              <w:t>Steve Lawrence (PEO 1)</w:t>
            </w:r>
          </w:p>
        </w:tc>
        <w:tc>
          <w:tcPr>
            <w:tcW w:w="4560"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4"/>
              </w:rPr>
            </w:pPr>
            <w:r>
              <w:rPr>
                <w:rFonts w:ascii="Helvetica;sans-serif" w:hAnsi="Helvetica;sans-serif"/>
                <w:b w:val="false"/>
                <w:color w:val="000000"/>
                <w:sz w:val="14"/>
              </w:rPr>
              <w:t>Ken Hicks, Sam Johnson, Carl Ford, and Matt McCabe</w:t>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2023</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Steve Lawrence and Ken Hicks (PEO 2)</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4"/>
              </w:rPr>
            </w:pPr>
            <w:r>
              <w:rPr>
                <w:rFonts w:ascii="Helvetica;sans-serif" w:hAnsi="Helvetica;sans-serif"/>
                <w:b w:val="false"/>
                <w:color w:val="000000"/>
                <w:sz w:val="14"/>
              </w:rPr>
              <w:t>Michael Mullican, Sam Johnson, Carl Ford, Matt McCabe, and Bill Ennis</w:t>
            </w:r>
          </w:p>
        </w:tc>
      </w:tr>
      <w:tr>
        <w:trPr/>
        <w:tc>
          <w:tcPr>
            <w:tcW w:w="929"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2022</w:t>
            </w:r>
          </w:p>
        </w:tc>
        <w:tc>
          <w:tcPr>
            <w:tcW w:w="2579"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4"/>
              </w:rPr>
            </w:pPr>
            <w:r>
              <w:rPr>
                <w:rFonts w:ascii="Helvetica;sans-serif" w:hAnsi="Helvetica;sans-serif"/>
                <w:b w:val="false"/>
                <w:color w:val="000000"/>
                <w:sz w:val="14"/>
              </w:rPr>
              <w:t>Ken Hicks</w:t>
            </w:r>
          </w:p>
        </w:tc>
        <w:tc>
          <w:tcPr>
            <w:tcW w:w="4560"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Helvetica;sans-serif" w:hAnsi="Helvetica;sans-serif"/>
                <w:b w:val="false"/>
                <w:color w:val="000000"/>
                <w:sz w:val="14"/>
              </w:rPr>
            </w:pPr>
            <w:r>
              <w:rPr>
                <w:rFonts w:ascii="Helvetica;sans-serif" w:hAnsi="Helvetica;sans-serif"/>
                <w:b w:val="false"/>
                <w:color w:val="000000"/>
                <w:sz w:val="14"/>
              </w:rPr>
              <w:t>Steve Lawrence, Michael Mullican, Sam Johnson, and Manish Maini</w:t>
            </w:r>
          </w:p>
        </w:tc>
      </w:tr>
      <w:tr>
        <w:trPr/>
        <w:tc>
          <w:tcPr>
            <w:tcW w:w="929"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center"/>
              <w:rPr>
                <w:rFonts w:ascii="Helvetica;sans-serif" w:hAnsi="Helvetica;sans-serif"/>
                <w:b w:val="false"/>
                <w:color w:val="000000"/>
                <w:sz w:val="14"/>
              </w:rPr>
            </w:pPr>
            <w:r>
              <w:rPr>
                <w:rFonts w:ascii="Helvetica;sans-serif" w:hAnsi="Helvetica;sans-serif"/>
                <w:b w:val="false"/>
                <w:color w:val="000000"/>
                <w:sz w:val="14"/>
              </w:rPr>
              <w:t>2021</w:t>
            </w:r>
          </w:p>
        </w:tc>
        <w:tc>
          <w:tcPr>
            <w:tcW w:w="2579"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left"/>
              <w:rPr>
                <w:rFonts w:ascii="Helvetica;sans-serif" w:hAnsi="Helvetica;sans-serif"/>
                <w:b w:val="false"/>
                <w:color w:val="000000"/>
                <w:sz w:val="14"/>
              </w:rPr>
            </w:pPr>
            <w:r>
              <w:rPr>
                <w:rFonts w:ascii="Helvetica;sans-serif" w:hAnsi="Helvetica;sans-serif"/>
                <w:b w:val="false"/>
                <w:color w:val="000000"/>
                <w:sz w:val="14"/>
              </w:rPr>
              <w:t>Ken Hicks</w:t>
            </w:r>
          </w:p>
        </w:tc>
        <w:tc>
          <w:tcPr>
            <w:tcW w:w="4560" w:type="dxa"/>
            <w:gridSpan w:val="3"/>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left"/>
              <w:rPr>
                <w:rFonts w:ascii="Helvetica;sans-serif" w:hAnsi="Helvetica;sans-serif"/>
                <w:b w:val="false"/>
                <w:color w:val="000000"/>
                <w:sz w:val="14"/>
              </w:rPr>
            </w:pPr>
            <w:r>
              <w:rPr>
                <w:rFonts w:ascii="Helvetica;sans-serif" w:hAnsi="Helvetica;sans-serif"/>
                <w:b w:val="false"/>
                <w:color w:val="000000"/>
                <w:sz w:val="14"/>
              </w:rPr>
              <w:t>Steve Lawrence, Michael Mullican, Sam Johnson, and Manish Maini</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63525"/>
                <wp:effectExtent l="0" t="0" r="0" b="0"/>
                <wp:wrapNone/>
                <wp:docPr id="430" name="Frame83"/>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431"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270" descr=""/>
                                          <pic:cNvPicPr>
                                            <a:picLocks noChangeAspect="1" noChangeArrowheads="1"/>
                                          </pic:cNvPicPr>
                                        </pic:nvPicPr>
                                        <pic:blipFill>
                                          <a:blip r:embed="rId349"/>
                                          <a:stretch>
                                            <a:fillRect/>
                                          </a:stretch>
                                        </pic:blipFill>
                                        <pic:spPr bwMode="auto">
                                          <a:xfrm>
                                            <a:off x="0" y="0"/>
                                            <a:ext cx="266700" cy="200025"/>
                                          </a:xfrm>
                                          <a:prstGeom prst="rect">
                                            <a:avLst/>
                                          </a:prstGeom>
                                        </pic:spPr>
                                      </pic:pic>
                                    </a:graphicData>
                                  </a:graphic>
                                </wp:inline>
                              </w:drawing>
                            </w:r>
                            <w:bookmarkStart w:id="348" w:name="i-270"/>
                            <w:bookmarkEnd w:id="348"/>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432"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270" descr=""/>
                                    <pic:cNvPicPr>
                                      <a:picLocks noChangeAspect="1" noChangeArrowheads="1"/>
                                    </pic:cNvPicPr>
                                  </pic:nvPicPr>
                                  <pic:blipFill>
                                    <a:blip r:embed="rId350"/>
                                    <a:stretch>
                                      <a:fillRect/>
                                    </a:stretch>
                                  </pic:blipFill>
                                  <pic:spPr bwMode="auto">
                                    <a:xfrm>
                                      <a:off x="0" y="0"/>
                                      <a:ext cx="266700" cy="200025"/>
                                    </a:xfrm>
                                    <a:prstGeom prst="rect">
                                      <a:avLst/>
                                    </a:prstGeom>
                                  </pic:spPr>
                                </pic:pic>
                              </a:graphicData>
                            </a:graphic>
                          </wp:inline>
                        </w:drawing>
                      </w:r>
                      <w:bookmarkStart w:id="349" w:name="i-270"/>
                      <w:bookmarkEnd w:id="349"/>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p>
      <w:pPr>
        <w:pStyle w:val="TextBody"/>
        <w:bidi w:val="0"/>
        <w:spacing w:lineRule="auto" w:line="312" w:before="0" w:after="16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2.The dollar amounts reported represent the amount of CAP to our PEO and the average CAP to our Non-PEO NEOs, calculated in accordance with SEC rules. These amounts reflect “Total” compensation as set forth in the Summary Compensation Table for each year, adjusted as shown below with respect to fiscal 2025. Equity values are calculated consistent with the methodology used for originally valuing the grants under FASB ASC Topic 718:</w:t>
      </w:r>
    </w:p>
    <w:tbl>
      <w:tblPr>
        <w:tblW w:w="10205" w:type="dxa"/>
        <w:jc w:val="left"/>
        <w:tblInd w:w="0" w:type="dxa"/>
        <w:tblLayout w:type="fixed"/>
        <w:tblCellMar>
          <w:top w:w="28" w:type="dxa"/>
          <w:left w:w="28" w:type="dxa"/>
          <w:bottom w:w="28" w:type="dxa"/>
          <w:right w:w="28" w:type="dxa"/>
        </w:tblCellMar>
      </w:tblPr>
      <w:tblGrid>
        <w:gridCol w:w="2721"/>
        <w:gridCol w:w="2384"/>
        <w:gridCol w:w="2389"/>
        <w:gridCol w:w="288"/>
        <w:gridCol w:w="288"/>
        <w:gridCol w:w="295"/>
        <w:gridCol w:w="513"/>
        <w:gridCol w:w="475"/>
        <w:gridCol w:w="477"/>
        <w:gridCol w:w="109"/>
        <w:gridCol w:w="109"/>
        <w:gridCol w:w="157"/>
      </w:tblGrid>
      <w:tr>
        <w:trPr/>
        <w:tc>
          <w:tcPr>
            <w:tcW w:w="2721"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94"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6"/>
            <w:tcBorders/>
            <w:shd w:fill="1946C8"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color w:val="FFFFFF"/>
                <w:sz w:val="14"/>
              </w:rPr>
            </w:pPr>
            <w:r>
              <w:rPr>
                <w:rFonts w:ascii="Roboto;sans-serif" w:hAnsi="Roboto;sans-serif"/>
                <w:b/>
                <w:color w:val="FFFFFF"/>
                <w:sz w:val="14"/>
              </w:rPr>
              <w:t>2025</w:t>
            </w:r>
          </w:p>
        </w:tc>
        <w:tc>
          <w:tcPr>
            <w:tcW w:w="37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4"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4"/>
              </w:rPr>
            </w:pPr>
            <w:r>
              <w:rPr>
                <w:rFonts w:ascii="Roboto;sans-serif" w:hAnsi="Roboto;sans-serif"/>
                <w:b/>
                <w:color w:val="FFFFFF"/>
                <w:sz w:val="14"/>
              </w:rPr>
              <w:t>PEO 1</w:t>
              <w:br/>
              <w:t>($)</w:t>
            </w:r>
          </w:p>
        </w:tc>
        <w:tc>
          <w:tcPr>
            <w:tcW w:w="1465"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4"/>
              </w:rPr>
            </w:pPr>
            <w:r>
              <w:rPr>
                <w:rFonts w:ascii="Roboto;sans-serif" w:hAnsi="Roboto;sans-serif"/>
                <w:b/>
                <w:color w:val="FFFFFF"/>
                <w:sz w:val="14"/>
              </w:rPr>
              <w:t>Non-PEO NEOs Average</w:t>
              <w:br/>
              <w:t>($)</w:t>
            </w:r>
          </w:p>
        </w:tc>
        <w:tc>
          <w:tcPr>
            <w:tcW w:w="37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4"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4"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4"/>
              </w:rPr>
            </w:pPr>
            <w:r>
              <w:rPr>
                <w:rFonts w:ascii="Roboto;sans-serif" w:hAnsi="Roboto;sans-serif"/>
                <w:b w:val="false"/>
                <w:color w:val="000000"/>
                <w:sz w:val="14"/>
              </w:rPr>
              <w:t>Summary Compensation Table - Total</w:t>
            </w:r>
          </w:p>
        </w:tc>
        <w:tc>
          <w:tcPr>
            <w:tcW w:w="87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9,560,129</w:t>
            </w:r>
          </w:p>
        </w:tc>
        <w:tc>
          <w:tcPr>
            <w:tcW w:w="1465"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2,983,227</w:t>
            </w:r>
          </w:p>
        </w:tc>
        <w:tc>
          <w:tcPr>
            <w:tcW w:w="37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val="false"/>
                <w:color w:val="000000"/>
                <w:sz w:val="14"/>
              </w:rPr>
            </w:pPr>
            <w:r>
              <w:rPr>
                <w:rFonts w:ascii="Roboto;sans-serif" w:hAnsi="Roboto;sans-serif"/>
                <w:b w:val="false"/>
                <w:color w:val="000000"/>
                <w:sz w:val="14"/>
              </w:rPr>
              <w:t>Less, value of “Stock Awards” reported in Summary Compensation Table</w:t>
            </w:r>
          </w:p>
        </w:tc>
        <w:tc>
          <w:tcPr>
            <w:tcW w:w="87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-6,999,998</w:t>
            </w:r>
          </w:p>
        </w:tc>
        <w:tc>
          <w:tcPr>
            <w:tcW w:w="146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-1,666,666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4"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4"/>
              </w:rPr>
            </w:pPr>
            <w:r>
              <w:rPr>
                <w:rFonts w:ascii="Roboto;sans-serif" w:hAnsi="Roboto;sans-serif"/>
                <w:b w:val="false"/>
                <w:color w:val="000000"/>
                <w:sz w:val="14"/>
              </w:rPr>
              <w:t>Plus, the year-end fair value of outstanding and unvested equity awards granted in the year</w:t>
            </w:r>
          </w:p>
        </w:tc>
        <w:tc>
          <w:tcPr>
            <w:tcW w:w="87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7,038,850</w:t>
            </w:r>
          </w:p>
        </w:tc>
        <w:tc>
          <w:tcPr>
            <w:tcW w:w="1465"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1,675,917</w:t>
            </w:r>
          </w:p>
        </w:tc>
        <w:tc>
          <w:tcPr>
            <w:tcW w:w="37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4"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val="false"/>
                <w:color w:val="000000"/>
                <w:sz w:val="14"/>
              </w:rPr>
            </w:pPr>
            <w:r>
              <w:rPr>
                <w:rFonts w:ascii="Roboto;sans-serif" w:hAnsi="Roboto;sans-serif"/>
                <w:b w:val="false"/>
                <w:color w:val="000000"/>
                <w:sz w:val="14"/>
              </w:rPr>
              <w:t>Less, the change as of the end of the fiscal year (from the end of the prior fiscal year) in fair value of outstanding and unvested equity awards granted in prior years</w:t>
            </w:r>
          </w:p>
        </w:tc>
        <w:tc>
          <w:tcPr>
            <w:tcW w:w="87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-1,696,003</w:t>
            </w:r>
          </w:p>
        </w:tc>
        <w:tc>
          <w:tcPr>
            <w:tcW w:w="1465"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-473,629</w:t>
            </w:r>
          </w:p>
        </w:tc>
        <w:tc>
          <w:tcPr>
            <w:tcW w:w="37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val="false"/>
                <w:color w:val="000000"/>
                <w:sz w:val="14"/>
              </w:rPr>
            </w:pPr>
            <w:r>
              <w:rPr>
                <w:rFonts w:ascii="Roboto;sans-serif" w:hAnsi="Roboto;sans-serif"/>
                <w:b w:val="false"/>
                <w:color w:val="000000"/>
                <w:sz w:val="14"/>
              </w:rPr>
              <w:t>Less, the change in fair value from prior year-end to vesting date of equity awards granted in prior years that vested in the year</w:t>
            </w:r>
          </w:p>
        </w:tc>
        <w:tc>
          <w:tcPr>
            <w:tcW w:w="87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-376,621</w:t>
            </w:r>
          </w:p>
        </w:tc>
        <w:tc>
          <w:tcPr>
            <w:tcW w:w="146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-120,988</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4"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4"/>
              </w:rPr>
            </w:pPr>
            <w:r>
              <w:rPr>
                <w:rFonts w:ascii="Roboto;sans-serif" w:hAnsi="Roboto;sans-serif"/>
                <w:b w:val="false"/>
                <w:color w:val="000000"/>
                <w:sz w:val="14"/>
              </w:rPr>
              <w:t>Less, the fair value at the end of the prior year of equity awards that failed to meet vesting conditions in the year</w:t>
            </w:r>
          </w:p>
        </w:tc>
        <w:tc>
          <w:tcPr>
            <w:tcW w:w="87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-625,388</w:t>
            </w:r>
          </w:p>
        </w:tc>
        <w:tc>
          <w:tcPr>
            <w:tcW w:w="1465"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4"/>
              </w:rPr>
            </w:pPr>
            <w:r>
              <w:rPr>
                <w:rFonts w:ascii="Roboto;sans-serif" w:hAnsi="Roboto;sans-serif"/>
                <w:b w:val="false"/>
                <w:color w:val="000000"/>
                <w:sz w:val="14"/>
              </w:rPr>
              <w:t>-132,425</w:t>
            </w:r>
          </w:p>
        </w:tc>
        <w:tc>
          <w:tcPr>
            <w:tcW w:w="375"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4" w:type="dxa"/>
            <w:gridSpan w:val="3"/>
            <w:tcBorders>
              <w:bottom w:val="single" w:sz="12" w:space="0" w:color="E81111"/>
            </w:tcBorders>
            <w:tcMar>
              <w:top w:w="0" w:type="dxa"/>
              <w:left w:w="0" w:type="dxa"/>
              <w:bottom w:w="30" w:type="dxa"/>
              <w:right w:w="0" w:type="dxa"/>
            </w:tcMar>
            <w:vAlign w:val="center"/>
          </w:tcPr>
          <w:p>
            <w:pPr>
              <w:pStyle w:val="TableContents"/>
              <w:bidi w:val="0"/>
              <w:spacing w:lineRule="auto" w:line="312" w:before="0" w:after="283"/>
              <w:jc w:val="left"/>
              <w:rPr>
                <w:rFonts w:ascii="Roboto;sans-serif" w:hAnsi="Roboto;sans-serif"/>
                <w:b/>
                <w:color w:val="000000"/>
                <w:sz w:val="14"/>
              </w:rPr>
            </w:pPr>
            <w:r>
              <w:rPr>
                <w:rFonts w:ascii="Roboto;sans-serif" w:hAnsi="Roboto;sans-serif"/>
                <w:b/>
                <w:color w:val="000000"/>
                <w:sz w:val="14"/>
              </w:rPr>
              <w:t>Compensation Actually Paid</w:t>
            </w:r>
          </w:p>
        </w:tc>
        <w:tc>
          <w:tcPr>
            <w:tcW w:w="871" w:type="dxa"/>
            <w:gridSpan w:val="3"/>
            <w:tcBorders>
              <w:bottom w:val="single" w:sz="12" w:space="0" w:color="E81111"/>
            </w:tcBorders>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color w:val="000000"/>
                <w:sz w:val="14"/>
              </w:rPr>
            </w:pPr>
            <w:r>
              <w:rPr>
                <w:rFonts w:ascii="Roboto;sans-serif" w:hAnsi="Roboto;sans-serif"/>
                <w:b/>
                <w:color w:val="000000"/>
                <w:sz w:val="14"/>
              </w:rPr>
              <w:t>6,900,969</w:t>
            </w:r>
          </w:p>
        </w:tc>
        <w:tc>
          <w:tcPr>
            <w:tcW w:w="1465" w:type="dxa"/>
            <w:gridSpan w:val="3"/>
            <w:tcBorders>
              <w:bottom w:val="single" w:sz="12" w:space="0" w:color="E81111"/>
            </w:tcBorders>
            <w:tcMar>
              <w:top w:w="0" w:type="dxa"/>
              <w:left w:w="0" w:type="dxa"/>
              <w:bottom w:w="30" w:type="dxa"/>
              <w:right w:w="0" w:type="dxa"/>
            </w:tcMar>
            <w:vAlign w:val="center"/>
          </w:tcPr>
          <w:p>
            <w:pPr>
              <w:pStyle w:val="TableContents"/>
              <w:bidi w:val="0"/>
              <w:spacing w:lineRule="auto" w:line="312" w:before="0" w:after="283"/>
              <w:jc w:val="right"/>
              <w:rPr>
                <w:rFonts w:ascii="Roboto;sans-serif" w:hAnsi="Roboto;sans-serif"/>
                <w:b/>
                <w:color w:val="000000"/>
                <w:sz w:val="14"/>
              </w:rPr>
            </w:pPr>
            <w:r>
              <w:rPr>
                <w:rFonts w:ascii="Roboto;sans-serif" w:hAnsi="Roboto;sans-serif"/>
                <w:b/>
                <w:color w:val="000000"/>
                <w:sz w:val="14"/>
              </w:rPr>
              <w:t>2,265,436</w:t>
            </w:r>
          </w:p>
        </w:tc>
        <w:tc>
          <w:tcPr>
            <w:tcW w:w="375" w:type="dxa"/>
            <w:gridSpan w:val="3"/>
            <w:tcBorders>
              <w:bottom w:val="single" w:sz="12" w:space="0" w:color="E81111"/>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 xml:space="preserve">3.Total Shareholder Return (“TSR”) is calculated by dividing (a) the sum of (i) the cumulative amount of dividends for the measurement period, assuming dividend reinvestment, and (ii) the difference between the Company’s share price at the end of each fiscal year shown and the beginning of the measurement period, by (b) the Company’s share price at the beginning of the measurement period. The beginning of the measurement period for each year in the table is January 30, 2021, which is the date of the Company’s 2020 fiscal year end. </w:t>
      </w:r>
    </w:p>
    <w:p>
      <w:pPr>
        <w:pStyle w:val="TextBody"/>
        <w:bidi w:val="0"/>
        <w:spacing w:lineRule="auto" w:line="288" w:before="0" w:after="6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4.The peer group used for this purpose is the Nasdaq US Benchmark Retail Total Return Index.</w:t>
      </w:r>
    </w:p>
    <w:p>
      <w:pPr>
        <w:pStyle w:val="TextBody"/>
        <w:bidi w:val="0"/>
        <w:spacing w:lineRule="auto" w:line="312" w:before="0" w:after="12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5.The dollar amounts reported represent the amount of Net Income and Net Sales, respectively, as reflected in the Company’s audited financial statements for the applicable year.</w:t>
      </w:r>
    </w:p>
    <w:p>
      <w:pPr>
        <w:pStyle w:val="TextBody"/>
        <w:bidi w:val="0"/>
        <w:spacing w:before="0" w:after="6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263525"/>
                <wp:effectExtent l="0" t="0" r="0" b="0"/>
                <wp:wrapNone/>
                <wp:docPr id="433" name="Frame84"/>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434"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271" descr=""/>
                                          <pic:cNvPicPr>
                                            <a:picLocks noChangeAspect="1" noChangeArrowheads="1"/>
                                          </pic:cNvPicPr>
                                        </pic:nvPicPr>
                                        <pic:blipFill>
                                          <a:blip r:embed="rId351"/>
                                          <a:stretch>
                                            <a:fillRect/>
                                          </a:stretch>
                                        </pic:blipFill>
                                        <pic:spPr bwMode="auto">
                                          <a:xfrm>
                                            <a:off x="0" y="0"/>
                                            <a:ext cx="266700" cy="200025"/>
                                          </a:xfrm>
                                          <a:prstGeom prst="rect">
                                            <a:avLst/>
                                          </a:prstGeom>
                                        </pic:spPr>
                                      </pic:pic>
                                    </a:graphicData>
                                  </a:graphic>
                                </wp:inline>
                              </w:drawing>
                            </w:r>
                            <w:bookmarkStart w:id="350" w:name="i-271"/>
                            <w:bookmarkEnd w:id="350"/>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435"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271" descr=""/>
                                    <pic:cNvPicPr>
                                      <a:picLocks noChangeAspect="1" noChangeArrowheads="1"/>
                                    </pic:cNvPicPr>
                                  </pic:nvPicPr>
                                  <pic:blipFill>
                                    <a:blip r:embed="rId352"/>
                                    <a:stretch>
                                      <a:fillRect/>
                                    </a:stretch>
                                  </pic:blipFill>
                                  <pic:spPr bwMode="auto">
                                    <a:xfrm>
                                      <a:off x="0" y="0"/>
                                      <a:ext cx="266700" cy="200025"/>
                                    </a:xfrm>
                                    <a:prstGeom prst="rect">
                                      <a:avLst/>
                                    </a:prstGeom>
                                  </pic:spPr>
                                </pic:pic>
                              </a:graphicData>
                            </a:graphic>
                          </wp:inline>
                        </w:drawing>
                      </w:r>
                      <w:bookmarkStart w:id="351" w:name="i-271"/>
                      <w:bookmarkEnd w:id="351"/>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79</w:t>
            </w:r>
          </w:p>
        </w:tc>
      </w:tr>
    </w:tbl>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Relationship between Compensation Actually Paid and Performance Measures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As described in more detail in the section “Compensation Discussion and Analysis,” the Company’s executive compensation program reflects a variable pay-for-performance philosophy. While the Company utilizes several performance measures to align executive compensation with Company performance, all of those Company measures are not presented in these Pay versus Performance tables. Moreover, the Company generally seeks to incentivize long-term performance, and therefore does not specifically align the Company’s performance measures with compensation that is actually paid (as computed in accordance with SEC rules) for a particular year. In accordance with SEC rules, the Company is providing the following graphical depictions of the relationships among various information presented in these Pay versus Performance tables.</w:t>
      </w:r>
    </w:p>
    <w:p>
      <w:pPr>
        <w:pStyle w:val="TextBody"/>
        <w:bidi w:val="0"/>
        <w:spacing w:lineRule="atLeast" w:line="240" w:before="0" w:after="0"/>
        <w:jc w:val="left"/>
        <w:rPr/>
      </w:pPr>
      <w:r>
        <w:rPr>
          <w:rFonts w:ascii="Helvetica;sans-serif" w:hAnsi="Helvetica;sans-serif"/>
          <w:b/>
          <w:color w:val="000000"/>
          <w:sz w:val="18"/>
        </w:rPr>
        <w:t>Compensation Actually Paid (CAP), Company’s TSR, and Peer Group TSR</w:t>
      </w:r>
      <w:r>
        <w:rPr>
          <w:rFonts w:ascii="Roboto Light;sans-serif" w:hAnsi="Roboto Light;sans-serif"/>
          <w:b/>
          <w:color w:val="000000"/>
          <w:sz w:val="18"/>
        </w:rPr>
        <w:t>:</w:t>
      </w:r>
      <w:r>
        <w:rPr>
          <w:color w:val="000000"/>
        </w:rPr>
        <w:t xml:space="preserve"> </w:t>
      </w:r>
      <w:r>
        <w:rPr>
          <w:rFonts w:ascii="Roboto Light;sans-serif" w:hAnsi="Roboto Light;sans-serif"/>
          <w:b w:val="false"/>
          <w:color w:val="000000"/>
          <w:sz w:val="18"/>
        </w:rPr>
        <w:t>The relationship between the PEO CAP and the Non-PEO NEOs’ average CAP in comparison to the Company’s TSR and the TSR of the Nasdaq US Benchmark Retail Total Return Index, is shown below.</w:t>
      </w:r>
    </w:p>
    <w:p>
      <w:pPr>
        <w:pStyle w:val="TextBody"/>
        <w:bidi w:val="0"/>
        <w:spacing w:before="240" w:after="360"/>
        <w:jc w:val="center"/>
        <w:rPr/>
      </w:pPr>
      <w:r>
        <w:rPr/>
        <w:drawing>
          <wp:inline distT="0" distB="0" distL="0" distR="0">
            <wp:extent cx="6400800" cy="2400300"/>
            <wp:effectExtent l="0" t="0" r="0" b="0"/>
            <wp:docPr id="436"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272" descr=""/>
                    <pic:cNvPicPr>
                      <a:picLocks noChangeAspect="1" noChangeArrowheads="1"/>
                    </pic:cNvPicPr>
                  </pic:nvPicPr>
                  <pic:blipFill>
                    <a:blip r:embed="rId353"/>
                    <a:stretch>
                      <a:fillRect/>
                    </a:stretch>
                  </pic:blipFill>
                  <pic:spPr bwMode="auto">
                    <a:xfrm>
                      <a:off x="0" y="0"/>
                      <a:ext cx="6400800" cy="2400300"/>
                    </a:xfrm>
                    <a:prstGeom prst="rect">
                      <a:avLst/>
                    </a:prstGeom>
                  </pic:spPr>
                </pic:pic>
              </a:graphicData>
            </a:graphic>
          </wp:inline>
        </w:drawing>
      </w:r>
      <w:bookmarkStart w:id="352" w:name="i-272"/>
      <w:bookmarkEnd w:id="352"/>
    </w:p>
    <w:p>
      <w:pPr>
        <w:pStyle w:val="TextBody"/>
        <w:bidi w:val="0"/>
        <w:spacing w:lineRule="atLeast" w:line="240" w:before="0" w:after="240"/>
        <w:jc w:val="left"/>
        <w:rPr/>
      </w:pPr>
      <w:r>
        <w:rPr>
          <w:rFonts w:ascii="Helvetica;sans-serif" w:hAnsi="Helvetica;sans-serif"/>
          <w:b/>
          <w:color w:val="000000"/>
          <w:sz w:val="18"/>
        </w:rPr>
        <w:t>Compensation Actually Paid (CAP) and Net Income</w:t>
      </w:r>
      <w:r>
        <w:rPr>
          <w:rFonts w:ascii="Roboto Light;sans-serif" w:hAnsi="Roboto Light;sans-serif"/>
          <w:b/>
          <w:color w:val="000000"/>
          <w:sz w:val="18"/>
        </w:rPr>
        <w:t>:</w:t>
      </w:r>
      <w:r>
        <w:rPr>
          <w:color w:val="000000"/>
        </w:rPr>
        <w:t xml:space="preserve"> </w:t>
      </w:r>
      <w:r>
        <w:rPr>
          <w:rFonts w:ascii="Roboto Light;sans-serif" w:hAnsi="Roboto Light;sans-serif"/>
          <w:b w:val="false"/>
          <w:color w:val="000000"/>
          <w:sz w:val="18"/>
        </w:rPr>
        <w:t>The relationship between PEO CAP and the Non-PEO NEOs’ average CAP in comparison to the Company’s Net Income is shown below.</w:t>
      </w:r>
    </w:p>
    <w:p>
      <w:pPr>
        <w:pStyle w:val="TextBody"/>
        <w:bidi w:val="0"/>
        <w:spacing w:before="0" w:after="480"/>
        <w:jc w:val="center"/>
        <w:rPr/>
      </w:pPr>
      <w:r>
        <w:rPr/>
        <w:drawing>
          <wp:inline distT="0" distB="0" distL="0" distR="0">
            <wp:extent cx="6400800" cy="2400300"/>
            <wp:effectExtent l="0" t="0" r="0" b="0"/>
            <wp:docPr id="437"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Image273" descr=""/>
                    <pic:cNvPicPr>
                      <a:picLocks noChangeAspect="1" noChangeArrowheads="1"/>
                    </pic:cNvPicPr>
                  </pic:nvPicPr>
                  <pic:blipFill>
                    <a:blip r:embed="rId354"/>
                    <a:stretch>
                      <a:fillRect/>
                    </a:stretch>
                  </pic:blipFill>
                  <pic:spPr bwMode="auto">
                    <a:xfrm>
                      <a:off x="0" y="0"/>
                      <a:ext cx="6400800" cy="2400300"/>
                    </a:xfrm>
                    <a:prstGeom prst="rect">
                      <a:avLst/>
                    </a:prstGeom>
                  </pic:spPr>
                </pic:pic>
              </a:graphicData>
            </a:graphic>
          </wp:inline>
        </w:drawing>
      </w:r>
      <w:bookmarkStart w:id="353" w:name="i-273"/>
      <w:bookmarkEnd w:id="353"/>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263525"/>
                <wp:effectExtent l="0" t="0" r="0" b="0"/>
                <wp:wrapNone/>
                <wp:docPr id="438" name="Frame85"/>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439"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274" descr=""/>
                                          <pic:cNvPicPr>
                                            <a:picLocks noChangeAspect="1" noChangeArrowheads="1"/>
                                          </pic:cNvPicPr>
                                        </pic:nvPicPr>
                                        <pic:blipFill>
                                          <a:blip r:embed="rId355"/>
                                          <a:stretch>
                                            <a:fillRect/>
                                          </a:stretch>
                                        </pic:blipFill>
                                        <pic:spPr bwMode="auto">
                                          <a:xfrm>
                                            <a:off x="0" y="0"/>
                                            <a:ext cx="266700" cy="200025"/>
                                          </a:xfrm>
                                          <a:prstGeom prst="rect">
                                            <a:avLst/>
                                          </a:prstGeom>
                                        </pic:spPr>
                                      </pic:pic>
                                    </a:graphicData>
                                  </a:graphic>
                                </wp:inline>
                              </w:drawing>
                            </w:r>
                            <w:bookmarkStart w:id="354" w:name="i-274"/>
                            <w:bookmarkEnd w:id="354"/>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440"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274" descr=""/>
                                    <pic:cNvPicPr>
                                      <a:picLocks noChangeAspect="1" noChangeArrowheads="1"/>
                                    </pic:cNvPicPr>
                                  </pic:nvPicPr>
                                  <pic:blipFill>
                                    <a:blip r:embed="rId356"/>
                                    <a:stretch>
                                      <a:fillRect/>
                                    </a:stretch>
                                  </pic:blipFill>
                                  <pic:spPr bwMode="auto">
                                    <a:xfrm>
                                      <a:off x="0" y="0"/>
                                      <a:ext cx="266700" cy="200025"/>
                                    </a:xfrm>
                                    <a:prstGeom prst="rect">
                                      <a:avLst/>
                                    </a:prstGeom>
                                  </pic:spPr>
                                </pic:pic>
                              </a:graphicData>
                            </a:graphic>
                          </wp:inline>
                        </w:drawing>
                      </w:r>
                      <w:bookmarkStart w:id="355" w:name="i-274"/>
                      <w:bookmarkEnd w:id="355"/>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p>
      <w:pPr>
        <w:pStyle w:val="TextBody"/>
        <w:bidi w:val="0"/>
        <w:spacing w:lineRule="atLeast" w:line="240" w:before="600" w:after="240"/>
        <w:jc w:val="left"/>
        <w:rPr/>
      </w:pPr>
      <w:r>
        <w:rPr>
          <w:rFonts w:ascii="Helvetica;sans-serif" w:hAnsi="Helvetica;sans-serif"/>
          <w:b/>
          <w:color w:val="000000"/>
          <w:sz w:val="18"/>
        </w:rPr>
        <w:t>Compensation Actually Paid (CAP) and Net Sales</w:t>
      </w:r>
      <w:r>
        <w:rPr>
          <w:rFonts w:ascii="Roboto Light;sans-serif" w:hAnsi="Roboto Light;sans-serif"/>
          <w:b w:val="false"/>
          <w:color w:val="000000"/>
          <w:sz w:val="18"/>
        </w:rPr>
        <w:t>: The relationship between the PEO CAP and the Non-PEO NEO’s average CAP in comparison to Net Sales is shown below.</w:t>
      </w:r>
    </w:p>
    <w:p>
      <w:pPr>
        <w:pStyle w:val="TextBody"/>
        <w:bidi w:val="0"/>
        <w:spacing w:before="0" w:after="480"/>
        <w:jc w:val="center"/>
        <w:rPr/>
      </w:pPr>
      <w:r>
        <w:rPr/>
        <w:drawing>
          <wp:inline distT="0" distB="0" distL="0" distR="0">
            <wp:extent cx="6400800" cy="2400300"/>
            <wp:effectExtent l="0" t="0" r="0" b="0"/>
            <wp:docPr id="441"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275" descr=""/>
                    <pic:cNvPicPr>
                      <a:picLocks noChangeAspect="1" noChangeArrowheads="1"/>
                    </pic:cNvPicPr>
                  </pic:nvPicPr>
                  <pic:blipFill>
                    <a:blip r:embed="rId357"/>
                    <a:stretch>
                      <a:fillRect/>
                    </a:stretch>
                  </pic:blipFill>
                  <pic:spPr bwMode="auto">
                    <a:xfrm>
                      <a:off x="0" y="0"/>
                      <a:ext cx="6400800" cy="2400300"/>
                    </a:xfrm>
                    <a:prstGeom prst="rect">
                      <a:avLst/>
                    </a:prstGeom>
                  </pic:spPr>
                </pic:pic>
              </a:graphicData>
            </a:graphic>
          </wp:inline>
        </w:drawing>
      </w:r>
      <w:bookmarkStart w:id="356" w:name="i-275"/>
      <w:bookmarkEnd w:id="356"/>
    </w:p>
    <w:p>
      <w:pPr>
        <w:pStyle w:val="TextBody"/>
        <w:bidi w:val="0"/>
        <w:spacing w:lineRule="auto" w:line="312" w:before="600" w:after="60"/>
        <w:jc w:val="left"/>
        <w:rPr>
          <w:rFonts w:ascii="Roboto;sans-serif" w:hAnsi="Roboto;sans-serif"/>
          <w:b/>
          <w:color w:val="01024A"/>
          <w:sz w:val="20"/>
        </w:rPr>
      </w:pPr>
      <w:r>
        <w:rPr>
          <w:rFonts w:ascii="Roboto;sans-serif" w:hAnsi="Roboto;sans-serif"/>
          <w:b/>
          <w:color w:val="01024A"/>
          <w:sz w:val="20"/>
        </w:rPr>
        <w:t>Financial Performance Measures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As described in greater detail under “Compensation Discussion and Analysis,” the Company’s executive compensation program reflects a variable pay-for-performance philosophy. The metrics that the Company uses for both our long-term and short-term incentive awards are selected based on the objective of incentivizing our NEOs to increase the value of our enterprise for our stockholders. The most important financial performance measures used by the Company to link executive compensation actually paid to the Company’s NEOs, for the most recently completed fiscal year, to the Company’s performance are as follows:</w:t>
      </w:r>
    </w:p>
    <w:p>
      <w:pPr>
        <w:pStyle w:val="TextBody"/>
        <w:bidi w:val="0"/>
        <w:spacing w:lineRule="atLeast" w:line="240" w:before="0" w:after="60"/>
        <w:ind w:left="0" w:right="0" w:hanging="288"/>
        <w:jc w:val="left"/>
        <w:rPr/>
      </w:pPr>
      <w:r>
        <w:rPr>
          <w:color w:val="000000"/>
        </w:rPr>
        <w:t>•</w:t>
      </w:r>
      <w:r>
        <w:rPr>
          <w:rFonts w:ascii="Roboto Light;sans-serif" w:hAnsi="Roboto Light;sans-serif"/>
          <w:b w:val="false"/>
          <w:color w:val="000000"/>
          <w:sz w:val="18"/>
        </w:rPr>
        <w:t>Net Sales</w:t>
      </w:r>
    </w:p>
    <w:p>
      <w:pPr>
        <w:pStyle w:val="TextBody"/>
        <w:bidi w:val="0"/>
        <w:spacing w:lineRule="atLeast" w:line="240" w:before="0" w:after="60"/>
        <w:ind w:left="0" w:right="0" w:hanging="288"/>
        <w:jc w:val="left"/>
        <w:rPr/>
      </w:pPr>
      <w:r>
        <w:rPr>
          <w:color w:val="000000"/>
        </w:rPr>
        <w:t>•</w:t>
      </w:r>
      <w:r>
        <w:rPr>
          <w:rFonts w:ascii="Roboto Light;sans-serif" w:hAnsi="Roboto Light;sans-serif"/>
          <w:b w:val="false"/>
          <w:color w:val="000000"/>
          <w:sz w:val="18"/>
        </w:rPr>
        <w:t>Adj. EBIT*</w:t>
      </w:r>
    </w:p>
    <w:p>
      <w:pPr>
        <w:pStyle w:val="TextBody"/>
        <w:bidi w:val="0"/>
        <w:spacing w:lineRule="atLeast" w:line="240" w:before="0" w:after="60"/>
        <w:ind w:left="0" w:right="0" w:hanging="288"/>
        <w:jc w:val="left"/>
        <w:rPr/>
      </w:pPr>
      <w:r>
        <w:rPr>
          <w:color w:val="000000"/>
        </w:rPr>
        <w:t>•</w:t>
      </w:r>
      <w:r>
        <w:rPr>
          <w:rFonts w:ascii="Roboto Light;sans-serif" w:hAnsi="Roboto Light;sans-serif"/>
          <w:b w:val="false"/>
          <w:color w:val="000000"/>
          <w:sz w:val="18"/>
        </w:rPr>
        <w:t>Adjusted Pre-Tax Net Income*</w:t>
      </w:r>
    </w:p>
    <w:p>
      <w:pPr>
        <w:pStyle w:val="TextBody"/>
        <w:bidi w:val="0"/>
        <w:spacing w:lineRule="atLeast" w:line="240" w:before="0" w:after="120"/>
        <w:ind w:left="0" w:right="0" w:hanging="288"/>
        <w:jc w:val="left"/>
        <w:rPr/>
      </w:pPr>
      <w:r>
        <w:rPr>
          <w:color w:val="000000"/>
        </w:rPr>
        <w:t>•</w:t>
      </w:r>
      <w:r>
        <w:rPr>
          <w:rFonts w:ascii="Roboto Light;sans-serif" w:hAnsi="Roboto Light;sans-serif"/>
          <w:b w:val="false"/>
          <w:color w:val="000000"/>
          <w:sz w:val="18"/>
        </w:rPr>
        <w:t>ROIC*</w:t>
      </w:r>
    </w:p>
    <w:p>
      <w:pPr>
        <w:pStyle w:val="TextBody"/>
        <w:bidi w:val="0"/>
        <w:spacing w:lineRule="atLeast" w:line="240" w:before="120" w:after="360"/>
        <w:jc w:val="left"/>
        <w:rPr/>
      </w:pPr>
      <w:r>
        <w:rPr>
          <w:rFonts w:ascii="Roboto Light;sans-serif" w:hAnsi="Roboto Light;sans-serif"/>
          <w:b w:val="false"/>
          <w:i/>
          <w:color w:val="000000"/>
          <w:sz w:val="16"/>
        </w:rPr>
        <w:t>* Adj. EBIT, Adjusted Pre-Tax Net Income, and ROIC are non-GAAP financial measures.</w:t>
      </w:r>
      <w:r>
        <w:rPr>
          <w:color w:val="000000"/>
        </w:rPr>
        <w:t xml:space="preserve"> </w:t>
      </w:r>
      <w:r>
        <w:rPr>
          <w:rFonts w:ascii="Roboto Light;sans-serif" w:hAnsi="Roboto Light;sans-serif"/>
          <w:b w:val="false"/>
          <w:i/>
          <w:color w:val="000000"/>
          <w:sz w:val="16"/>
        </w:rPr>
        <w:t>See “Annex A - Reconciliations of GAAP to Non-GAAP Financial Measures” below for reconciliations of non-GAAP financial measures used in this Proxy Statement, including this Compensation Discussion &amp; Analysis, to their most directly comparable 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263525"/>
                <wp:effectExtent l="0" t="0" r="0" b="0"/>
                <wp:wrapNone/>
                <wp:docPr id="442" name="Frame86"/>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443"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Image276" descr=""/>
                                          <pic:cNvPicPr>
                                            <a:picLocks noChangeAspect="1" noChangeArrowheads="1"/>
                                          </pic:cNvPicPr>
                                        </pic:nvPicPr>
                                        <pic:blipFill>
                                          <a:blip r:embed="rId358"/>
                                          <a:stretch>
                                            <a:fillRect/>
                                          </a:stretch>
                                        </pic:blipFill>
                                        <pic:spPr bwMode="auto">
                                          <a:xfrm>
                                            <a:off x="0" y="0"/>
                                            <a:ext cx="266700" cy="200025"/>
                                          </a:xfrm>
                                          <a:prstGeom prst="rect">
                                            <a:avLst/>
                                          </a:prstGeom>
                                        </pic:spPr>
                                      </pic:pic>
                                    </a:graphicData>
                                  </a:graphic>
                                </wp:inline>
                              </w:drawing>
                            </w:r>
                            <w:bookmarkStart w:id="357" w:name="i-276"/>
                            <w:bookmarkEnd w:id="357"/>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444"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276" descr=""/>
                                    <pic:cNvPicPr>
                                      <a:picLocks noChangeAspect="1" noChangeArrowheads="1"/>
                                    </pic:cNvPicPr>
                                  </pic:nvPicPr>
                                  <pic:blipFill>
                                    <a:blip r:embed="rId359"/>
                                    <a:stretch>
                                      <a:fillRect/>
                                    </a:stretch>
                                  </pic:blipFill>
                                  <pic:spPr bwMode="auto">
                                    <a:xfrm>
                                      <a:off x="0" y="0"/>
                                      <a:ext cx="266700" cy="200025"/>
                                    </a:xfrm>
                                    <a:prstGeom prst="rect">
                                      <a:avLst/>
                                    </a:prstGeom>
                                  </pic:spPr>
                                </pic:pic>
                              </a:graphicData>
                            </a:graphic>
                          </wp:inline>
                        </w:drawing>
                      </w:r>
                      <w:bookmarkStart w:id="358" w:name="i-276"/>
                      <w:bookmarkEnd w:id="358"/>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81</w:t>
            </w:r>
          </w:p>
        </w:tc>
      </w:tr>
    </w:tbl>
    <w:p>
      <w:pPr>
        <w:pStyle w:val="TextBody"/>
        <w:bidi w:val="0"/>
        <w:spacing w:lineRule="auto" w:line="312" w:before="0" w:after="720"/>
        <w:jc w:val="left"/>
        <w:rPr>
          <w:rFonts w:ascii="Roboto;sans-serif" w:hAnsi="Roboto;sans-serif"/>
          <w:b/>
          <w:color w:val="1946C8"/>
          <w:sz w:val="54"/>
        </w:rPr>
      </w:pPr>
      <w:r>
        <w:rPr>
          <w:rFonts w:ascii="Roboto;sans-serif" w:hAnsi="Roboto;sans-serif"/>
          <w:b/>
          <w:color w:val="1946C8"/>
          <w:sz w:val="54"/>
        </w:rPr>
        <w:t>Ownership of Securities</w:t>
      </w:r>
    </w:p>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Beneficial Ownership of Company Common Stock</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 following table and accompanying footnotes set forth information with respect to the beneficial ownership of our common stock, par value $0.01 per share, as of April 9, 2026, the Record Date (unless otherwise noted in the footnotes below) by (1) each individual or entity known by us to beneficially own more than 5% of our outstanding common stock, (2) each of our named executive officers, (3) each of our directors and director nominees, and (4) all of our directors and our executive officers as a group. As of April 9, 2026, there were 64,508,134 shares of our common stock outstanding.</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The number of shares beneficially owned by each entity or individual is determined in accordance with the SEC rules, and the information is not necessarily indicative of beneficial ownership for any other purpose. Under such rules, beneficial ownership includes any shares as to which the entity or individual has sole or shared voting or investment power and any shares that the entity or individual has the right to acquire on or before June 9, 2026 (60 days after April 9, 2026) through the exercise of any stock options, through the vesting/settlement of restricted stock units payable in shares, or upon the exercise of other rights. </w:t>
      </w:r>
    </w:p>
    <w:p>
      <w:pPr>
        <w:pStyle w:val="TextBody"/>
        <w:bidi w:val="0"/>
        <w:spacing w:lineRule="atLeast" w:line="240" w:before="0" w:after="180"/>
        <w:jc w:val="left"/>
        <w:rPr>
          <w:rFonts w:ascii="Roboto Light;sans-serif" w:hAnsi="Roboto Light;sans-serif"/>
          <w:b w:val="false"/>
          <w:color w:val="000000"/>
          <w:sz w:val="18"/>
        </w:rPr>
      </w:pPr>
      <w:r>
        <w:rPr>
          <w:rFonts w:ascii="Roboto Light;sans-serif" w:hAnsi="Roboto Light;sans-serif"/>
          <w:b w:val="false"/>
          <w:color w:val="000000"/>
          <w:sz w:val="18"/>
        </w:rPr>
        <w:t>To our knowledge, except as indicated in the footnotes to this table and pursuant to applicable community property laws, the persons named in the following table have sole voting and investment power with respect to all shares of common stock, and unless otherwise indicated, the address of each beneficial owner listed below is c/o Academy Sports and Outdoors, Inc., 1800 North Mason Road, Katy, Texas 77449.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263525"/>
                <wp:effectExtent l="0" t="0" r="0" b="0"/>
                <wp:wrapNone/>
                <wp:docPr id="445" name="Frame87"/>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446"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277" descr=""/>
                                          <pic:cNvPicPr>
                                            <a:picLocks noChangeAspect="1" noChangeArrowheads="1"/>
                                          </pic:cNvPicPr>
                                        </pic:nvPicPr>
                                        <pic:blipFill>
                                          <a:blip r:embed="rId360"/>
                                          <a:stretch>
                                            <a:fillRect/>
                                          </a:stretch>
                                        </pic:blipFill>
                                        <pic:spPr bwMode="auto">
                                          <a:xfrm>
                                            <a:off x="0" y="0"/>
                                            <a:ext cx="266700" cy="200025"/>
                                          </a:xfrm>
                                          <a:prstGeom prst="rect">
                                            <a:avLst/>
                                          </a:prstGeom>
                                        </pic:spPr>
                                      </pic:pic>
                                    </a:graphicData>
                                  </a:graphic>
                                </wp:inline>
                              </w:drawing>
                            </w:r>
                            <w:bookmarkStart w:id="359" w:name="i-277"/>
                            <w:bookmarkEnd w:id="359"/>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447"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Image277" descr=""/>
                                    <pic:cNvPicPr>
                                      <a:picLocks noChangeAspect="1" noChangeArrowheads="1"/>
                                    </pic:cNvPicPr>
                                  </pic:nvPicPr>
                                  <pic:blipFill>
                                    <a:blip r:embed="rId361"/>
                                    <a:stretch>
                                      <a:fillRect/>
                                    </a:stretch>
                                  </pic:blipFill>
                                  <pic:spPr bwMode="auto">
                                    <a:xfrm>
                                      <a:off x="0" y="0"/>
                                      <a:ext cx="266700" cy="200025"/>
                                    </a:xfrm>
                                    <a:prstGeom prst="rect">
                                      <a:avLst/>
                                    </a:prstGeom>
                                  </pic:spPr>
                                </pic:pic>
                              </a:graphicData>
                            </a:graphic>
                          </wp:inline>
                        </w:drawing>
                      </w:r>
                      <w:bookmarkStart w:id="360" w:name="i-277"/>
                      <w:bookmarkEnd w:id="360"/>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tbl>
      <w:tblPr>
        <w:tblW w:w="10205" w:type="dxa"/>
        <w:jc w:val="left"/>
        <w:tblInd w:w="0" w:type="dxa"/>
        <w:tblLayout w:type="fixed"/>
        <w:tblCellMar>
          <w:top w:w="28" w:type="dxa"/>
          <w:left w:w="28" w:type="dxa"/>
          <w:bottom w:w="28" w:type="dxa"/>
          <w:right w:w="28" w:type="dxa"/>
        </w:tblCellMar>
      </w:tblPr>
      <w:tblGrid>
        <w:gridCol w:w="1280"/>
        <w:gridCol w:w="1075"/>
        <w:gridCol w:w="1078"/>
        <w:gridCol w:w="1158"/>
        <w:gridCol w:w="997"/>
        <w:gridCol w:w="949"/>
        <w:gridCol w:w="1201"/>
        <w:gridCol w:w="1076"/>
        <w:gridCol w:w="1014"/>
        <w:gridCol w:w="109"/>
        <w:gridCol w:w="109"/>
        <w:gridCol w:w="159"/>
      </w:tblGrid>
      <w:tr>
        <w:trPr/>
        <w:tc>
          <w:tcPr>
            <w:tcW w:w="128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33"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6"/>
            <w:tcBorders/>
            <w:shd w:fill="1946C8"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color w:val="FFFFFF"/>
                <w:sz w:val="16"/>
              </w:rPr>
            </w:pPr>
            <w:r>
              <w:rPr>
                <w:rFonts w:ascii="Roboto;sans-serif" w:hAnsi="Roboto;sans-serif"/>
                <w:b/>
                <w:color w:val="FFFFFF"/>
                <w:sz w:val="16"/>
              </w:rPr>
              <w:t>Beneficial Ownership of Our Common Stock</w:t>
            </w:r>
          </w:p>
        </w:tc>
        <w:tc>
          <w:tcPr>
            <w:tcW w:w="37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op w:val="single" w:sz="8" w:space="0" w:color="FFFFFF"/>
            </w:tcBorders>
            <w:shd w:fill="1946C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3"/>
            <w:tcBorders>
              <w:top w:val="single" w:sz="8" w:space="0" w:color="FFFFFF"/>
            </w:tcBorders>
            <w:shd w:fill="1946C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FFFFFF"/>
                <w:sz w:val="16"/>
              </w:rPr>
            </w:pPr>
            <w:r>
              <w:rPr>
                <w:rFonts w:ascii="Roboto;sans-serif" w:hAnsi="Roboto;sans-serif"/>
                <w:b/>
                <w:color w:val="FFFFFF"/>
                <w:sz w:val="16"/>
              </w:rPr>
              <w:t>Name of Beneficial Owner</w:t>
            </w:r>
          </w:p>
        </w:tc>
        <w:tc>
          <w:tcPr>
            <w:tcW w:w="3104"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color w:val="FFFFFF"/>
                <w:sz w:val="16"/>
              </w:rPr>
            </w:pPr>
            <w:r>
              <w:rPr>
                <w:rFonts w:ascii="Roboto;sans-serif" w:hAnsi="Roboto;sans-serif"/>
                <w:b/>
                <w:color w:val="FFFFFF"/>
                <w:sz w:val="16"/>
              </w:rPr>
              <w:t>Number of Common Shares Beneficially Owned</w:t>
            </w:r>
          </w:p>
        </w:tc>
        <w:tc>
          <w:tcPr>
            <w:tcW w:w="3291" w:type="dxa"/>
            <w:gridSpan w:val="3"/>
            <w:tcBorders/>
            <w:shd w:fill="1946C8"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color w:val="FFFFFF"/>
                <w:sz w:val="16"/>
              </w:rPr>
            </w:pPr>
            <w:r>
              <w:rPr>
                <w:rFonts w:ascii="Roboto;sans-serif" w:hAnsi="Roboto;sans-serif"/>
                <w:b/>
                <w:color w:val="FFFFFF"/>
                <w:sz w:val="16"/>
              </w:rPr>
              <w:t>Percentage of Total Common Shares Outstanding</w:t>
            </w:r>
          </w:p>
        </w:tc>
        <w:tc>
          <w:tcPr>
            <w:tcW w:w="37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00000"/>
                <w:sz w:val="16"/>
              </w:rPr>
            </w:pPr>
            <w:r>
              <w:rPr>
                <w:rFonts w:ascii="Roboto;sans-serif" w:hAnsi="Roboto;sans-serif"/>
                <w:b/>
                <w:color w:val="000000"/>
                <w:sz w:val="16"/>
              </w:rPr>
              <w:t>5% Owners:</w:t>
            </w:r>
          </w:p>
        </w:tc>
        <w:tc>
          <w:tcPr>
            <w:tcW w:w="3104"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val="false"/>
                <w:color w:val="000000"/>
                <w:sz w:val="16"/>
              </w:rPr>
              <w:t>FMR LLC</w:t>
            </w:r>
            <w:r>
              <w:rPr>
                <w:rFonts w:ascii="Roboto;sans-serif" w:hAnsi="Roboto;sans-serif"/>
                <w:b w:val="false"/>
                <w:color w:val="000000"/>
                <w:sz w:val="10"/>
              </w:rPr>
              <w:t>(1)</w:t>
            </w:r>
          </w:p>
        </w:tc>
        <w:tc>
          <w:tcPr>
            <w:tcW w:w="3104"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11,122,705</w:t>
            </w:r>
          </w:p>
        </w:tc>
        <w:tc>
          <w:tcPr>
            <w:tcW w:w="329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17.24%</w:t>
            </w:r>
          </w:p>
        </w:tc>
        <w:tc>
          <w:tcPr>
            <w:tcW w:w="3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val="false"/>
                <w:color w:val="000000"/>
                <w:sz w:val="16"/>
              </w:rPr>
              <w:t>BlackRock, Inc.</w:t>
            </w:r>
            <w:r>
              <w:rPr>
                <w:rFonts w:ascii="Roboto;sans-serif" w:hAnsi="Roboto;sans-serif"/>
                <w:b w:val="false"/>
                <w:color w:val="000000"/>
                <w:sz w:val="10"/>
              </w:rPr>
              <w:t>(2)</w:t>
            </w:r>
          </w:p>
        </w:tc>
        <w:tc>
          <w:tcPr>
            <w:tcW w:w="3104"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9,483,077</w:t>
            </w:r>
          </w:p>
        </w:tc>
        <w:tc>
          <w:tcPr>
            <w:tcW w:w="329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14.70%</w:t>
            </w:r>
          </w:p>
        </w:tc>
        <w:tc>
          <w:tcPr>
            <w:tcW w:w="3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val="false"/>
                <w:color w:val="000000"/>
                <w:sz w:val="16"/>
              </w:rPr>
              <w:t>Dimensional Fund Advisors LP</w:t>
            </w:r>
            <w:r>
              <w:rPr>
                <w:rFonts w:ascii="Roboto;sans-serif" w:hAnsi="Roboto;sans-serif"/>
                <w:b w:val="false"/>
                <w:color w:val="000000"/>
                <w:sz w:val="10"/>
              </w:rPr>
              <w:t>(3)</w:t>
            </w:r>
          </w:p>
        </w:tc>
        <w:tc>
          <w:tcPr>
            <w:tcW w:w="3104"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3,699,015</w:t>
            </w:r>
          </w:p>
        </w:tc>
        <w:tc>
          <w:tcPr>
            <w:tcW w:w="329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5.73%</w:t>
            </w:r>
          </w:p>
        </w:tc>
        <w:tc>
          <w:tcPr>
            <w:tcW w:w="3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00000"/>
                <w:sz w:val="16"/>
              </w:rPr>
            </w:pPr>
            <w:r>
              <w:rPr>
                <w:rFonts w:ascii="Roboto;sans-serif" w:hAnsi="Roboto;sans-serif"/>
                <w:b/>
                <w:color w:val="000000"/>
                <w:sz w:val="16"/>
              </w:rPr>
              <w:t>Named Executive Officers:</w:t>
            </w:r>
          </w:p>
        </w:tc>
        <w:tc>
          <w:tcPr>
            <w:tcW w:w="3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val="false"/>
                <w:color w:val="000000"/>
                <w:sz w:val="16"/>
              </w:rPr>
              <w:t>Steve Lawrence</w:t>
            </w:r>
            <w:r>
              <w:rPr>
                <w:rFonts w:ascii="Roboto;sans-serif" w:hAnsi="Roboto;sans-serif"/>
                <w:b w:val="false"/>
                <w:color w:val="000000"/>
                <w:sz w:val="10"/>
              </w:rPr>
              <w:t>(4)</w:t>
            </w:r>
            <w:r>
              <w:rPr>
                <w:color w:val="000000"/>
              </w:rPr>
              <w:t xml:space="preserve"> </w:t>
            </w:r>
          </w:p>
        </w:tc>
        <w:tc>
          <w:tcPr>
            <w:tcW w:w="310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367,977</w:t>
            </w:r>
          </w:p>
        </w:tc>
        <w:tc>
          <w:tcPr>
            <w:tcW w:w="329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val="false"/>
                <w:color w:val="000000"/>
                <w:sz w:val="16"/>
              </w:rPr>
              <w:t>Sam Johnson</w:t>
            </w:r>
            <w:r>
              <w:rPr>
                <w:rFonts w:ascii="Roboto;sans-serif" w:hAnsi="Roboto;sans-serif"/>
                <w:b w:val="false"/>
                <w:color w:val="000000"/>
                <w:sz w:val="10"/>
              </w:rPr>
              <w:t>(5)</w:t>
            </w:r>
          </w:p>
        </w:tc>
        <w:tc>
          <w:tcPr>
            <w:tcW w:w="3104"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197,762</w:t>
            </w:r>
          </w:p>
        </w:tc>
        <w:tc>
          <w:tcPr>
            <w:tcW w:w="329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top w:val="single" w:sz="4" w:space="0" w:color="1946C8"/>
            </w:tcBorders>
            <w:tcMar>
              <w:top w:w="3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val="false"/>
                <w:color w:val="000000"/>
                <w:sz w:val="16"/>
              </w:rPr>
              <w:t>Carl Ford</w:t>
            </w:r>
            <w:r>
              <w:rPr>
                <w:rFonts w:ascii="Roboto;sans-serif" w:hAnsi="Roboto;sans-serif"/>
                <w:b w:val="false"/>
                <w:color w:val="000000"/>
                <w:sz w:val="10"/>
              </w:rPr>
              <w:t>(6)</w:t>
            </w:r>
          </w:p>
        </w:tc>
        <w:tc>
          <w:tcPr>
            <w:tcW w:w="3104"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47,726</w:t>
            </w:r>
          </w:p>
        </w:tc>
        <w:tc>
          <w:tcPr>
            <w:tcW w:w="329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val="false"/>
                <w:color w:val="000000"/>
                <w:sz w:val="16"/>
              </w:rPr>
              <w:t>Matt McCabe</w:t>
            </w:r>
            <w:r>
              <w:rPr>
                <w:rFonts w:ascii="Roboto;sans-serif" w:hAnsi="Roboto;sans-serif"/>
                <w:b w:val="false"/>
                <w:color w:val="000000"/>
                <w:sz w:val="10"/>
              </w:rPr>
              <w:t>(7)</w:t>
            </w:r>
          </w:p>
        </w:tc>
        <w:tc>
          <w:tcPr>
            <w:tcW w:w="3104"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52,025</w:t>
            </w:r>
          </w:p>
        </w:tc>
        <w:tc>
          <w:tcPr>
            <w:tcW w:w="3291" w:type="dxa"/>
            <w:gridSpan w:val="3"/>
            <w:tcBorders>
              <w:top w:val="single" w:sz="4"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color w:val="000000"/>
                <w:sz w:val="16"/>
              </w:rPr>
            </w:pPr>
            <w:r>
              <w:rPr>
                <w:rFonts w:ascii="Roboto;sans-serif" w:hAnsi="Roboto;sans-serif"/>
                <w:b/>
                <w:color w:val="000000"/>
                <w:sz w:val="16"/>
              </w:rPr>
              <w:t>Directors:</w:t>
            </w:r>
          </w:p>
        </w:tc>
        <w:tc>
          <w:tcPr>
            <w:tcW w:w="3104"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ECF8FE" w:val="clear"/>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val="false"/>
                <w:color w:val="000000"/>
                <w:sz w:val="16"/>
              </w:rPr>
              <w:t>Ken Hicks</w:t>
            </w:r>
            <w:r>
              <w:rPr>
                <w:rFonts w:ascii="Roboto;sans-serif" w:hAnsi="Roboto;sans-serif"/>
                <w:b w:val="false"/>
                <w:color w:val="000000"/>
                <w:sz w:val="10"/>
              </w:rPr>
              <w:t>(8)</w:t>
            </w:r>
          </w:p>
        </w:tc>
        <w:tc>
          <w:tcPr>
            <w:tcW w:w="3104"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1,896,123</w:t>
            </w:r>
          </w:p>
        </w:tc>
        <w:tc>
          <w:tcPr>
            <w:tcW w:w="3291"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2.88%</w:t>
            </w:r>
          </w:p>
        </w:tc>
        <w:tc>
          <w:tcPr>
            <w:tcW w:w="3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val="false"/>
                <w:color w:val="000000"/>
                <w:sz w:val="16"/>
              </w:rPr>
              <w:t>Tom Nealon</w:t>
            </w:r>
            <w:r>
              <w:rPr>
                <w:rFonts w:ascii="Roboto;sans-serif" w:hAnsi="Roboto;sans-serif"/>
                <w:b w:val="false"/>
                <w:color w:val="000000"/>
                <w:sz w:val="10"/>
              </w:rPr>
              <w:t>(9)</w:t>
            </w:r>
          </w:p>
        </w:tc>
        <w:tc>
          <w:tcPr>
            <w:tcW w:w="3104"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19,149</w:t>
            </w:r>
          </w:p>
        </w:tc>
        <w:tc>
          <w:tcPr>
            <w:tcW w:w="329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val="false"/>
                <w:color w:val="000000"/>
                <w:sz w:val="16"/>
              </w:rPr>
              <w:t>Wendy Beck</w:t>
            </w:r>
            <w:r>
              <w:rPr>
                <w:rFonts w:ascii="Roboto;sans-serif" w:hAnsi="Roboto;sans-serif"/>
                <w:b w:val="false"/>
                <w:color w:val="000000"/>
                <w:sz w:val="10"/>
              </w:rPr>
              <w:t>(9)</w:t>
            </w:r>
          </w:p>
        </w:tc>
        <w:tc>
          <w:tcPr>
            <w:tcW w:w="3104"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21,550</w:t>
            </w:r>
          </w:p>
        </w:tc>
        <w:tc>
          <w:tcPr>
            <w:tcW w:w="329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val="false"/>
                <w:color w:val="000000"/>
                <w:sz w:val="16"/>
              </w:rPr>
              <w:t>Michael Dastugue</w:t>
            </w:r>
            <w:r>
              <w:rPr>
                <w:rFonts w:ascii="Roboto;sans-serif" w:hAnsi="Roboto;sans-serif"/>
                <w:b w:val="false"/>
                <w:color w:val="000000"/>
                <w:sz w:val="10"/>
              </w:rPr>
              <w:t>(10)</w:t>
            </w:r>
          </w:p>
        </w:tc>
        <w:tc>
          <w:tcPr>
            <w:tcW w:w="3104"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1,825</w:t>
            </w:r>
          </w:p>
        </w:tc>
        <w:tc>
          <w:tcPr>
            <w:tcW w:w="329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ind w:left="0" w:right="0" w:firstLine="220"/>
              <w:jc w:val="right"/>
              <w:rPr>
                <w:rFonts w:ascii="Roboto;sans-serif" w:hAnsi="Roboto;sans-serif"/>
                <w:b w:val="false"/>
                <w:color w:val="000000"/>
                <w:sz w:val="16"/>
              </w:rPr>
            </w:pPr>
            <w:r>
              <w:rPr>
                <w:rFonts w:ascii="Roboto;sans-serif" w:hAnsi="Roboto;sans-serif"/>
                <w:b w:val="false"/>
                <w:color w:val="000000"/>
                <w:sz w:val="16"/>
              </w:rPr>
              <w:t>*</w:t>
            </w:r>
          </w:p>
        </w:tc>
        <w:tc>
          <w:tcPr>
            <w:tcW w:w="3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val="false"/>
                <w:color w:val="000000"/>
                <w:sz w:val="16"/>
              </w:rPr>
              <w:t>Shannon Hennessy</w:t>
            </w:r>
            <w:r>
              <w:rPr>
                <w:rFonts w:ascii="Roboto;sans-serif" w:hAnsi="Roboto;sans-serif"/>
                <w:b w:val="false"/>
                <w:color w:val="000000"/>
                <w:sz w:val="10"/>
              </w:rPr>
              <w:t>(10)</w:t>
            </w:r>
          </w:p>
        </w:tc>
        <w:tc>
          <w:tcPr>
            <w:tcW w:w="3104"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1,825</w:t>
            </w:r>
          </w:p>
        </w:tc>
        <w:tc>
          <w:tcPr>
            <w:tcW w:w="329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val="false"/>
                <w:color w:val="000000"/>
                <w:sz w:val="16"/>
              </w:rPr>
              <w:t>Clay Johnson</w:t>
            </w:r>
            <w:r>
              <w:rPr>
                <w:rFonts w:ascii="Roboto;sans-serif" w:hAnsi="Roboto;sans-serif"/>
                <w:b w:val="false"/>
                <w:color w:val="000000"/>
                <w:sz w:val="10"/>
              </w:rPr>
              <w:t>(10)</w:t>
            </w:r>
          </w:p>
        </w:tc>
        <w:tc>
          <w:tcPr>
            <w:tcW w:w="3104"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1,825</w:t>
            </w:r>
          </w:p>
        </w:tc>
        <w:tc>
          <w:tcPr>
            <w:tcW w:w="329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val="false"/>
                <w:color w:val="000000"/>
                <w:sz w:val="16"/>
              </w:rPr>
              <w:t>Brian Marley</w:t>
            </w:r>
            <w:r>
              <w:rPr>
                <w:rFonts w:ascii="Roboto;sans-serif" w:hAnsi="Roboto;sans-serif"/>
                <w:b w:val="false"/>
                <w:color w:val="000000"/>
                <w:sz w:val="10"/>
              </w:rPr>
              <w:t>(9)</w:t>
            </w:r>
          </w:p>
        </w:tc>
        <w:tc>
          <w:tcPr>
            <w:tcW w:w="3104"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43,039</w:t>
            </w:r>
          </w:p>
        </w:tc>
        <w:tc>
          <w:tcPr>
            <w:tcW w:w="329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val="false"/>
                <w:color w:val="000000"/>
                <w:sz w:val="16"/>
              </w:rPr>
              <w:t>Theresa Palermo</w:t>
            </w:r>
            <w:r>
              <w:rPr>
                <w:rFonts w:ascii="Roboto;sans-serif" w:hAnsi="Roboto;sans-serif"/>
                <w:b w:val="false"/>
                <w:color w:val="000000"/>
                <w:sz w:val="10"/>
              </w:rPr>
              <w:t>(9)</w:t>
            </w:r>
          </w:p>
        </w:tc>
        <w:tc>
          <w:tcPr>
            <w:tcW w:w="3104"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13,164</w:t>
            </w:r>
          </w:p>
        </w:tc>
        <w:tc>
          <w:tcPr>
            <w:tcW w:w="329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val="false"/>
                <w:color w:val="000000"/>
                <w:sz w:val="16"/>
              </w:rPr>
              <w:t>Monique Picou</w:t>
            </w:r>
            <w:r>
              <w:rPr>
                <w:rFonts w:ascii="Roboto;sans-serif" w:hAnsi="Roboto;sans-serif"/>
                <w:b w:val="false"/>
                <w:color w:val="000000"/>
                <w:sz w:val="10"/>
              </w:rPr>
              <w:t>(9)</w:t>
            </w:r>
          </w:p>
        </w:tc>
        <w:tc>
          <w:tcPr>
            <w:tcW w:w="3104"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7,353</w:t>
            </w:r>
          </w:p>
        </w:tc>
        <w:tc>
          <w:tcPr>
            <w:tcW w:w="329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val="false"/>
                <w:color w:val="000000"/>
                <w:sz w:val="16"/>
              </w:rPr>
              <w:t>Beryl Raff</w:t>
            </w:r>
            <w:r>
              <w:rPr>
                <w:rFonts w:ascii="Roboto;sans-serif" w:hAnsi="Roboto;sans-serif"/>
                <w:b w:val="false"/>
                <w:color w:val="000000"/>
                <w:sz w:val="10"/>
              </w:rPr>
              <w:t>(9)</w:t>
            </w:r>
          </w:p>
        </w:tc>
        <w:tc>
          <w:tcPr>
            <w:tcW w:w="3104"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19,282</w:t>
            </w:r>
          </w:p>
        </w:tc>
        <w:tc>
          <w:tcPr>
            <w:tcW w:w="329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val="false"/>
                <w:color w:val="000000"/>
                <w:sz w:val="16"/>
              </w:rPr>
              <w:t>Jeff Tweedy</w:t>
            </w:r>
            <w:r>
              <w:rPr>
                <w:rFonts w:ascii="Roboto;sans-serif" w:hAnsi="Roboto;sans-serif"/>
                <w:b w:val="false"/>
                <w:color w:val="000000"/>
                <w:sz w:val="10"/>
              </w:rPr>
              <w:t>(9)</w:t>
            </w:r>
          </w:p>
        </w:tc>
        <w:tc>
          <w:tcPr>
            <w:tcW w:w="3104"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15,767</w:t>
            </w:r>
          </w:p>
        </w:tc>
        <w:tc>
          <w:tcPr>
            <w:tcW w:w="329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w:t>
            </w:r>
          </w:p>
        </w:tc>
        <w:tc>
          <w:tcPr>
            <w:tcW w:w="3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val="false"/>
                <w:color w:val="000000"/>
                <w:sz w:val="16"/>
              </w:rPr>
              <w:t>Directors and executive officers as a group</w:t>
            </w:r>
            <w:r>
              <w:rPr>
                <w:rFonts w:ascii="Helvetica;sans-serif" w:hAnsi="Helvetica;sans-serif"/>
                <w:b w:val="false"/>
                <w:color w:val="000000"/>
                <w:sz w:val="10"/>
              </w:rPr>
              <w:t>(11</w:t>
            </w:r>
            <w:r>
              <w:rPr>
                <w:rFonts w:ascii="Roboto;sans-serif" w:hAnsi="Roboto;sans-serif"/>
                <w:b w:val="false"/>
                <w:color w:val="000000"/>
                <w:sz w:val="10"/>
              </w:rPr>
              <w:t>)</w:t>
            </w:r>
            <w:r>
              <w:rPr>
                <w:color w:val="000000"/>
              </w:rPr>
              <w:t xml:space="preserve"> </w:t>
            </w:r>
            <w:r>
              <w:rPr>
                <w:rFonts w:ascii="Roboto;sans-serif" w:hAnsi="Roboto;sans-serif"/>
                <w:b w:val="false"/>
                <w:color w:val="000000"/>
                <w:sz w:val="16"/>
              </w:rPr>
              <w:t>(15 persons)</w:t>
            </w:r>
          </w:p>
        </w:tc>
        <w:tc>
          <w:tcPr>
            <w:tcW w:w="3104"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2,706,392</w:t>
            </w:r>
          </w:p>
        </w:tc>
        <w:tc>
          <w:tcPr>
            <w:tcW w:w="3291" w:type="dxa"/>
            <w:gridSpan w:val="3"/>
            <w:tcBorders>
              <w:top w:val="single" w:sz="4" w:space="0" w:color="1946C8"/>
            </w:tcBorders>
            <w:shd w:fill="ECF8FE"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4.08%</w:t>
            </w:r>
          </w:p>
        </w:tc>
        <w:tc>
          <w:tcPr>
            <w:tcW w:w="37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bottom w:val="single" w:sz="12" w:space="0" w:color="E81111"/>
            </w:tcBorders>
            <w:shd w:fill="ECF8F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bottom w:val="single" w:sz="12" w:space="0" w:color="E81111"/>
            </w:tcBorders>
            <w:shd w:fill="ECF8F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3"/>
            <w:tcBorders>
              <w:bottom w:val="single" w:sz="12" w:space="0" w:color="E81111"/>
            </w:tcBorders>
            <w:shd w:fill="ECF8F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bottom w:val="single" w:sz="12" w:space="0" w:color="E81111"/>
            </w:tcBorders>
            <w:shd w:fill="ECF8FE"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 xml:space="preserve">(*) Less than one percent. </w:t>
      </w:r>
    </w:p>
    <w:p>
      <w:pPr>
        <w:pStyle w:val="TextBody"/>
        <w:bidi w:val="0"/>
        <w:spacing w:lineRule="auto" w:line="312" w:before="0" w:after="60"/>
        <w:ind w:left="0" w:right="0" w:hanging="360"/>
        <w:jc w:val="left"/>
        <w:rPr/>
      </w:pPr>
      <w:r>
        <w:rPr>
          <w:rFonts w:ascii="Helvetica Light;sans-serif" w:hAnsi="Helvetica Light;sans-serif"/>
          <w:b w:val="false"/>
          <w:color w:val="000000"/>
          <w:sz w:val="14"/>
        </w:rPr>
        <w:t>1.</w:t>
      </w:r>
      <w:r>
        <w:rPr>
          <w:rFonts w:ascii="Roboto Light;sans-serif" w:hAnsi="Roboto Light;sans-serif"/>
          <w:b w:val="false"/>
          <w:color w:val="000000"/>
          <w:sz w:val="14"/>
        </w:rPr>
        <w:t>Based solely on the information disclosed in a Schedule 13G/A filed by FMR LLC, certain related entities and Abigail P. Johnson (the Chairman and Chief Executive Officer of FMR LLC) on February 9, 2024. The number of shares reported is as of December 29, 2023. Members of the Johnson family, including Abigail P. Johnson, are the predominant owners, directly or through trusts, of Series B voting common shares of FMR LLC, representing 49% of the voting power of FMR LLC. FMR LLC reported sole power to vote or direct the vote over 11,117,580 shares of our common stock and sole power to dispose or direct the disposition over 11,122,705 shares of our common stock. Abigail P. Johnson reported sole power to vote or direct the vote over 0 shares of our common stock and sole power to dispose or direct the disposition over 11,122,705 shares of our common stock. The principal business address for FMR LLC, its related entities and Abigail P. Johnson is 245 Summer Street, Boston, Massachusetts 02210.</w:t>
      </w:r>
    </w:p>
    <w:p>
      <w:pPr>
        <w:pStyle w:val="TextBody"/>
        <w:bidi w:val="0"/>
        <w:spacing w:lineRule="auto" w:line="312" w:before="0" w:after="60"/>
        <w:ind w:left="0" w:right="0" w:hanging="360"/>
        <w:jc w:val="left"/>
        <w:rPr/>
      </w:pPr>
      <w:r>
        <w:rPr>
          <w:rFonts w:ascii="Helvetica Light;sans-serif" w:hAnsi="Helvetica Light;sans-serif"/>
          <w:b w:val="false"/>
          <w:color w:val="000000"/>
          <w:sz w:val="14"/>
        </w:rPr>
        <w:t>2.</w:t>
      </w:r>
      <w:r>
        <w:rPr>
          <w:rFonts w:ascii="Roboto Light;sans-serif" w:hAnsi="Roboto Light;sans-serif"/>
          <w:b w:val="false"/>
          <w:color w:val="000000"/>
          <w:sz w:val="14"/>
        </w:rPr>
        <w:t>Based solely on the information disclosed in a Schedule 13G/A filed by BlackRock, Inc. and certain related entities on July 17, 2025. The number of shares reported is as of June 30, 2025. BlackRock, Inc. reported sole power to vote or direct the vote over 9,319,006 shares of our common stock and sole power to dispose or direct the disposition over 9,483,077 shares of our common stock. The principal business address for BlackRock, Inc. is 50 Hudson Yards, New York, NY 10001.</w:t>
      </w:r>
    </w:p>
    <w:p>
      <w:pPr>
        <w:pStyle w:val="TextBody"/>
        <w:bidi w:val="0"/>
        <w:spacing w:lineRule="auto" w:line="312" w:before="0" w:after="60"/>
        <w:ind w:left="0" w:right="0" w:hanging="360"/>
        <w:jc w:val="left"/>
        <w:rPr/>
      </w:pPr>
      <w:r>
        <w:rPr>
          <w:rFonts w:ascii="Helvetica Light;sans-serif" w:hAnsi="Helvetica Light;sans-serif"/>
          <w:b w:val="false"/>
          <w:color w:val="000000"/>
          <w:sz w:val="14"/>
        </w:rPr>
        <w:t>3.</w:t>
      </w:r>
      <w:r>
        <w:rPr>
          <w:rFonts w:ascii="Roboto Light;sans-serif" w:hAnsi="Roboto Light;sans-serif"/>
          <w:b w:val="false"/>
          <w:color w:val="000000"/>
          <w:sz w:val="14"/>
        </w:rPr>
        <w:t>Based solely on the information disclosed in a Schedule 13G filed by Dimensional Fund Advisors LP, an investment adviser, on January 23, 2025. The number of shares reported is as of December 31, 2024. Dimensional Fund Advisors LP reported sole power to vote or direct the vote over 3,588,947 shares of our common stock and sole power to dispose or direct the disposition over 3,699,015 shares of our common stock. The principal business address for Dimensional Fund Advisors LP is 6300 Bee Cave Road, Building One, Austin, TX 78746.</w:t>
      </w:r>
    </w:p>
    <w:p>
      <w:pPr>
        <w:pStyle w:val="TextBody"/>
        <w:bidi w:val="0"/>
        <w:spacing w:lineRule="auto" w:line="312" w:before="0" w:after="60"/>
        <w:ind w:left="0" w:right="0" w:hanging="360"/>
        <w:jc w:val="left"/>
        <w:rPr/>
      </w:pPr>
      <w:r>
        <w:rPr>
          <w:rFonts w:ascii="Helvetica Light;sans-serif" w:hAnsi="Helvetica Light;sans-serif"/>
          <w:b w:val="false"/>
          <w:color w:val="000000"/>
          <w:sz w:val="14"/>
        </w:rPr>
        <w:t>4.</w:t>
      </w:r>
      <w:r>
        <w:rPr>
          <w:rFonts w:ascii="Roboto Light;sans-serif" w:hAnsi="Roboto Light;sans-serif"/>
          <w:b w:val="false"/>
          <w:color w:val="000000"/>
          <w:sz w:val="14"/>
        </w:rPr>
        <w:t xml:space="preserve">Includes 150,195 shares subject to exercisable stock options, 20,064 shares subject to stock options that are scheduled to become exercisable within 60 days after April 9, 2026 and 9,917 shares underlying restricted stock units that are scheduled to settle within 60 days after April 9, 2026. </w:t>
      </w:r>
    </w:p>
    <w:p>
      <w:pPr>
        <w:pStyle w:val="TextBody"/>
        <w:bidi w:val="0"/>
        <w:spacing w:lineRule="auto" w:line="312" w:before="0" w:after="60"/>
        <w:ind w:left="0" w:right="0" w:hanging="360"/>
        <w:jc w:val="left"/>
        <w:rPr/>
      </w:pPr>
      <w:r>
        <w:rPr>
          <w:rFonts w:ascii="Helvetica Light;sans-serif" w:hAnsi="Helvetica Light;sans-serif"/>
          <w:b w:val="false"/>
          <w:color w:val="000000"/>
          <w:sz w:val="14"/>
        </w:rPr>
        <w:t>5.</w:t>
      </w:r>
      <w:r>
        <w:rPr>
          <w:rFonts w:ascii="Roboto Light;sans-serif" w:hAnsi="Roboto Light;sans-serif"/>
          <w:b w:val="false"/>
          <w:color w:val="000000"/>
          <w:sz w:val="14"/>
        </w:rPr>
        <w:t>Includes 88,709 shares subject to exercisable stock options, 1,672 shares subject to stock options that are scheduled to become exercisable within 60 days after April 9, 2026 and 827 shares underlying restricted stock units that are scheduled to settle within 60 days after April 9, 2026.</w:t>
      </w:r>
    </w:p>
    <w:p>
      <w:pPr>
        <w:pStyle w:val="TextBody"/>
        <w:bidi w:val="0"/>
        <w:spacing w:lineRule="auto" w:line="312" w:before="0" w:after="60"/>
        <w:ind w:left="0" w:right="0" w:hanging="360"/>
        <w:jc w:val="left"/>
        <w:rPr/>
      </w:pPr>
      <w:r>
        <w:rPr>
          <w:rFonts w:ascii="Helvetica Light;sans-serif" w:hAnsi="Helvetica Light;sans-serif"/>
          <w:b w:val="false"/>
          <w:color w:val="000000"/>
          <w:sz w:val="14"/>
        </w:rPr>
        <w:t>6.</w:t>
      </w:r>
      <w:r>
        <w:rPr>
          <w:rFonts w:ascii="Roboto Light;sans-serif" w:hAnsi="Roboto Light;sans-serif"/>
          <w:b w:val="false"/>
          <w:color w:val="000000"/>
          <w:sz w:val="14"/>
        </w:rPr>
        <w:t>Includes 28,099 shares subject to exercisable stock options.</w:t>
      </w:r>
    </w:p>
    <w:p>
      <w:pPr>
        <w:pStyle w:val="TextBody"/>
        <w:bidi w:val="0"/>
        <w:spacing w:lineRule="auto" w:line="312" w:before="0" w:after="60"/>
        <w:ind w:left="0" w:right="0" w:hanging="360"/>
        <w:jc w:val="left"/>
        <w:rPr/>
      </w:pPr>
      <w:r>
        <w:rPr>
          <w:rFonts w:ascii="Helvetica Light;sans-serif" w:hAnsi="Helvetica Light;sans-serif"/>
          <w:b w:val="false"/>
          <w:color w:val="000000"/>
          <w:sz w:val="14"/>
        </w:rPr>
        <w:t>7.</w:t>
      </w:r>
      <w:r>
        <w:rPr>
          <w:rFonts w:ascii="Roboto Light;sans-serif" w:hAnsi="Roboto Light;sans-serif"/>
          <w:b w:val="false"/>
          <w:color w:val="000000"/>
          <w:sz w:val="14"/>
        </w:rPr>
        <w:t xml:space="preserve">Includes 28,099 shares subject to exercisable stock options. </w:t>
      </w:r>
    </w:p>
    <w:p>
      <w:pPr>
        <w:pStyle w:val="TextBody"/>
        <w:bidi w:val="0"/>
        <w:spacing w:lineRule="auto" w:line="312" w:before="0" w:after="60"/>
        <w:ind w:left="0" w:right="0" w:hanging="360"/>
        <w:jc w:val="left"/>
        <w:rPr/>
      </w:pPr>
      <w:r>
        <w:rPr>
          <w:rFonts w:ascii="Helvetica Light;sans-serif" w:hAnsi="Helvetica Light;sans-serif"/>
          <w:b w:val="false"/>
          <w:color w:val="000000"/>
          <w:sz w:val="14"/>
        </w:rPr>
        <w:t>8.</w:t>
      </w:r>
      <w:r>
        <w:rPr>
          <w:rFonts w:ascii="Roboto Light;sans-serif" w:hAnsi="Roboto Light;sans-serif"/>
          <w:b w:val="false"/>
          <w:color w:val="000000"/>
          <w:sz w:val="14"/>
        </w:rPr>
        <w:t xml:space="preserve">Includes 1,428,424 shares subject to exercisable stock options and 6,823 shares underlying restricted stock units that are scheduled to settle within 60 days after April 9,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263525"/>
                <wp:effectExtent l="0" t="0" r="0" b="0"/>
                <wp:wrapNone/>
                <wp:docPr id="448" name="Frame88"/>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449"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Image278" descr=""/>
                                          <pic:cNvPicPr>
                                            <a:picLocks noChangeAspect="1" noChangeArrowheads="1"/>
                                          </pic:cNvPicPr>
                                        </pic:nvPicPr>
                                        <pic:blipFill>
                                          <a:blip r:embed="rId362"/>
                                          <a:stretch>
                                            <a:fillRect/>
                                          </a:stretch>
                                        </pic:blipFill>
                                        <pic:spPr bwMode="auto">
                                          <a:xfrm>
                                            <a:off x="0" y="0"/>
                                            <a:ext cx="266700" cy="200025"/>
                                          </a:xfrm>
                                          <a:prstGeom prst="rect">
                                            <a:avLst/>
                                          </a:prstGeom>
                                        </pic:spPr>
                                      </pic:pic>
                                    </a:graphicData>
                                  </a:graphic>
                                </wp:inline>
                              </w:drawing>
                            </w:r>
                            <w:bookmarkStart w:id="361" w:name="i-278"/>
                            <w:bookmarkEnd w:id="361"/>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450"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278" descr=""/>
                                    <pic:cNvPicPr>
                                      <a:picLocks noChangeAspect="1" noChangeArrowheads="1"/>
                                    </pic:cNvPicPr>
                                  </pic:nvPicPr>
                                  <pic:blipFill>
                                    <a:blip r:embed="rId363"/>
                                    <a:stretch>
                                      <a:fillRect/>
                                    </a:stretch>
                                  </pic:blipFill>
                                  <pic:spPr bwMode="auto">
                                    <a:xfrm>
                                      <a:off x="0" y="0"/>
                                      <a:ext cx="266700" cy="200025"/>
                                    </a:xfrm>
                                    <a:prstGeom prst="rect">
                                      <a:avLst/>
                                    </a:prstGeom>
                                  </pic:spPr>
                                </pic:pic>
                              </a:graphicData>
                            </a:graphic>
                          </wp:inline>
                        </w:drawing>
                      </w:r>
                      <w:bookmarkStart w:id="362" w:name="i-278"/>
                      <w:bookmarkEnd w:id="362"/>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83</w:t>
            </w:r>
          </w:p>
        </w:tc>
      </w:tr>
    </w:tbl>
    <w:p>
      <w:pPr>
        <w:pStyle w:val="TextBody"/>
        <w:bidi w:val="0"/>
        <w:spacing w:lineRule="auto" w:line="312" w:before="0" w:after="60"/>
        <w:ind w:left="0" w:right="0" w:hanging="360"/>
        <w:jc w:val="left"/>
        <w:rPr/>
      </w:pPr>
      <w:r>
        <w:rPr>
          <w:rFonts w:ascii="Helvetica Light;sans-serif" w:hAnsi="Helvetica Light;sans-serif"/>
          <w:b w:val="false"/>
          <w:color w:val="000000"/>
          <w:sz w:val="14"/>
        </w:rPr>
        <w:t>9.</w:t>
      </w:r>
      <w:r>
        <w:rPr>
          <w:rFonts w:ascii="Roboto Light;sans-serif" w:hAnsi="Roboto Light;sans-serif"/>
          <w:b w:val="false"/>
          <w:color w:val="000000"/>
          <w:sz w:val="14"/>
        </w:rPr>
        <w:t xml:space="preserve">Includes 3,932 shares underlying restricted stock units for each director that are scheduled to settle within 60 days after April 9, 2026. </w:t>
      </w:r>
    </w:p>
    <w:p>
      <w:pPr>
        <w:pStyle w:val="TextBody"/>
        <w:bidi w:val="0"/>
        <w:spacing w:lineRule="auto" w:line="312" w:before="0" w:after="60"/>
        <w:ind w:left="0" w:right="0" w:hanging="360"/>
        <w:jc w:val="left"/>
        <w:rPr/>
      </w:pPr>
      <w:r>
        <w:rPr>
          <w:rFonts w:ascii="Helvetica Light;sans-serif" w:hAnsi="Helvetica Light;sans-serif"/>
          <w:b w:val="false"/>
          <w:color w:val="000000"/>
          <w:sz w:val="14"/>
        </w:rPr>
        <w:t>10.</w:t>
      </w:r>
      <w:r>
        <w:rPr>
          <w:rFonts w:ascii="Roboto Light;sans-serif" w:hAnsi="Roboto Light;sans-serif"/>
          <w:b w:val="false"/>
          <w:color w:val="000000"/>
          <w:sz w:val="14"/>
        </w:rPr>
        <w:t>Includes 1,825 shares underlying restricted stock units for each director that are scheduled to settle within 60 days after April 9, 2026.</w:t>
      </w:r>
    </w:p>
    <w:p>
      <w:pPr>
        <w:pStyle w:val="TextBody"/>
        <w:bidi w:val="0"/>
        <w:spacing w:lineRule="auto" w:line="312" w:before="0" w:after="120"/>
        <w:ind w:left="0" w:right="0" w:hanging="360"/>
        <w:jc w:val="left"/>
        <w:rPr/>
      </w:pPr>
      <w:r>
        <w:rPr>
          <w:rFonts w:ascii="Helvetica Light;sans-serif" w:hAnsi="Helvetica Light;sans-serif"/>
          <w:b w:val="false"/>
          <w:color w:val="000000"/>
          <w:sz w:val="14"/>
        </w:rPr>
        <w:t>11.</w:t>
      </w:r>
      <w:r>
        <w:rPr>
          <w:rFonts w:ascii="Roboto Light;sans-serif" w:hAnsi="Roboto Light;sans-serif"/>
          <w:b w:val="false"/>
          <w:color w:val="000000"/>
          <w:sz w:val="14"/>
        </w:rPr>
        <w:t>The number of shares reported includes shares subject to exercisable stock options, shares that may be acquired through stock options exercisable within 60 days after April 9, 2026 and shares underlying restricted stock units that are scheduled to settle within 60 days after April 9, 2025 as disclosed in footnotes 4 through 10 above.</w:t>
      </w:r>
    </w:p>
    <w:p>
      <w:pPr>
        <w:pStyle w:val="TextBody"/>
        <w:bidi w:val="0"/>
        <w:spacing w:before="0" w:after="12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263525"/>
                <wp:effectExtent l="0" t="0" r="0" b="0"/>
                <wp:wrapNone/>
                <wp:docPr id="451" name="Frame89"/>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452"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279" descr=""/>
                                          <pic:cNvPicPr>
                                            <a:picLocks noChangeAspect="1" noChangeArrowheads="1"/>
                                          </pic:cNvPicPr>
                                        </pic:nvPicPr>
                                        <pic:blipFill>
                                          <a:blip r:embed="rId364"/>
                                          <a:stretch>
                                            <a:fillRect/>
                                          </a:stretch>
                                        </pic:blipFill>
                                        <pic:spPr bwMode="auto">
                                          <a:xfrm>
                                            <a:off x="0" y="0"/>
                                            <a:ext cx="266700" cy="200025"/>
                                          </a:xfrm>
                                          <a:prstGeom prst="rect">
                                            <a:avLst/>
                                          </a:prstGeom>
                                        </pic:spPr>
                                      </pic:pic>
                                    </a:graphicData>
                                  </a:graphic>
                                </wp:inline>
                              </w:drawing>
                            </w:r>
                            <w:bookmarkStart w:id="363" w:name="i-279"/>
                            <w:bookmarkEnd w:id="363"/>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453"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Image279" descr=""/>
                                    <pic:cNvPicPr>
                                      <a:picLocks noChangeAspect="1" noChangeArrowheads="1"/>
                                    </pic:cNvPicPr>
                                  </pic:nvPicPr>
                                  <pic:blipFill>
                                    <a:blip r:embed="rId365"/>
                                    <a:stretch>
                                      <a:fillRect/>
                                    </a:stretch>
                                  </pic:blipFill>
                                  <pic:spPr bwMode="auto">
                                    <a:xfrm>
                                      <a:off x="0" y="0"/>
                                      <a:ext cx="266700" cy="200025"/>
                                    </a:xfrm>
                                    <a:prstGeom prst="rect">
                                      <a:avLst/>
                                    </a:prstGeom>
                                  </pic:spPr>
                                </pic:pic>
                              </a:graphicData>
                            </a:graphic>
                          </wp:inline>
                        </w:drawing>
                      </w:r>
                      <w:bookmarkStart w:id="364" w:name="i-279"/>
                      <w:bookmarkEnd w:id="364"/>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p>
      <w:pPr>
        <w:pStyle w:val="TextBody"/>
        <w:bidi w:val="0"/>
        <w:spacing w:lineRule="auto" w:line="312" w:before="0" w:after="720"/>
        <w:jc w:val="left"/>
        <w:rPr>
          <w:rFonts w:ascii="Roboto;sans-serif" w:hAnsi="Roboto;sans-serif"/>
          <w:b/>
          <w:color w:val="1946C8"/>
          <w:sz w:val="54"/>
        </w:rPr>
      </w:pPr>
      <w:r>
        <w:rPr>
          <w:rFonts w:ascii="Roboto;sans-serif" w:hAnsi="Roboto;sans-serif"/>
          <w:b/>
          <w:color w:val="1946C8"/>
          <w:sz w:val="54"/>
        </w:rPr>
        <w:t xml:space="preserve">Transactions with Related Persons </w:t>
      </w:r>
    </w:p>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Related Party Transaction Policy</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 Board recognizes the fact that transactions with related persons (as defined in paragraph (a) of Item 404 of Regulation S-K under the Securities Act) present a heightened risk of conflicts of interests (or the perception thereof). If such transactions are entered into, they may require disclosure in the Company’s financial statements and filings with the SEC. The Board adopted a written policy regarding transactions with related persons (our “Related Party Transaction Policy”), which is administered by the approving body composed of disinterested and independent members of the Board (the “Approving Body”), currently designated as the Audit Committee.</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Our Related Party Transaction Policy requires that each Related Party Transaction, and any material amendment or modification thereto, be reviewed and approved by the Approving Body (defined under our policy as any transaction that we anticipate would be reportable by us under Item 404(a) of Regulation S-K under the Securities Act in which we were or are to be a participant and the amount involved exceeds $120,000 and in which any related person had or will have a direct or indirect material interest) and all material facts with respect thereto. Under our Related Party Transaction Policy, any director who has an interest in a Related Party Transaction must recuse himself or herself from any discussion or vote on a Related Party Transaction in which they have an interest, although such director may be counted for purposes of determining a quorum and must provide all material information regarding the transaction to the Approving Body. The Approving Body will not approve or ratify a Related Party Transaction unless it determines in good faith that, upon consideration of all relevant information, the Related Party Transaction is in, or not inconsistent with, the best interests of the Company. The Approving Body also undertakes an annual review of ongoing Related Party Transactions (if any). A Related Party Transaction entered into without pre-approval of the Approving Body does not violate our Related Party Transaction Policy, provided that the transaction is subsequently timely approved or ratified by the Approving Body. Transactions that are determined to be Related Party Transactions are disclosed in the Company’s proxy statement for the relevant year.</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To help identify Related Party Transactions, each director and executive officer completes a questionnaire that requires the disclosure of any transaction that the person, or any member of his or her immediate family, has or will have with the Company. In addition, directors, director nominees, and executive officers are required to promptly notify the Company’s Chief Legal Officer of any potential Related Party Transaction. Our Chief Legal Officer also conducts a review that includes a review of the Company’s accounts payable and receivable to determine if a Related Party engaged in transactions during the fiscal year. </w:t>
      </w:r>
    </w:p>
    <w:p>
      <w:pPr>
        <w:pStyle w:val="TextBody"/>
        <w:bidi w:val="0"/>
        <w:spacing w:lineRule="auto" w:line="312" w:before="0" w:after="120"/>
        <w:jc w:val="left"/>
        <w:rPr>
          <w:rFonts w:ascii="Roboto;sans-serif" w:hAnsi="Roboto;sans-serif"/>
          <w:b/>
          <w:color w:val="1946C8"/>
          <w:sz w:val="24"/>
        </w:rPr>
      </w:pPr>
      <w:r>
        <w:rPr>
          <w:rFonts w:ascii="Roboto;sans-serif" w:hAnsi="Roboto;sans-serif"/>
          <w:b/>
          <w:color w:val="1946C8"/>
          <w:sz w:val="24"/>
        </w:rPr>
        <w:t>Related Party Transactions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Since the beginning of 2025, there were no related person transactions that require disclosure in this Proxy Statement under Item 404 of Regulation S-K under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263525"/>
                <wp:effectExtent l="0" t="0" r="0" b="0"/>
                <wp:wrapNone/>
                <wp:docPr id="454" name="Frame90"/>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455"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Image280" descr=""/>
                                          <pic:cNvPicPr>
                                            <a:picLocks noChangeAspect="1" noChangeArrowheads="1"/>
                                          </pic:cNvPicPr>
                                        </pic:nvPicPr>
                                        <pic:blipFill>
                                          <a:blip r:embed="rId366"/>
                                          <a:stretch>
                                            <a:fillRect/>
                                          </a:stretch>
                                        </pic:blipFill>
                                        <pic:spPr bwMode="auto">
                                          <a:xfrm>
                                            <a:off x="0" y="0"/>
                                            <a:ext cx="266700" cy="200025"/>
                                          </a:xfrm>
                                          <a:prstGeom prst="rect">
                                            <a:avLst/>
                                          </a:prstGeom>
                                        </pic:spPr>
                                      </pic:pic>
                                    </a:graphicData>
                                  </a:graphic>
                                </wp:inline>
                              </w:drawing>
                            </w:r>
                            <w:bookmarkStart w:id="365" w:name="i-280"/>
                            <w:bookmarkEnd w:id="365"/>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456"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280" descr=""/>
                                    <pic:cNvPicPr>
                                      <a:picLocks noChangeAspect="1" noChangeArrowheads="1"/>
                                    </pic:cNvPicPr>
                                  </pic:nvPicPr>
                                  <pic:blipFill>
                                    <a:blip r:embed="rId367"/>
                                    <a:stretch>
                                      <a:fillRect/>
                                    </a:stretch>
                                  </pic:blipFill>
                                  <pic:spPr bwMode="auto">
                                    <a:xfrm>
                                      <a:off x="0" y="0"/>
                                      <a:ext cx="266700" cy="200025"/>
                                    </a:xfrm>
                                    <a:prstGeom prst="rect">
                                      <a:avLst/>
                                    </a:prstGeom>
                                  </pic:spPr>
                                </pic:pic>
                              </a:graphicData>
                            </a:graphic>
                          </wp:inline>
                        </w:drawing>
                      </w:r>
                      <w:bookmarkStart w:id="366" w:name="i-280"/>
                      <w:bookmarkEnd w:id="366"/>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85</w:t>
            </w:r>
          </w:p>
        </w:tc>
      </w:tr>
    </w:tbl>
    <w:p>
      <w:pPr>
        <w:pStyle w:val="TextBody"/>
        <w:bidi w:val="0"/>
        <w:spacing w:lineRule="auto" w:line="312" w:before="0" w:after="720"/>
        <w:jc w:val="left"/>
        <w:rPr>
          <w:rFonts w:ascii="Roboto;sans-serif" w:hAnsi="Roboto;sans-serif"/>
          <w:b/>
          <w:color w:val="1946C8"/>
          <w:sz w:val="54"/>
        </w:rPr>
      </w:pPr>
      <w:r>
        <w:rPr>
          <w:rFonts w:ascii="Roboto;sans-serif" w:hAnsi="Roboto;sans-serif"/>
          <w:b/>
          <w:color w:val="1946C8"/>
          <w:sz w:val="54"/>
        </w:rPr>
        <w:t>Stockholder Proposals for the 2027 Annual Meeting of Stockholders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If any stockholder wishes to propose a matter for inclusion in our proxy materials for our 2027 Annual Meeting of Stockholders (the “2027 Annual Meeting”) under Rule 14a-8 under the Exchange Act (“Rule 14a-8”), the proposal should be mailed to our Corporate Secretary at Academy Sports and Outdoors, Inc., 1800 North Mason Road, Katy, Texas 77449. To be eligible for inclusion in our proxy statement for the 2027 Annual Meeting under Rule 14a-8, a proposal must be received by our Corporate Secretary on or before the close of business on December 22, 2026 and must comply with the remaining Rule 14a-8 requirements.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In addition, the Bylaws permit stockholders to nominate candidates for director and present other business for consideration at our annual meeting of stockholders. To make a director nomination or present other business for consideration at the 2027 Annual Meeting, you must submit a timely notice in accordance with the procedures described in the Bylaws. To be timely, a stockholder’s notice must be delivered to our Corporate Secretary at the principal executive offices of our Company no later than the close of business on the 90th day, and not earlier than the close of business on the 120th day, prior to the first anniversary of the preceding year’s annual meeting. Therefore, to be presented at our 2027 Annual Meeting, such a nomination or other proposal of business must be delivered on or after February 4, 2027, but not later than March 6, 2027. In the event that the date of the 2027 Annual Meeting is advanced by more than 30 days, or delayed by more than 70 days, from the anniversary date of this year’s Annual Meeting of Stockholders, to be timely, notice by the stockholder must be so delivered not earlier than the close of business on the 120th day prior to the first anniversary of the 2026 Annual Meeting and not later than the close of business on the later of the 90th day prior to the first anniversary of the 2026 Annual Meeting or the tenth day following the day on which public announcement of the date of the 2027 Annual Meeting is first made. Any such nomination or other proposal of business will be considered timely only if it is otherwise in compliance with the requirements set forth in the Bylaws (including the information required by Rule 14a-19 under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263525"/>
                <wp:effectExtent l="0" t="0" r="0" b="0"/>
                <wp:wrapNone/>
                <wp:docPr id="457" name="Frame91"/>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458"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281" descr=""/>
                                          <pic:cNvPicPr>
                                            <a:picLocks noChangeAspect="1" noChangeArrowheads="1"/>
                                          </pic:cNvPicPr>
                                        </pic:nvPicPr>
                                        <pic:blipFill>
                                          <a:blip r:embed="rId368"/>
                                          <a:stretch>
                                            <a:fillRect/>
                                          </a:stretch>
                                        </pic:blipFill>
                                        <pic:spPr bwMode="auto">
                                          <a:xfrm>
                                            <a:off x="0" y="0"/>
                                            <a:ext cx="266700" cy="200025"/>
                                          </a:xfrm>
                                          <a:prstGeom prst="rect">
                                            <a:avLst/>
                                          </a:prstGeom>
                                        </pic:spPr>
                                      </pic:pic>
                                    </a:graphicData>
                                  </a:graphic>
                                </wp:inline>
                              </w:drawing>
                            </w:r>
                            <w:bookmarkStart w:id="367" w:name="i-281"/>
                            <w:bookmarkEnd w:id="367"/>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459"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281" descr=""/>
                                    <pic:cNvPicPr>
                                      <a:picLocks noChangeAspect="1" noChangeArrowheads="1"/>
                                    </pic:cNvPicPr>
                                  </pic:nvPicPr>
                                  <pic:blipFill>
                                    <a:blip r:embed="rId369"/>
                                    <a:stretch>
                                      <a:fillRect/>
                                    </a:stretch>
                                  </pic:blipFill>
                                  <pic:spPr bwMode="auto">
                                    <a:xfrm>
                                      <a:off x="0" y="0"/>
                                      <a:ext cx="266700" cy="200025"/>
                                    </a:xfrm>
                                    <a:prstGeom prst="rect">
                                      <a:avLst/>
                                    </a:prstGeom>
                                  </pic:spPr>
                                </pic:pic>
                              </a:graphicData>
                            </a:graphic>
                          </wp:inline>
                        </w:drawing>
                      </w:r>
                      <w:bookmarkStart w:id="368" w:name="i-281"/>
                      <w:bookmarkEnd w:id="368"/>
                    </w:p>
                  </w:txbxContent>
                </v:textbox>
                <w10:wrap type="none"/>
              </v:rect>
            </w:pict>
          </mc:Fallback>
        </mc:AlternateContent>
      </w:r>
    </w:p>
    <w:tbl>
      <w:tblPr>
        <w:tblW w:w="5248"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333"/>
        <w:gridCol w:w="1333"/>
        <w:gridCol w:w="189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p>
      <w:pPr>
        <w:pStyle w:val="TextBody"/>
        <w:bidi w:val="0"/>
        <w:spacing w:lineRule="auto" w:line="312" w:before="0" w:after="720"/>
        <w:jc w:val="left"/>
        <w:rPr>
          <w:rFonts w:ascii="Roboto;sans-serif" w:hAnsi="Roboto;sans-serif"/>
          <w:b/>
          <w:color w:val="1946C8"/>
          <w:sz w:val="54"/>
        </w:rPr>
      </w:pPr>
      <w:r>
        <w:rPr>
          <w:rFonts w:ascii="Roboto;sans-serif" w:hAnsi="Roboto;sans-serif"/>
          <w:b/>
          <w:color w:val="1946C8"/>
          <w:sz w:val="54"/>
        </w:rPr>
        <w:t>Householding of Proxy Materials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SEC rules permit companies and intermediaries such as brokers to satisfy delivery requirements for proxy materials with respect to two or more stockholders sharing the same address by delivering a single set of proxy materials addressed to those stockholders. This process, which is commonly referred to as “householding,” provides cost savings for companies and helps the environment by conserving natural resources. Some brokers household proxy statement materials by delivering a single proxy statement or notice to multiple stockholders sharing an address unless contrary instructions have been received from the affected stockholders. Once you have received notice from your broker that the broker will be householding materials to your address, householding will continue until you are notified otherwise or until you revoke your consent. If, at any time, you no longer wish to participate in householding and would prefer to receive separate proxy materials, or if your household is receiving multiple copies of these documents and you wish to request that future deliveries be limited to a single copy, please notify your broker, or the Company’s transfer agent, Broadridge Financial Solutions by telephone at (866) 540-7095 or in writing at Broadridge, Householding Department, 51 Mercedes Way, Edgewood, New York 11717. </w:t>
      </w:r>
    </w:p>
    <w:p>
      <w:pPr>
        <w:pStyle w:val="TextBody"/>
        <w:bidi w:val="0"/>
        <w:spacing w:lineRule="atLeast" w:line="240" w:before="0" w:after="420"/>
        <w:jc w:val="left"/>
        <w:rPr>
          <w:rFonts w:ascii="Roboto Light;sans-serif" w:hAnsi="Roboto Light;sans-serif"/>
          <w:b/>
          <w:color w:val="000000"/>
          <w:sz w:val="18"/>
        </w:rPr>
      </w:pPr>
      <w:r>
        <w:rPr>
          <w:rFonts w:ascii="Roboto Light;sans-serif" w:hAnsi="Roboto Light;sans-serif"/>
          <w:b/>
          <w:color w:val="000000"/>
          <w:sz w:val="18"/>
        </w:rPr>
        <w:t>You can also request prompt delivery free of charge of a copy of this Proxy Statement and the Annual Report, including the financial statements and financial statement schedules, by contacting our Investor Relations Department by mail at Academy Sports and Outdoors, Inc., 1800 North Mason Road, Katy, Texas 77449, by email at investors@academy.com, or by telephone at (832) 739-4102.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263525"/>
                <wp:effectExtent l="0" t="0" r="0" b="0"/>
                <wp:wrapNone/>
                <wp:docPr id="460" name="Frame92"/>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461"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Image282" descr=""/>
                                          <pic:cNvPicPr>
                                            <a:picLocks noChangeAspect="1" noChangeArrowheads="1"/>
                                          </pic:cNvPicPr>
                                        </pic:nvPicPr>
                                        <pic:blipFill>
                                          <a:blip r:embed="rId370"/>
                                          <a:stretch>
                                            <a:fillRect/>
                                          </a:stretch>
                                        </pic:blipFill>
                                        <pic:spPr bwMode="auto">
                                          <a:xfrm>
                                            <a:off x="0" y="0"/>
                                            <a:ext cx="266700" cy="200025"/>
                                          </a:xfrm>
                                          <a:prstGeom prst="rect">
                                            <a:avLst/>
                                          </a:prstGeom>
                                        </pic:spPr>
                                      </pic:pic>
                                    </a:graphicData>
                                  </a:graphic>
                                </wp:inline>
                              </w:drawing>
                            </w:r>
                            <w:bookmarkStart w:id="369" w:name="i-282"/>
                            <w:bookmarkEnd w:id="369"/>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462"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282" descr=""/>
                                    <pic:cNvPicPr>
                                      <a:picLocks noChangeAspect="1" noChangeArrowheads="1"/>
                                    </pic:cNvPicPr>
                                  </pic:nvPicPr>
                                  <pic:blipFill>
                                    <a:blip r:embed="rId371"/>
                                    <a:stretch>
                                      <a:fillRect/>
                                    </a:stretch>
                                  </pic:blipFill>
                                  <pic:spPr bwMode="auto">
                                    <a:xfrm>
                                      <a:off x="0" y="0"/>
                                      <a:ext cx="266700" cy="200025"/>
                                    </a:xfrm>
                                    <a:prstGeom prst="rect">
                                      <a:avLst/>
                                    </a:prstGeom>
                                  </pic:spPr>
                                </pic:pic>
                              </a:graphicData>
                            </a:graphic>
                          </wp:inline>
                        </w:drawing>
                      </w:r>
                      <w:bookmarkStart w:id="370" w:name="i-282"/>
                      <w:bookmarkEnd w:id="370"/>
                    </w:p>
                  </w:txbxContent>
                </v:textbox>
                <w10:wrap type="none"/>
              </v:rect>
            </w:pict>
          </mc:Fallback>
        </mc:AlternateContent>
      </w:r>
    </w:p>
    <w:tbl>
      <w:tblPr>
        <w:tblW w:w="5847"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14"/>
        <w:gridCol w:w="114"/>
        <w:gridCol w:w="163"/>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87</w:t>
            </w:r>
          </w:p>
        </w:tc>
      </w:tr>
    </w:tbl>
    <w:p>
      <w:pPr>
        <w:pStyle w:val="TextBody"/>
        <w:bidi w:val="0"/>
        <w:spacing w:lineRule="auto" w:line="312" w:before="0" w:after="720"/>
        <w:jc w:val="left"/>
        <w:rPr>
          <w:rFonts w:ascii="Roboto;sans-serif" w:hAnsi="Roboto;sans-serif"/>
          <w:b/>
          <w:color w:val="1946C8"/>
          <w:sz w:val="54"/>
        </w:rPr>
      </w:pPr>
      <w:r>
        <w:rPr>
          <w:rFonts w:ascii="Roboto;sans-serif" w:hAnsi="Roboto;sans-serif"/>
          <w:b/>
          <w:color w:val="1946C8"/>
          <w:sz w:val="54"/>
        </w:rPr>
        <w:t>Other Business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 Board does not know of any other matters to be brought before the Annual Meeting. If other matters are presented, the proxy holders have discretionary authority to vote all proxies in accordance with their best judgment.</w:t>
      </w:r>
    </w:p>
    <w:p>
      <w:pPr>
        <w:pStyle w:val="TextBody"/>
        <w:bidi w:val="0"/>
        <w:spacing w:lineRule="auto" w:line="312" w:before="0" w:after="240"/>
        <w:jc w:val="left"/>
        <w:rPr>
          <w:rFonts w:ascii="Roboto;sans-serif" w:hAnsi="Roboto;sans-serif"/>
          <w:b/>
          <w:color w:val="1946C8"/>
          <w:sz w:val="24"/>
        </w:rPr>
      </w:pPr>
      <w:r>
        <w:rPr>
          <w:rFonts w:ascii="Roboto;sans-serif" w:hAnsi="Roboto;sans-serif"/>
          <w:b/>
          <w:color w:val="1946C8"/>
          <w:sz w:val="24"/>
        </w:rPr>
        <w:t>Voluntary Electronic Delivery of Proxy Materials</w:t>
      </w:r>
    </w:p>
    <w:p>
      <w:pPr>
        <w:pStyle w:val="TextBody"/>
        <w:bidi w:val="0"/>
        <w:spacing w:lineRule="auto" w:line="312" w:before="0" w:after="120"/>
        <w:jc w:val="left"/>
        <w:rPr>
          <w:rFonts w:ascii="Roboto;sans-serif" w:hAnsi="Roboto;sans-serif"/>
          <w:b/>
          <w:color w:val="01024A"/>
          <w:sz w:val="20"/>
        </w:rPr>
      </w:pPr>
      <w:r>
        <w:rPr>
          <w:rFonts w:ascii="Roboto;sans-serif" w:hAnsi="Roboto;sans-serif"/>
          <w:b/>
          <w:color w:val="01024A"/>
          <w:sz w:val="20"/>
        </w:rPr>
        <w:t>HELP US REDUCE OUR ENVIRONMENTAL IMPACT</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We encourage our stockholders to voluntarily elect to receive future proxy and annual report materials electronically to help support our sustainability efforts.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The benefits include:</w:t>
      </w:r>
    </w:p>
    <w:p>
      <w:pPr>
        <w:pStyle w:val="TextBody"/>
        <w:bidi w:val="0"/>
        <w:spacing w:lineRule="atLeast" w:line="240" w:before="0" w:after="120"/>
        <w:ind w:left="0" w:right="0" w:hanging="288"/>
        <w:jc w:val="left"/>
        <w:rPr/>
      </w:pPr>
      <w:r>
        <w:rPr>
          <w:color w:val="000000"/>
        </w:rPr>
        <w:t>•</w:t>
      </w:r>
      <w:r>
        <w:rPr>
          <w:rFonts w:ascii="Roboto Light;sans-serif" w:hAnsi="Roboto Light;sans-serif"/>
          <w:b w:val="false"/>
          <w:color w:val="000000"/>
          <w:sz w:val="18"/>
        </w:rPr>
        <w:t>immediate and convenient access to the materials</w:t>
      </w:r>
    </w:p>
    <w:p>
      <w:pPr>
        <w:pStyle w:val="TextBody"/>
        <w:bidi w:val="0"/>
        <w:spacing w:lineRule="atLeast" w:line="240" w:before="0" w:after="120"/>
        <w:ind w:left="0" w:right="0" w:hanging="288"/>
        <w:jc w:val="left"/>
        <w:rPr/>
      </w:pPr>
      <w:r>
        <w:rPr>
          <w:color w:val="000000"/>
        </w:rPr>
        <w:t>•</w:t>
      </w:r>
      <w:r>
        <w:rPr>
          <w:rFonts w:ascii="Roboto Light;sans-serif" w:hAnsi="Roboto Light;sans-serif"/>
          <w:b w:val="false"/>
          <w:color w:val="000000"/>
          <w:sz w:val="18"/>
        </w:rPr>
        <w:t>helping to reduce our environmental impact</w:t>
      </w:r>
    </w:p>
    <w:p>
      <w:pPr>
        <w:pStyle w:val="TextBody"/>
        <w:bidi w:val="0"/>
        <w:spacing w:lineRule="atLeast" w:line="240" w:before="0" w:after="240"/>
        <w:ind w:left="0" w:right="0" w:hanging="288"/>
        <w:jc w:val="left"/>
        <w:rPr/>
      </w:pPr>
      <w:r>
        <w:rPr>
          <w:color w:val="000000"/>
        </w:rPr>
        <w:t>•</w:t>
      </w:r>
      <w:r>
        <w:rPr>
          <w:rFonts w:ascii="Roboto Light;sans-serif" w:hAnsi="Roboto Light;sans-serif"/>
          <w:b w:val="false"/>
          <w:color w:val="000000"/>
          <w:sz w:val="18"/>
        </w:rPr>
        <w:t>helping to reduce our printing and mailing costs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825"/>
        <w:gridCol w:w="593"/>
        <w:gridCol w:w="593"/>
        <w:gridCol w:w="593"/>
        <w:gridCol w:w="580"/>
        <w:gridCol w:w="555"/>
        <w:gridCol w:w="2003"/>
        <w:gridCol w:w="2003"/>
        <w:gridCol w:w="1743"/>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946C8"/>
              <w:left w:val="single" w:sz="8" w:space="0" w:color="1946C8"/>
            </w:tcBorders>
            <w:shd w:fill="1946C8" w:val="clear"/>
            <w:tcMar>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op w:val="single" w:sz="8" w:space="0" w:color="1946C8"/>
            </w:tcBorders>
            <w:shd w:fill="1946C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1946C8"/>
            </w:tcBorders>
            <w:shd w:fill="1946C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9" w:type="dxa"/>
            <w:gridSpan w:val="3"/>
            <w:tcBorders>
              <w:top w:val="single" w:sz="8" w:space="0" w:color="1946C8"/>
            </w:tcBorders>
            <w:shd w:fill="1946C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1946C8"/>
              <w:right w:val="single" w:sz="8" w:space="0" w:color="1946C8"/>
            </w:tcBorders>
            <w:shd w:fill="1946C8"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946C8"/>
            </w:tcBorders>
            <w:shd w:fill="1946C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8" w:type="dxa"/>
            <w:gridSpan w:val="9"/>
            <w:tcBorders/>
            <w:shd w:fill="1946C8" w:val="clear"/>
            <w:tcMar>
              <w:top w:w="0" w:type="dxa"/>
              <w:left w:w="0" w:type="dxa"/>
              <w:bottom w:w="0" w:type="dxa"/>
              <w:right w:w="0" w:type="dxa"/>
            </w:tcMar>
            <w:vAlign w:val="center"/>
          </w:tcPr>
          <w:p>
            <w:pPr>
              <w:pStyle w:val="TableContents"/>
              <w:bidi w:val="0"/>
              <w:spacing w:lineRule="auto" w:line="312" w:before="0" w:after="60"/>
              <w:jc w:val="left"/>
              <w:rPr>
                <w:rFonts w:ascii="Roboto;sans-serif" w:hAnsi="Roboto;sans-serif"/>
                <w:b/>
                <w:color w:val="FFFFFF"/>
                <w:sz w:val="22"/>
              </w:rPr>
            </w:pPr>
            <w:r>
              <w:rPr>
                <w:rFonts w:ascii="Roboto;sans-serif" w:hAnsi="Roboto;sans-serif"/>
                <w:b/>
                <w:color w:val="FFFFFF"/>
                <w:sz w:val="22"/>
              </w:rPr>
              <w:t>How to enroll:</w:t>
            </w:r>
          </w:p>
        </w:tc>
        <w:tc>
          <w:tcPr>
            <w:tcW w:w="375" w:type="dxa"/>
            <w:gridSpan w:val="3"/>
            <w:tcBorders>
              <w:right w:val="single" w:sz="8" w:space="0" w:color="1946C8"/>
            </w:tcBorders>
            <w:shd w:fill="1946C8"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946C8"/>
            </w:tcBorders>
            <w:shd w:fill="1946C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9"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1946C8"/>
            </w:tcBorders>
            <w:shd w:fill="1946C8"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946C8"/>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1946C8"/>
            </w:tcBorders>
            <w:shd w:fill="ECF8F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946C8"/>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8" w:type="dxa"/>
            <w:gridSpan w:val="9"/>
            <w:tcBorders/>
            <w:shd w:fill="ECF8FE" w:val="clear"/>
            <w:tcMar>
              <w:top w:w="0" w:type="dxa"/>
              <w:left w:w="0" w:type="dxa"/>
              <w:bottom w:w="0" w:type="dxa"/>
              <w:right w:w="0" w:type="dxa"/>
            </w:tcMar>
            <w:vAlign w:val="center"/>
          </w:tcPr>
          <w:p>
            <w:pPr>
              <w:pStyle w:val="TableContents"/>
              <w:bidi w:val="0"/>
              <w:spacing w:lineRule="atLeast" w:line="240" w:before="0" w:after="0"/>
              <w:jc w:val="left"/>
              <w:rPr>
                <w:rFonts w:ascii="Roboto;sans-serif" w:hAnsi="Roboto;sans-serif"/>
                <w:b/>
                <w:color w:val="000000"/>
                <w:sz w:val="18"/>
              </w:rPr>
            </w:pPr>
            <w:r>
              <w:rPr>
                <w:rFonts w:ascii="Roboto;sans-serif" w:hAnsi="Roboto;sans-serif"/>
                <w:b/>
                <w:color w:val="000000"/>
                <w:sz w:val="18"/>
              </w:rPr>
              <w:t xml:space="preserve">Registered Stockholders </w:t>
            </w:r>
          </w:p>
          <w:p>
            <w:pPr>
              <w:pStyle w:val="TableContents"/>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(You will need the 16-digit control number included on your proxy card to enroll.)</w:t>
            </w:r>
          </w:p>
        </w:tc>
        <w:tc>
          <w:tcPr>
            <w:tcW w:w="375" w:type="dxa"/>
            <w:gridSpan w:val="3"/>
            <w:tcBorders>
              <w:right w:val="single" w:sz="8" w:space="0" w:color="1946C8"/>
            </w:tcBorders>
            <w:shd w:fill="ECF8F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946C8"/>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1946C8"/>
            </w:tcBorders>
            <w:shd w:fill="ECF8F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946C8"/>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op w:val="single" w:sz="4" w:space="0" w:color="1946C8"/>
            </w:tcBorders>
            <w:shd w:fill="ECF8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4" w:space="0" w:color="1946C8"/>
            </w:tcBorders>
            <w:shd w:fill="ECF8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9" w:type="dxa"/>
            <w:gridSpan w:val="3"/>
            <w:tcBorders>
              <w:top w:val="single" w:sz="4" w:space="0" w:color="1946C8"/>
            </w:tcBorders>
            <w:shd w:fill="ECF8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1946C8"/>
            </w:tcBorders>
            <w:shd w:fill="ECF8F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946C8"/>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shd w:fill="ECF8F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1950" cy="361950"/>
                  <wp:effectExtent l="0" t="0" r="0" b="0"/>
                  <wp:docPr id="463"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Image283" descr=""/>
                          <pic:cNvPicPr>
                            <a:picLocks noChangeAspect="1" noChangeArrowheads="1"/>
                          </pic:cNvPicPr>
                        </pic:nvPicPr>
                        <pic:blipFill>
                          <a:blip r:embed="rId372"/>
                          <a:stretch>
                            <a:fillRect/>
                          </a:stretch>
                        </pic:blipFill>
                        <pic:spPr bwMode="auto">
                          <a:xfrm>
                            <a:off x="0" y="0"/>
                            <a:ext cx="361950" cy="361950"/>
                          </a:xfrm>
                          <a:prstGeom prst="rect">
                            <a:avLst/>
                          </a:prstGeom>
                        </pic:spPr>
                      </pic:pic>
                    </a:graphicData>
                  </a:graphic>
                </wp:inline>
              </w:drawing>
            </w:r>
            <w:bookmarkStart w:id="371" w:name="i-283"/>
            <w:bookmarkEnd w:id="371"/>
            <w:r>
              <w:rPr/>
              <w:drawing>
                <wp:inline distT="0" distB="0" distL="0" distR="0">
                  <wp:extent cx="361950" cy="361950"/>
                  <wp:effectExtent l="0" t="0" r="0" b="0"/>
                  <wp:docPr id="464"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284" descr=""/>
                          <pic:cNvPicPr>
                            <a:picLocks noChangeAspect="1" noChangeArrowheads="1"/>
                          </pic:cNvPicPr>
                        </pic:nvPicPr>
                        <pic:blipFill>
                          <a:blip r:embed="rId373"/>
                          <a:stretch>
                            <a:fillRect/>
                          </a:stretch>
                        </pic:blipFill>
                        <pic:spPr bwMode="auto">
                          <a:xfrm>
                            <a:off x="0" y="0"/>
                            <a:ext cx="361950" cy="361950"/>
                          </a:xfrm>
                          <a:prstGeom prst="rect">
                            <a:avLst/>
                          </a:prstGeom>
                        </pic:spPr>
                      </pic:pic>
                    </a:graphicData>
                  </a:graphic>
                </wp:inline>
              </w:drawing>
            </w:r>
            <w:bookmarkStart w:id="372" w:name="i-284"/>
            <w:bookmarkEnd w:id="372"/>
          </w:p>
        </w:tc>
        <w:tc>
          <w:tcPr>
            <w:tcW w:w="172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9" w:type="dxa"/>
            <w:gridSpan w:val="3"/>
            <w:tcBorders/>
            <w:shd w:fill="ECF8FE"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E81111"/>
                <w:sz w:val="18"/>
              </w:rPr>
            </w:pPr>
            <w:r>
              <w:rPr>
                <w:rFonts w:ascii="Roboto;sans-serif" w:hAnsi="Roboto;sans-serif"/>
                <w:b/>
                <w:color w:val="E81111"/>
                <w:sz w:val="18"/>
              </w:rPr>
              <w:t>Internet</w:t>
            </w:r>
          </w:p>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www.proxyvote.com or QR code provided</w:t>
            </w:r>
          </w:p>
        </w:tc>
        <w:tc>
          <w:tcPr>
            <w:tcW w:w="375" w:type="dxa"/>
            <w:gridSpan w:val="3"/>
            <w:tcBorders>
              <w:right w:val="single" w:sz="8" w:space="0" w:color="1946C8"/>
            </w:tcBorders>
            <w:shd w:fill="ECF8F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946C8"/>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1946C8"/>
            </w:tcBorders>
            <w:shd w:fill="ECF8F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946C8"/>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op w:val="single" w:sz="4" w:space="0" w:color="1946C8"/>
            </w:tcBorders>
            <w:shd w:fill="ECF8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4" w:space="0" w:color="1946C8"/>
            </w:tcBorders>
            <w:shd w:fill="ECF8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9" w:type="dxa"/>
            <w:gridSpan w:val="3"/>
            <w:tcBorders>
              <w:top w:val="single" w:sz="4" w:space="0" w:color="1946C8"/>
            </w:tcBorders>
            <w:shd w:fill="ECF8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1946C8"/>
            </w:tcBorders>
            <w:shd w:fill="ECF8F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946C8"/>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shd w:fill="ECF8F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1950" cy="361950"/>
                  <wp:effectExtent l="0" t="0" r="0" b="0"/>
                  <wp:docPr id="465"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Image285" descr=""/>
                          <pic:cNvPicPr>
                            <a:picLocks noChangeAspect="1" noChangeArrowheads="1"/>
                          </pic:cNvPicPr>
                        </pic:nvPicPr>
                        <pic:blipFill>
                          <a:blip r:embed="rId374"/>
                          <a:stretch>
                            <a:fillRect/>
                          </a:stretch>
                        </pic:blipFill>
                        <pic:spPr bwMode="auto">
                          <a:xfrm>
                            <a:off x="0" y="0"/>
                            <a:ext cx="361950" cy="361950"/>
                          </a:xfrm>
                          <a:prstGeom prst="rect">
                            <a:avLst/>
                          </a:prstGeom>
                        </pic:spPr>
                      </pic:pic>
                    </a:graphicData>
                  </a:graphic>
                </wp:inline>
              </w:drawing>
            </w:r>
            <w:bookmarkStart w:id="373" w:name="i-285"/>
            <w:bookmarkEnd w:id="373"/>
          </w:p>
        </w:tc>
        <w:tc>
          <w:tcPr>
            <w:tcW w:w="172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9" w:type="dxa"/>
            <w:gridSpan w:val="3"/>
            <w:tcBorders/>
            <w:shd w:fill="ECF8FE"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E81111"/>
                <w:sz w:val="18"/>
              </w:rPr>
            </w:pPr>
            <w:r>
              <w:rPr>
                <w:rFonts w:ascii="Roboto;sans-serif" w:hAnsi="Roboto;sans-serif"/>
                <w:b/>
                <w:color w:val="E81111"/>
                <w:sz w:val="18"/>
              </w:rPr>
              <w:t>Email</w:t>
            </w:r>
          </w:p>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Send a blank email with your control number in the subject line to: sendmaterial@proxyvote.com</w:t>
            </w:r>
          </w:p>
        </w:tc>
        <w:tc>
          <w:tcPr>
            <w:tcW w:w="375" w:type="dxa"/>
            <w:gridSpan w:val="3"/>
            <w:tcBorders>
              <w:right w:val="single" w:sz="8" w:space="0" w:color="1946C8"/>
            </w:tcBorders>
            <w:shd w:fill="ECF8F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946C8"/>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1946C8"/>
            </w:tcBorders>
            <w:shd w:fill="ECF8F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946C8"/>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op w:val="single" w:sz="4" w:space="0" w:color="1946C8"/>
            </w:tcBorders>
            <w:shd w:fill="ECF8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4" w:space="0" w:color="1946C8"/>
            </w:tcBorders>
            <w:shd w:fill="ECF8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9" w:type="dxa"/>
            <w:gridSpan w:val="3"/>
            <w:tcBorders>
              <w:top w:val="single" w:sz="4" w:space="0" w:color="1946C8"/>
            </w:tcBorders>
            <w:shd w:fill="ECF8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1946C8"/>
            </w:tcBorders>
            <w:shd w:fill="ECF8F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946C8"/>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shd w:fill="ECF8FE"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1950" cy="361950"/>
                  <wp:effectExtent l="0" t="0" r="0" b="0"/>
                  <wp:docPr id="466"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286" descr=""/>
                          <pic:cNvPicPr>
                            <a:picLocks noChangeAspect="1" noChangeArrowheads="1"/>
                          </pic:cNvPicPr>
                        </pic:nvPicPr>
                        <pic:blipFill>
                          <a:blip r:embed="rId375"/>
                          <a:stretch>
                            <a:fillRect/>
                          </a:stretch>
                        </pic:blipFill>
                        <pic:spPr bwMode="auto">
                          <a:xfrm>
                            <a:off x="0" y="0"/>
                            <a:ext cx="361950" cy="361950"/>
                          </a:xfrm>
                          <a:prstGeom prst="rect">
                            <a:avLst/>
                          </a:prstGeom>
                        </pic:spPr>
                      </pic:pic>
                    </a:graphicData>
                  </a:graphic>
                </wp:inline>
              </w:drawing>
            </w:r>
            <w:bookmarkStart w:id="374" w:name="i-286"/>
            <w:bookmarkEnd w:id="374"/>
          </w:p>
        </w:tc>
        <w:tc>
          <w:tcPr>
            <w:tcW w:w="172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9" w:type="dxa"/>
            <w:gridSpan w:val="3"/>
            <w:tcBorders/>
            <w:shd w:fill="ECF8FE"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color w:val="E81111"/>
                <w:sz w:val="18"/>
              </w:rPr>
            </w:pPr>
            <w:r>
              <w:rPr>
                <w:rFonts w:ascii="Roboto;sans-serif" w:hAnsi="Roboto;sans-serif"/>
                <w:b/>
                <w:color w:val="E81111"/>
                <w:sz w:val="18"/>
              </w:rPr>
              <w:t>Telephone</w:t>
            </w:r>
          </w:p>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1-800-579-1639</w:t>
            </w:r>
          </w:p>
        </w:tc>
        <w:tc>
          <w:tcPr>
            <w:tcW w:w="375" w:type="dxa"/>
            <w:gridSpan w:val="3"/>
            <w:tcBorders>
              <w:right w:val="single" w:sz="8" w:space="0" w:color="1946C8"/>
            </w:tcBorders>
            <w:shd w:fill="ECF8F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946C8"/>
            </w:tcBorders>
            <w:shd w:fill="ECF8F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1946C8"/>
            </w:tcBorders>
            <w:shd w:fill="ECF8F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9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lineRule="auto" w:line="312" w:before="0" w:after="60"/>
              <w:jc w:val="center"/>
              <w:rPr>
                <w:rFonts w:ascii="Roboto;sans-serif" w:hAnsi="Roboto;sans-serif"/>
                <w:b/>
                <w:color w:val="01024A"/>
                <w:sz w:val="18"/>
              </w:rPr>
            </w:pPr>
            <w:r>
              <w:rPr>
                <w:rFonts w:ascii="Roboto;sans-serif" w:hAnsi="Roboto;sans-serif"/>
                <w:b/>
                <w:color w:val="01024A"/>
                <w:sz w:val="18"/>
              </w:rPr>
              <w:t>Beneficial Owners</w:t>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color w:val="E81111"/>
                <w:sz w:val="18"/>
              </w:rPr>
              <w:t>Contact</w:t>
            </w:r>
            <w:r>
              <w:rPr>
                <w:color w:val="000000"/>
              </w:rPr>
              <w:t xml:space="preserve"> </w:t>
            </w:r>
          </w:p>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Contact your bank, broker or other nominee to enroll.</w:t>
            </w:r>
          </w:p>
        </w:tc>
        <w:tc>
          <w:tcPr>
            <w:tcW w:w="375" w:type="dxa"/>
            <w:gridSpan w:val="3"/>
            <w:tcBorders>
              <w:right w:val="single" w:sz="8" w:space="0" w:color="19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1946C8"/>
              <w:bottom w:val="single" w:sz="8" w:space="0" w:color="1946C8"/>
            </w:tcBorders>
            <w:tcMar>
              <w:top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bottom w:val="single" w:sz="8" w:space="0" w:color="19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bottom w:val="single" w:sz="8" w:space="0" w:color="19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49" w:type="dxa"/>
            <w:gridSpan w:val="3"/>
            <w:tcBorders>
              <w:bottom w:val="single" w:sz="8" w:space="0" w:color="19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1946C8"/>
              <w:right w:val="single" w:sz="8" w:space="0" w:color="1946C8"/>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263525"/>
                <wp:effectExtent l="0" t="0" r="0" b="0"/>
                <wp:wrapNone/>
                <wp:docPr id="467" name="Frame93"/>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468"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Image287" descr=""/>
                                          <pic:cNvPicPr>
                                            <a:picLocks noChangeAspect="1" noChangeArrowheads="1"/>
                                          </pic:cNvPicPr>
                                        </pic:nvPicPr>
                                        <pic:blipFill>
                                          <a:blip r:embed="rId376"/>
                                          <a:stretch>
                                            <a:fillRect/>
                                          </a:stretch>
                                        </pic:blipFill>
                                        <pic:spPr bwMode="auto">
                                          <a:xfrm>
                                            <a:off x="0" y="0"/>
                                            <a:ext cx="266700" cy="200025"/>
                                          </a:xfrm>
                                          <a:prstGeom prst="rect">
                                            <a:avLst/>
                                          </a:prstGeom>
                                        </pic:spPr>
                                      </pic:pic>
                                    </a:graphicData>
                                  </a:graphic>
                                </wp:inline>
                              </w:drawing>
                            </w:r>
                            <w:bookmarkStart w:id="375" w:name="i-287"/>
                            <w:bookmarkEnd w:id="375"/>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469"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Image287" descr=""/>
                                    <pic:cNvPicPr>
                                      <a:picLocks noChangeAspect="1" noChangeArrowheads="1"/>
                                    </pic:cNvPicPr>
                                  </pic:nvPicPr>
                                  <pic:blipFill>
                                    <a:blip r:embed="rId377"/>
                                    <a:stretch>
                                      <a:fillRect/>
                                    </a:stretch>
                                  </pic:blipFill>
                                  <pic:spPr bwMode="auto">
                                    <a:xfrm>
                                      <a:off x="0" y="0"/>
                                      <a:ext cx="266700" cy="200025"/>
                                    </a:xfrm>
                                    <a:prstGeom prst="rect">
                                      <a:avLst/>
                                    </a:prstGeom>
                                  </pic:spPr>
                                </pic:pic>
                              </a:graphicData>
                            </a:graphic>
                          </wp:inline>
                        </w:drawing>
                      </w:r>
                      <w:bookmarkStart w:id="376" w:name="i-287"/>
                      <w:bookmarkEnd w:id="376"/>
                    </w:p>
                  </w:txbxContent>
                </v:textbox>
                <w10:wrap type="none"/>
              </v:rect>
            </w:pict>
          </mc:Fallback>
        </mc:AlternateContent>
      </w:r>
    </w:p>
    <w:tbl>
      <w:tblPr>
        <w:tblW w:w="5935"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40"/>
        <w:gridCol w:w="140"/>
        <w:gridCol w:w="199"/>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A-1</w:t>
            </w:r>
          </w:p>
        </w:tc>
      </w:tr>
    </w:tbl>
    <w:p>
      <w:pPr>
        <w:pStyle w:val="TextBody"/>
        <w:bidi w:val="0"/>
        <w:spacing w:lineRule="auto" w:line="312" w:before="0" w:after="0"/>
        <w:jc w:val="left"/>
        <w:rPr>
          <w:rFonts w:ascii="Roboto;sans-serif" w:hAnsi="Roboto;sans-serif"/>
          <w:b/>
          <w:color w:val="E81111"/>
          <w:sz w:val="54"/>
        </w:rPr>
      </w:pPr>
      <w:r>
        <w:rPr>
          <w:rFonts w:ascii="Roboto;sans-serif" w:hAnsi="Roboto;sans-serif"/>
          <w:b/>
          <w:color w:val="E81111"/>
          <w:sz w:val="54"/>
        </w:rPr>
        <w:t>Annex A</w:t>
      </w:r>
    </w:p>
    <w:p>
      <w:pPr>
        <w:pStyle w:val="TextBody"/>
        <w:bidi w:val="0"/>
        <w:spacing w:lineRule="auto" w:line="312" w:before="0" w:after="720"/>
        <w:jc w:val="left"/>
        <w:rPr>
          <w:rFonts w:ascii="Roboto;sans-serif" w:hAnsi="Roboto;sans-serif"/>
          <w:b/>
          <w:color w:val="1946C8"/>
          <w:sz w:val="54"/>
        </w:rPr>
      </w:pPr>
      <w:r>
        <w:rPr>
          <w:rFonts w:ascii="Roboto;sans-serif" w:hAnsi="Roboto;sans-serif"/>
          <w:b/>
          <w:color w:val="1946C8"/>
          <w:sz w:val="54"/>
        </w:rPr>
        <w:t xml:space="preserve">Reconciliations of GAAP to Non-GAAP Financial Measures </w:t>
      </w:r>
    </w:p>
    <w:p>
      <w:pPr>
        <w:pStyle w:val="TextBody"/>
        <w:bidi w:val="0"/>
        <w:spacing w:lineRule="auto" w:line="288"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Adjusted EBITDA, Adjusted EBIT, Adjusted EBIT Margin, Return on Invested Capital (“ROIC”), Adjusted Pre-tax Net Income, Adjusted Net Income, Adjusted Earnings per Share, and Adjusted Free Cash Flow, as shown below, have been presented in this Proxy Statement, including the Compensation Discussion and Analysis section of this Proxy Statement, as supplemental measures of financial performance that are not required by, or presented in accordance with, accounting principles generally accepted in the United States of America ("GAAP"). </w:t>
      </w:r>
    </w:p>
    <w:p>
      <w:pPr>
        <w:pStyle w:val="TextBody"/>
        <w:bidi w:val="0"/>
        <w:spacing w:lineRule="auto" w:line="288"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We define Adjusted EBITDA as net income (loss) before interest expense, net, income tax expense and depreciation, amortization and impairment and other adjustments included in the table below. We define Adjusted EBIT as Adjusted EBITDA less depreciation and amortization. We define Adjusted EBIT Margin as Adjusted EBIT divided by total revenue. We describe these adjustments reconciling net income (loss) to Adjusted EBITDA, Adjusted EBITDA to Adjusted EBIT, and Adjusted EBIT to Adjusted EBIT Margin in the applicable table below. We define ROIC as Adjusted EBITDA before lease expense less income tax expense divided by average invested capital on a trailing thirteen month basis, inclusive of year-end total lease liabilities.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We define Adjusted Pre-tax Net Income as net income (loss) before income tax expense and other adjustments included in the table below. We define Adjusted Net Income as net income (loss), plus other adjustments included in the table below, less the tax effect of these adjustments. We define basic Adjusted Earnings per Share as Adjusted Net Income divided by the basic weighted average common shares outstanding during the period and diluted Adjusted Earnings per Share as Adjusted Net Income divided by the diluted weighted average common shares outstanding during the period. We describe these adjustments by reconciling net income (loss) to Adjusted Pre-tax Net Income, Adjusted Net Income and Adjusted Earnings per Share in the applicable table below.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We describe Adjusted Free Cash Flow as net cash provided by (used in) operating activities less net cash used in investing activities. We describe this adjustment by reconciling net cash provided by operating activities to Adjusted Free Cash Flow in the applicable table below.</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We believe Adjusted EBITDA, Adjusted EBIT, Adjusted EBIT Margin, Adjusted Pre-tax Net Income, Adjusted Net Income and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EBIT, Adjusted EBIT Margin, Adjusted Net Income, Adjusted Pre-tax Net Income, and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additional basis for assessing our ability to generate cash. Management believes ROIC is a useful measure of how we deploy capital. Management uses Adjusted EBITDA, Adjusted EBIT, Adjusted EBIT Margin, ROIC, Adjusted Pre-tax Net Income,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has also historically used Adjusted EBIT as a performance target to establish and award discretionary annual incentive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263525"/>
                <wp:effectExtent l="0" t="0" r="0" b="0"/>
                <wp:wrapNone/>
                <wp:docPr id="470" name="Frame94"/>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471"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mage288" descr=""/>
                                          <pic:cNvPicPr>
                                            <a:picLocks noChangeAspect="1" noChangeArrowheads="1"/>
                                          </pic:cNvPicPr>
                                        </pic:nvPicPr>
                                        <pic:blipFill>
                                          <a:blip r:embed="rId378"/>
                                          <a:stretch>
                                            <a:fillRect/>
                                          </a:stretch>
                                        </pic:blipFill>
                                        <pic:spPr bwMode="auto">
                                          <a:xfrm>
                                            <a:off x="0" y="0"/>
                                            <a:ext cx="266700" cy="200025"/>
                                          </a:xfrm>
                                          <a:prstGeom prst="rect">
                                            <a:avLst/>
                                          </a:prstGeom>
                                        </pic:spPr>
                                      </pic:pic>
                                    </a:graphicData>
                                  </a:graphic>
                                </wp:inline>
                              </w:drawing>
                            </w:r>
                            <w:bookmarkStart w:id="377" w:name="i-288"/>
                            <w:bookmarkEnd w:id="377"/>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472"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288" descr=""/>
                                    <pic:cNvPicPr>
                                      <a:picLocks noChangeAspect="1" noChangeArrowheads="1"/>
                                    </pic:cNvPicPr>
                                  </pic:nvPicPr>
                                  <pic:blipFill>
                                    <a:blip r:embed="rId379"/>
                                    <a:stretch>
                                      <a:fillRect/>
                                    </a:stretch>
                                  </pic:blipFill>
                                  <pic:spPr bwMode="auto">
                                    <a:xfrm>
                                      <a:off x="0" y="0"/>
                                      <a:ext cx="266700" cy="200025"/>
                                    </a:xfrm>
                                    <a:prstGeom prst="rect">
                                      <a:avLst/>
                                    </a:prstGeom>
                                  </pic:spPr>
                                </pic:pic>
                              </a:graphicData>
                            </a:graphic>
                          </wp:inline>
                        </w:drawing>
                      </w:r>
                      <w:bookmarkStart w:id="378" w:name="i-288"/>
                      <w:bookmarkEnd w:id="378"/>
                    </w:p>
                  </w:txbxContent>
                </v:textbox>
                <w10:wrap type="none"/>
              </v:rect>
            </w:pict>
          </mc:Fallback>
        </mc:AlternateContent>
      </w:r>
    </w:p>
    <w:tbl>
      <w:tblPr>
        <w:tblW w:w="5336" w:type="dxa"/>
        <w:jc w:val="left"/>
        <w:tblInd w:w="0" w:type="dxa"/>
        <w:tblLayout w:type="fixed"/>
        <w:tblCellMar>
          <w:top w:w="28" w:type="dxa"/>
          <w:left w:w="28" w:type="dxa"/>
          <w:bottom w:w="28" w:type="dxa"/>
          <w:right w:w="28" w:type="dxa"/>
        </w:tblCellMar>
      </w:tblPr>
      <w:tblGrid>
        <w:gridCol w:w="163"/>
        <w:gridCol w:w="143"/>
        <w:gridCol w:w="143"/>
        <w:gridCol w:w="109"/>
        <w:gridCol w:w="109"/>
        <w:gridCol w:w="109"/>
        <w:gridCol w:w="1333"/>
        <w:gridCol w:w="1333"/>
        <w:gridCol w:w="1894"/>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 xml:space="preserve">Management supplements GAAP results with non-GAAP financial measures to provide a more complete understanding of the factors and trends affecting the business than GAAP results alone. Adjusted EBITDA, Adjusted EBIT, Adjusted EBIT Margin, ROIC, Adjusted Pre-tax Net Income, Adjusted Net Income, Adjusted Earnings per Share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EBIT, Adjusted EBIT Margin, Adjusted Pre-tax Net Income, Adjusted Net Income, Adjusted Earnings per Share, ROIC, and Adjusted Free Cash Flow should not be construed to imply that our future results will be unaffected by unusual or non-recurring items. In evaluating Adjusted EBITDA, Adjusted EBIT, Adjusted EBIT Margin, ROIC, Adjusted Pre-tax Net Income, Adjusted Net Income, Adjusted Earnings per Share and Adjusted Free Cash Flow, you should be aware that in the future we may incur expenses that are the same as or similar to some of the adjustments in this presentation. Our presentation of Adjusted EBITDA, Adjusted EBIT, Adjusted EBIT Margin, ROIC, Adjusted Pre-tax Net Income, Adjusted Net Income, Adjusted Earnings per Share, and Adjusted Free Cash Flow should not be construed to imply that our future results will be unaffected by any such adjustments. </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Our Adjusted EBITDA, Adjusted EBIT, Adjusted EBIT Margin, ROIC, Adjusted Net Income, Adjusted Earnings per Share and Adjusted Free Cash Flow measures have limitations as analytical tools, and you should not consider them in isolation, or as a substitute for analysis of our results as reported under GAAP. Some of these limitations are:</w:t>
      </w:r>
    </w:p>
    <w:p>
      <w:pPr>
        <w:pStyle w:val="TextBody"/>
        <w:bidi w:val="0"/>
        <w:spacing w:lineRule="atLeast" w:line="240" w:before="0" w:after="120"/>
        <w:ind w:left="0" w:right="0" w:hanging="288"/>
        <w:jc w:val="left"/>
        <w:rPr/>
      </w:pPr>
      <w:r>
        <w:rPr>
          <w:color w:val="000000"/>
        </w:rPr>
        <w:t>•</w:t>
      </w:r>
      <w:r>
        <w:rPr>
          <w:rFonts w:ascii="Roboto Light;sans-serif" w:hAnsi="Roboto Light;sans-serif"/>
          <w:b w:val="false"/>
          <w:color w:val="000000"/>
          <w:sz w:val="18"/>
        </w:rPr>
        <w:t>Adjusted EBITDA, Adjusted EBIT, Adjusted EBIT Margin, Adjusted Pre-tax Net Income, Adjusted Net Income and Adjusted Earnings per Share do not reflect costs or cash outlays for capital expenditures or contractual commitments;</w:t>
      </w:r>
    </w:p>
    <w:p>
      <w:pPr>
        <w:pStyle w:val="TextBody"/>
        <w:bidi w:val="0"/>
        <w:spacing w:lineRule="atLeast" w:line="240" w:before="0" w:after="120"/>
        <w:ind w:left="0" w:right="0" w:hanging="288"/>
        <w:jc w:val="left"/>
        <w:rPr/>
      </w:pPr>
      <w:r>
        <w:rPr>
          <w:color w:val="000000"/>
        </w:rPr>
        <w:t>•</w:t>
      </w:r>
      <w:r>
        <w:rPr>
          <w:rFonts w:ascii="Roboto Light;sans-serif" w:hAnsi="Roboto Light;sans-serif"/>
          <w:b w:val="false"/>
          <w:color w:val="000000"/>
          <w:sz w:val="18"/>
        </w:rPr>
        <w:t>Adjusted EBITDA, Adjusted EBIT, Adjusted EBIT Margin, Adjusted Pre-tax Net Income, Adjusted Net Income and Adjusted Earnings per Share do not reflect changes in, or cash requirements for, our working capital needs;</w:t>
      </w:r>
    </w:p>
    <w:p>
      <w:pPr>
        <w:pStyle w:val="TextBody"/>
        <w:bidi w:val="0"/>
        <w:spacing w:lineRule="atLeast" w:line="240" w:before="0" w:after="120"/>
        <w:ind w:left="0" w:right="0" w:hanging="288"/>
        <w:jc w:val="left"/>
        <w:rPr/>
      </w:pPr>
      <w:r>
        <w:rPr>
          <w:color w:val="000000"/>
        </w:rPr>
        <w:t>•</w:t>
      </w:r>
      <w:r>
        <w:rPr>
          <w:rFonts w:ascii="Roboto Light;sans-serif" w:hAnsi="Roboto Light;sans-serif"/>
          <w:b w:val="false"/>
          <w:color w:val="000000"/>
          <w:sz w:val="18"/>
        </w:rPr>
        <w:t>Adjusted EBITDA, Adjusted EBIT and Adjusted EBIT Margin do not reflect the interest expense, or the cash requirements necessary to service interest or principal payments, on our debt, and Adjusted Free Cash Flow does not reflect the cash requirements necessary to service principal payments on our debt;</w:t>
      </w:r>
    </w:p>
    <w:p>
      <w:pPr>
        <w:pStyle w:val="TextBody"/>
        <w:bidi w:val="0"/>
        <w:spacing w:lineRule="atLeast" w:line="240" w:before="0" w:after="120"/>
        <w:ind w:left="0" w:right="0" w:hanging="288"/>
        <w:jc w:val="left"/>
        <w:rPr/>
      </w:pPr>
      <w:r>
        <w:rPr>
          <w:color w:val="000000"/>
        </w:rPr>
        <w:t>•</w:t>
      </w:r>
      <w:r>
        <w:rPr>
          <w:rFonts w:ascii="Roboto Light;sans-serif" w:hAnsi="Roboto Light;sans-serif"/>
          <w:b w:val="false"/>
          <w:color w:val="000000"/>
          <w:sz w:val="18"/>
        </w:rPr>
        <w:t>Adjusted EBITDA, ROIC, Adjusted Pre-tax Net Income, Adjusted EBIT and Adjusted EBIT Margin do not reflect period to period changes in taxes, income tax expense or the cash necessary to pay income taxes;</w:t>
      </w:r>
    </w:p>
    <w:p>
      <w:pPr>
        <w:pStyle w:val="TextBody"/>
        <w:bidi w:val="0"/>
        <w:spacing w:lineRule="atLeast" w:line="240" w:before="0" w:after="120"/>
        <w:ind w:left="0" w:right="0" w:hanging="288"/>
        <w:jc w:val="left"/>
        <w:rPr/>
      </w:pPr>
      <w:r>
        <w:rPr>
          <w:color w:val="000000"/>
        </w:rPr>
        <w:t>•</w:t>
      </w:r>
      <w:r>
        <w:rPr>
          <w:rFonts w:ascii="Roboto Light;sans-serif" w:hAnsi="Roboto Light;sans-serif"/>
          <w:b w:val="false"/>
          <w:color w:val="000000"/>
          <w:sz w:val="18"/>
        </w:rPr>
        <w:t>Adjusted EBITDA, Adjusted EBIT, Adjusted EBIT Margin, ROIC, Adjusted Pre-tax Net Income, Adjusted Net Income and Adjusted Earnings per Share do not reflect the impact of earnings or charges resulting from matters we consider not to be indicative of our ongoing operations;</w:t>
      </w:r>
    </w:p>
    <w:p>
      <w:pPr>
        <w:pStyle w:val="TextBody"/>
        <w:bidi w:val="0"/>
        <w:spacing w:lineRule="atLeast" w:line="240" w:before="0" w:after="120"/>
        <w:ind w:left="0" w:right="0" w:hanging="288"/>
        <w:jc w:val="left"/>
        <w:rPr/>
      </w:pPr>
      <w:r>
        <w:rPr>
          <w:color w:val="000000"/>
        </w:rPr>
        <w:t>•</w:t>
      </w:r>
      <w:r>
        <w:rPr>
          <w:rFonts w:ascii="Roboto Light;sans-serif" w:hAnsi="Roboto Light;sans-serif"/>
          <w:b w:val="false"/>
          <w:color w:val="000000"/>
          <w:sz w:val="18"/>
        </w:rPr>
        <w:t>although depreciation and amortization are non-cash charges, the assets being depreciated and amortized will often have to be replaced in the future, and Adjusted EBITDA and Adjusted Free Cash Flow do not reflect cash requirements for such replacements; and</w:t>
      </w:r>
    </w:p>
    <w:p>
      <w:pPr>
        <w:pStyle w:val="TextBody"/>
        <w:bidi w:val="0"/>
        <w:spacing w:lineRule="atLeast" w:line="240" w:before="0" w:after="120"/>
        <w:ind w:left="0" w:right="0" w:hanging="288"/>
        <w:jc w:val="left"/>
        <w:rPr/>
      </w:pPr>
      <w:r>
        <w:rPr>
          <w:color w:val="000000"/>
        </w:rPr>
        <w:t>•</w:t>
      </w:r>
      <w:r>
        <w:rPr>
          <w:rFonts w:ascii="Roboto Light;sans-serif" w:hAnsi="Roboto Light;sans-serif"/>
          <w:b w:val="false"/>
          <w:color w:val="000000"/>
          <w:sz w:val="18"/>
        </w:rPr>
        <w:t>other companies in our industry may calculate these measures differently than we do, limiting their usefulness as comparative measures.</w:t>
      </w:r>
    </w:p>
    <w:p>
      <w:pPr>
        <w:pStyle w:val="TextBody"/>
        <w:bidi w:val="0"/>
        <w:spacing w:lineRule="atLeast" w:line="240" w:before="0" w:after="240"/>
        <w:jc w:val="left"/>
        <w:rPr>
          <w:rFonts w:ascii="Roboto Light;sans-serif" w:hAnsi="Roboto Light;sans-serif"/>
          <w:b w:val="false"/>
          <w:color w:val="000000"/>
          <w:sz w:val="18"/>
        </w:rPr>
      </w:pPr>
      <w:r>
        <w:rPr>
          <w:rFonts w:ascii="Roboto Light;sans-serif" w:hAnsi="Roboto Light;sans-serif"/>
          <w:b w:val="false"/>
          <w:color w:val="000000"/>
          <w:sz w:val="18"/>
        </w:rPr>
        <w:t>Because of these limitations, Adjusted EBITDA, Adjusted EBIT, Adjusted EBIT Margin, ROIC, Adjusted Pre-tax Net Income, Adjusted Net Income, Adjusted Earnings per Share, and Adjusted Free Cash Flow should not be considered as measures of discretionary cash available to invest in business growth or to reduce indebtedness. Management compensates for these limitations by primarily relying on our GAAP results in addition to using Adjusted EBITDA, Adjusted EBIT, Adjusted EBIT Margin, ROIC, Adjusted Pre-tax Net Income, Adjusted Net Income, Adjusted Earnings per Share and Adjusted Free Cash Flow supplementally.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63525"/>
                <wp:effectExtent l="0" t="0" r="0" b="0"/>
                <wp:wrapNone/>
                <wp:docPr id="473" name="Frame95"/>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474"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289" descr=""/>
                                          <pic:cNvPicPr>
                                            <a:picLocks noChangeAspect="1" noChangeArrowheads="1"/>
                                          </pic:cNvPicPr>
                                        </pic:nvPicPr>
                                        <pic:blipFill>
                                          <a:blip r:embed="rId380"/>
                                          <a:stretch>
                                            <a:fillRect/>
                                          </a:stretch>
                                        </pic:blipFill>
                                        <pic:spPr bwMode="auto">
                                          <a:xfrm>
                                            <a:off x="0" y="0"/>
                                            <a:ext cx="266700" cy="200025"/>
                                          </a:xfrm>
                                          <a:prstGeom prst="rect">
                                            <a:avLst/>
                                          </a:prstGeom>
                                        </pic:spPr>
                                      </pic:pic>
                                    </a:graphicData>
                                  </a:graphic>
                                </wp:inline>
                              </w:drawing>
                            </w:r>
                            <w:bookmarkStart w:id="379" w:name="i-289"/>
                            <w:bookmarkEnd w:id="379"/>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475"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Image289" descr=""/>
                                    <pic:cNvPicPr>
                                      <a:picLocks noChangeAspect="1" noChangeArrowheads="1"/>
                                    </pic:cNvPicPr>
                                  </pic:nvPicPr>
                                  <pic:blipFill>
                                    <a:blip r:embed="rId381"/>
                                    <a:stretch>
                                      <a:fillRect/>
                                    </a:stretch>
                                  </pic:blipFill>
                                  <pic:spPr bwMode="auto">
                                    <a:xfrm>
                                      <a:off x="0" y="0"/>
                                      <a:ext cx="266700" cy="200025"/>
                                    </a:xfrm>
                                    <a:prstGeom prst="rect">
                                      <a:avLst/>
                                    </a:prstGeom>
                                  </pic:spPr>
                                </pic:pic>
                              </a:graphicData>
                            </a:graphic>
                          </wp:inline>
                        </w:drawing>
                      </w:r>
                      <w:bookmarkStart w:id="380" w:name="i-289"/>
                      <w:bookmarkEnd w:id="380"/>
                    </w:p>
                  </w:txbxContent>
                </v:textbox>
                <w10:wrap type="none"/>
              </v:rect>
            </w:pict>
          </mc:Fallback>
        </mc:AlternateContent>
      </w:r>
    </w:p>
    <w:tbl>
      <w:tblPr>
        <w:tblW w:w="5935"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40"/>
        <w:gridCol w:w="140"/>
        <w:gridCol w:w="199"/>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A-3</w:t>
            </w:r>
          </w:p>
        </w:tc>
      </w:tr>
    </w:tbl>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 xml:space="preserve">Adjusted EBITDA, Adjusted EBIT and Adjusted EBIT Margin </w:t>
      </w:r>
    </w:p>
    <w:p>
      <w:pPr>
        <w:pStyle w:val="TextBody"/>
        <w:bidi w:val="0"/>
        <w:spacing w:lineRule="atLeast" w:line="240" w:before="0" w:after="0"/>
        <w:jc w:val="left"/>
        <w:rPr>
          <w:rFonts w:ascii="Roboto Light;sans-serif" w:hAnsi="Roboto Light;sans-serif"/>
          <w:b w:val="false"/>
          <w:color w:val="000000"/>
          <w:sz w:val="18"/>
        </w:rPr>
      </w:pPr>
      <w:r>
        <w:rPr>
          <w:rFonts w:ascii="Roboto Light;sans-serif" w:hAnsi="Roboto Light;sans-serif"/>
          <w:b w:val="false"/>
          <w:color w:val="000000"/>
          <w:sz w:val="18"/>
        </w:rPr>
        <w:t>The following table provides reconciliations of net income to Adjusted EBITDA, Adjusted EBIT, and Adjusted EBIT Margin for the periods presented (amounts in thousands):</w:t>
      </w:r>
    </w:p>
    <w:tbl>
      <w:tblPr>
        <w:tblW w:w="9290" w:type="dxa"/>
        <w:jc w:val="left"/>
        <w:tblInd w:w="0" w:type="dxa"/>
        <w:tblLayout w:type="fixed"/>
        <w:tblCellMar>
          <w:top w:w="28" w:type="dxa"/>
          <w:left w:w="28" w:type="dxa"/>
          <w:bottom w:w="28" w:type="dxa"/>
          <w:right w:w="28" w:type="dxa"/>
        </w:tblCellMar>
      </w:tblPr>
      <w:tblGrid>
        <w:gridCol w:w="579"/>
        <w:gridCol w:w="509"/>
        <w:gridCol w:w="509"/>
        <w:gridCol w:w="509"/>
        <w:gridCol w:w="509"/>
        <w:gridCol w:w="517"/>
        <w:gridCol w:w="562"/>
        <w:gridCol w:w="564"/>
        <w:gridCol w:w="941"/>
        <w:gridCol w:w="562"/>
        <w:gridCol w:w="564"/>
        <w:gridCol w:w="950"/>
        <w:gridCol w:w="487"/>
        <w:gridCol w:w="489"/>
        <w:gridCol w:w="1039"/>
      </w:tblGrid>
      <w:tr>
        <w:trPr/>
        <w:tc>
          <w:tcPr>
            <w:tcW w:w="57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3132" w:type="dxa"/>
            <w:gridSpan w:val="6"/>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9"/>
            <w:tcBorders/>
            <w:shd w:fill="1946C8"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color w:val="FFFFFF"/>
                <w:sz w:val="16"/>
              </w:rPr>
            </w:pPr>
            <w:r>
              <w:rPr>
                <w:rFonts w:ascii="Roboto;sans-serif" w:hAnsi="Roboto;sans-serif"/>
                <w:b/>
                <w:color w:val="FFFFFF"/>
                <w:sz w:val="16"/>
              </w:rPr>
              <w:t>Fiscal Year Ended</w:t>
            </w:r>
          </w:p>
        </w:tc>
      </w:tr>
      <w:tr>
        <w:trPr/>
        <w:tc>
          <w:tcPr>
            <w:tcW w:w="159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January 31, 2026</w:t>
            </w:r>
          </w:p>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w:t>
            </w:r>
          </w:p>
        </w:tc>
        <w:tc>
          <w:tcPr>
            <w:tcW w:w="2076"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February 1, 2025</w:t>
            </w:r>
          </w:p>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w:t>
            </w:r>
          </w:p>
        </w:tc>
        <w:tc>
          <w:tcPr>
            <w:tcW w:w="2015"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February 3, 2024</w:t>
            </w:r>
          </w:p>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w:t>
            </w:r>
          </w:p>
        </w:tc>
      </w:tr>
      <w:tr>
        <w:trPr/>
        <w:tc>
          <w:tcPr>
            <w:tcW w:w="3132" w:type="dxa"/>
            <w:gridSpan w:val="6"/>
            <w:tcBorders/>
            <w:shd w:fill="ECF8FE" w:val="clear"/>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val="false"/>
                <w:color w:val="000000"/>
                <w:sz w:val="16"/>
              </w:rPr>
              <w:t>Net income</w:t>
            </w:r>
            <w:r>
              <w:rPr>
                <w:rFonts w:ascii="Roboto;sans-serif" w:hAnsi="Roboto;sans-serif"/>
                <w:b w:val="false"/>
                <w:color w:val="000000"/>
                <w:sz w:val="10"/>
              </w:rPr>
              <w:t>(a)</w:t>
            </w:r>
          </w:p>
        </w:tc>
        <w:tc>
          <w:tcPr>
            <w:tcW w:w="1126" w:type="dxa"/>
            <w:gridSpan w:val="2"/>
            <w:tcBorders/>
            <w:shd w:fill="ECF8FE" w:val="clear"/>
            <w:tcMar>
              <w:top w:w="0" w:type="dxa"/>
              <w:left w:w="0" w:type="dxa"/>
              <w:bottom w:w="0" w:type="dxa"/>
              <w:right w:w="0" w:type="dxa"/>
            </w:tcMar>
            <w:vAlign w:val="center"/>
          </w:tcPr>
          <w:p>
            <w:pPr>
              <w:pStyle w:val="TableContents"/>
              <w:bidi w:val="0"/>
              <w:spacing w:lineRule="auto" w:line="312" w:before="0" w:after="283"/>
              <w:jc w:val="right"/>
              <w:rPr/>
            </w:pPr>
            <w:r>
              <w:rPr>
                <w:rFonts w:ascii="Roboto;sans-serif" w:hAnsi="Roboto;sans-serif"/>
                <w:b/>
                <w:color w:val="000000"/>
                <w:sz w:val="16"/>
              </w:rPr>
              <w:t>376,768</w:t>
            </w:r>
            <w:r>
              <w:rPr>
                <w:color w:val="000000"/>
              </w:rPr>
              <w:t> </w:t>
            </w:r>
          </w:p>
        </w:tc>
        <w:tc>
          <w:tcPr>
            <w:tcW w:w="941"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CF8FE" w:val="clear"/>
            <w:tcMar>
              <w:top w:w="0" w:type="dxa"/>
              <w:left w:w="0" w:type="dxa"/>
              <w:bottom w:w="0" w:type="dxa"/>
              <w:right w:w="0" w:type="dxa"/>
            </w:tcMar>
            <w:vAlign w:val="center"/>
          </w:tcPr>
          <w:p>
            <w:pPr>
              <w:pStyle w:val="TableContents"/>
              <w:bidi w:val="0"/>
              <w:spacing w:lineRule="auto" w:line="312" w:before="0" w:after="283"/>
              <w:jc w:val="right"/>
              <w:rPr/>
            </w:pPr>
            <w:r>
              <w:rPr>
                <w:rFonts w:ascii="Roboto;sans-serif" w:hAnsi="Roboto;sans-serif"/>
                <w:b/>
                <w:color w:val="000000"/>
                <w:sz w:val="16"/>
              </w:rPr>
              <w:t>418,447</w:t>
            </w:r>
            <w:r>
              <w:rPr>
                <w:color w:val="000000"/>
              </w:rPr>
              <w:t> </w:t>
            </w:r>
          </w:p>
        </w:tc>
        <w:tc>
          <w:tcPr>
            <w:tcW w:w="950"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519,190 </w:t>
            </w:r>
          </w:p>
        </w:tc>
        <w:tc>
          <w:tcPr>
            <w:tcW w:w="1039"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6"/>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Interest expense, net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Roboto;sans-serif" w:hAnsi="Roboto;sans-serif"/>
                <w:b/>
                <w:color w:val="000000"/>
                <w:sz w:val="16"/>
              </w:rPr>
              <w:t>36,214</w:t>
            </w:r>
            <w:r>
              <w:rPr>
                <w:color w:val="000000"/>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Roboto;sans-serif" w:hAnsi="Roboto;sans-serif"/>
                <w:b/>
                <w:color w:val="000000"/>
                <w:sz w:val="16"/>
              </w:rPr>
              <w:t>36,873</w:t>
            </w:r>
            <w:r>
              <w:rPr>
                <w:color w:val="000000"/>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46,051 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6"/>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Income tax expense</w:t>
            </w:r>
          </w:p>
        </w:tc>
        <w:tc>
          <w:tcPr>
            <w:tcW w:w="1126" w:type="dxa"/>
            <w:gridSpan w:val="2"/>
            <w:tcBorders/>
            <w:shd w:fill="ECF8FE" w:val="clear"/>
            <w:tcMar>
              <w:top w:w="0" w:type="dxa"/>
              <w:left w:w="0" w:type="dxa"/>
              <w:bottom w:w="0" w:type="dxa"/>
              <w:right w:w="0" w:type="dxa"/>
            </w:tcMar>
            <w:vAlign w:val="center"/>
          </w:tcPr>
          <w:p>
            <w:pPr>
              <w:pStyle w:val="TableContents"/>
              <w:bidi w:val="0"/>
              <w:spacing w:lineRule="auto" w:line="312" w:before="0" w:after="283"/>
              <w:jc w:val="right"/>
              <w:rPr/>
            </w:pPr>
            <w:r>
              <w:rPr>
                <w:rFonts w:ascii="Roboto;sans-serif" w:hAnsi="Roboto;sans-serif"/>
                <w:b/>
                <w:color w:val="000000"/>
                <w:sz w:val="16"/>
              </w:rPr>
              <w:t>109,289</w:t>
            </w:r>
            <w:r>
              <w:rPr>
                <w:color w:val="000000"/>
              </w:rPr>
              <w:t> </w:t>
            </w:r>
          </w:p>
        </w:tc>
        <w:tc>
          <w:tcPr>
            <w:tcW w:w="941"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CF8FE" w:val="clear"/>
            <w:tcMar>
              <w:top w:w="0" w:type="dxa"/>
              <w:left w:w="0" w:type="dxa"/>
              <w:bottom w:w="0" w:type="dxa"/>
              <w:right w:w="0" w:type="dxa"/>
            </w:tcMar>
            <w:vAlign w:val="center"/>
          </w:tcPr>
          <w:p>
            <w:pPr>
              <w:pStyle w:val="TableContents"/>
              <w:bidi w:val="0"/>
              <w:spacing w:lineRule="auto" w:line="312" w:before="0" w:after="283"/>
              <w:jc w:val="right"/>
              <w:rPr/>
            </w:pPr>
            <w:r>
              <w:rPr>
                <w:rFonts w:ascii="Roboto;sans-serif" w:hAnsi="Roboto;sans-serif"/>
                <w:b/>
                <w:color w:val="000000"/>
                <w:sz w:val="16"/>
              </w:rPr>
              <w:t>119,778</w:t>
            </w:r>
            <w:r>
              <w:rPr>
                <w:color w:val="000000"/>
              </w:rPr>
              <w:t> </w:t>
            </w:r>
          </w:p>
        </w:tc>
        <w:tc>
          <w:tcPr>
            <w:tcW w:w="950"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143,966 </w:t>
            </w:r>
          </w:p>
        </w:tc>
        <w:tc>
          <w:tcPr>
            <w:tcW w:w="1039"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6"/>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Depreciation and amortization</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Roboto;sans-serif" w:hAnsi="Roboto;sans-serif"/>
                <w:b/>
                <w:color w:val="000000"/>
                <w:sz w:val="16"/>
              </w:rPr>
              <w:t>122,866</w:t>
            </w:r>
            <w:r>
              <w:rPr>
                <w:color w:val="000000"/>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Roboto;sans-serif" w:hAnsi="Roboto;sans-serif"/>
                <w:b/>
                <w:color w:val="000000"/>
                <w:sz w:val="16"/>
              </w:rPr>
              <w:t>118,070</w:t>
            </w:r>
            <w:r>
              <w:rPr>
                <w:color w:val="000000"/>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110,936 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6"/>
            <w:tcBorders/>
            <w:shd w:fill="ECF8FE" w:val="clear"/>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val="false"/>
                <w:color w:val="000000"/>
                <w:sz w:val="16"/>
              </w:rPr>
              <w:t>Equity compensation</w:t>
            </w:r>
            <w:r>
              <w:rPr>
                <w:rFonts w:ascii="Roboto;sans-serif" w:hAnsi="Roboto;sans-serif"/>
                <w:b w:val="false"/>
                <w:color w:val="000000"/>
                <w:sz w:val="10"/>
              </w:rPr>
              <w:t>(b)</w:t>
            </w:r>
          </w:p>
        </w:tc>
        <w:tc>
          <w:tcPr>
            <w:tcW w:w="1126" w:type="dxa"/>
            <w:gridSpan w:val="2"/>
            <w:tcBorders/>
            <w:shd w:fill="ECF8FE" w:val="clear"/>
            <w:tcMar>
              <w:top w:w="0" w:type="dxa"/>
              <w:left w:w="0" w:type="dxa"/>
              <w:bottom w:w="0" w:type="dxa"/>
              <w:right w:w="0" w:type="dxa"/>
            </w:tcMar>
            <w:vAlign w:val="center"/>
          </w:tcPr>
          <w:p>
            <w:pPr>
              <w:pStyle w:val="TableContents"/>
              <w:bidi w:val="0"/>
              <w:spacing w:lineRule="auto" w:line="312" w:before="0" w:after="283"/>
              <w:jc w:val="right"/>
              <w:rPr/>
            </w:pPr>
            <w:r>
              <w:rPr>
                <w:rFonts w:ascii="Roboto;sans-serif" w:hAnsi="Roboto;sans-serif"/>
                <w:b/>
                <w:color w:val="000000"/>
                <w:sz w:val="16"/>
              </w:rPr>
              <w:t>21,176</w:t>
            </w:r>
            <w:r>
              <w:rPr>
                <w:color w:val="000000"/>
              </w:rPr>
              <w:t> </w:t>
            </w:r>
          </w:p>
        </w:tc>
        <w:tc>
          <w:tcPr>
            <w:tcW w:w="941"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CF8FE" w:val="clear"/>
            <w:tcMar>
              <w:top w:w="0" w:type="dxa"/>
              <w:left w:w="0" w:type="dxa"/>
              <w:bottom w:w="0" w:type="dxa"/>
              <w:right w:w="0" w:type="dxa"/>
            </w:tcMar>
            <w:vAlign w:val="center"/>
          </w:tcPr>
          <w:p>
            <w:pPr>
              <w:pStyle w:val="TableContents"/>
              <w:bidi w:val="0"/>
              <w:spacing w:lineRule="auto" w:line="312" w:before="0" w:after="283"/>
              <w:jc w:val="right"/>
              <w:rPr/>
            </w:pPr>
            <w:r>
              <w:rPr>
                <w:rFonts w:ascii="Roboto;sans-serif" w:hAnsi="Roboto;sans-serif"/>
                <w:b/>
                <w:color w:val="000000"/>
                <w:sz w:val="16"/>
              </w:rPr>
              <w:t>26,629</w:t>
            </w:r>
            <w:r>
              <w:rPr>
                <w:color w:val="000000"/>
              </w:rPr>
              <w:t> </w:t>
            </w:r>
          </w:p>
        </w:tc>
        <w:tc>
          <w:tcPr>
            <w:tcW w:w="950"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24,377 </w:t>
            </w:r>
          </w:p>
        </w:tc>
        <w:tc>
          <w:tcPr>
            <w:tcW w:w="1039"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6"/>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Loss on early retirement of debt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1,525 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6"/>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Write-off of deferred loan costs</w:t>
            </w:r>
          </w:p>
        </w:tc>
        <w:tc>
          <w:tcPr>
            <w:tcW w:w="1126" w:type="dxa"/>
            <w:gridSpan w:val="2"/>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941"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CF8FE" w:val="clear"/>
            <w:tcMar>
              <w:top w:w="0" w:type="dxa"/>
              <w:left w:w="0" w:type="dxa"/>
              <w:bottom w:w="0" w:type="dxa"/>
              <w:right w:w="0" w:type="dxa"/>
            </w:tcMar>
            <w:vAlign w:val="center"/>
          </w:tcPr>
          <w:p>
            <w:pPr>
              <w:pStyle w:val="TableContents"/>
              <w:bidi w:val="0"/>
              <w:spacing w:lineRule="auto" w:line="312" w:before="0" w:after="283"/>
              <w:jc w:val="right"/>
              <w:rPr/>
            </w:pPr>
            <w:r>
              <w:rPr>
                <w:rFonts w:ascii="Roboto;sans-serif" w:hAnsi="Roboto;sans-serif"/>
                <w:b/>
                <w:color w:val="000000"/>
                <w:sz w:val="16"/>
              </w:rPr>
              <w:t>449</w:t>
            </w:r>
            <w:r>
              <w:rPr>
                <w:color w:val="000000"/>
              </w:rPr>
              <w:t> </w:t>
            </w:r>
          </w:p>
        </w:tc>
        <w:tc>
          <w:tcPr>
            <w:tcW w:w="950"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39"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6"/>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Adjusted EBITDA</w:t>
            </w:r>
          </w:p>
        </w:tc>
        <w:tc>
          <w:tcPr>
            <w:tcW w:w="1126" w:type="dxa"/>
            <w:gridSpan w:val="2"/>
            <w:tcBorders>
              <w:top w:val="single" w:sz="8"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pPr>
            <w:r>
              <w:rPr>
                <w:rFonts w:ascii="Roboto;sans-serif" w:hAnsi="Roboto;sans-serif"/>
                <w:b/>
                <w:color w:val="000000"/>
                <w:sz w:val="16"/>
              </w:rPr>
              <w:t>666,313</w:t>
            </w:r>
            <w:r>
              <w:rPr>
                <w:color w:val="000000"/>
              </w:rPr>
              <w:t> </w:t>
            </w:r>
          </w:p>
        </w:tc>
        <w:tc>
          <w:tcPr>
            <w:tcW w:w="941" w:type="dxa"/>
            <w:tcBorders>
              <w:top w:val="single" w:sz="8" w:space="0" w:color="1946C8"/>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pPr>
            <w:r>
              <w:rPr>
                <w:rFonts w:ascii="Roboto;sans-serif" w:hAnsi="Roboto;sans-serif"/>
                <w:b/>
                <w:color w:val="000000"/>
                <w:sz w:val="16"/>
              </w:rPr>
              <w:t>720,246</w:t>
            </w:r>
            <w:r>
              <w:rPr>
                <w:color w:val="000000"/>
              </w:rPr>
              <w:t> </w:t>
            </w:r>
          </w:p>
        </w:tc>
        <w:tc>
          <w:tcPr>
            <w:tcW w:w="950" w:type="dxa"/>
            <w:tcBorders>
              <w:top w:val="single" w:sz="8" w:space="0" w:color="1946C8"/>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846,045 </w:t>
            </w:r>
          </w:p>
        </w:tc>
        <w:tc>
          <w:tcPr>
            <w:tcW w:w="1039" w:type="dxa"/>
            <w:tcBorders>
              <w:top w:val="single" w:sz="8" w:space="0" w:color="1946C8"/>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6"/>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Less: Depreciation and amortization</w:t>
            </w:r>
          </w:p>
        </w:tc>
        <w:tc>
          <w:tcPr>
            <w:tcW w:w="1126" w:type="dxa"/>
            <w:gridSpan w:val="2"/>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000000"/>
                <w:sz w:val="16"/>
              </w:rPr>
            </w:pPr>
            <w:r>
              <w:rPr>
                <w:rFonts w:ascii="Roboto;sans-serif" w:hAnsi="Roboto;sans-serif"/>
                <w:b/>
                <w:color w:val="000000"/>
                <w:sz w:val="16"/>
              </w:rPr>
              <w:t>(122,866)</w:t>
            </w:r>
          </w:p>
        </w:tc>
        <w:tc>
          <w:tcPr>
            <w:tcW w:w="941"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000000"/>
                <w:sz w:val="16"/>
              </w:rPr>
            </w:pPr>
            <w:r>
              <w:rPr>
                <w:rFonts w:ascii="Roboto;sans-serif" w:hAnsi="Roboto;sans-serif"/>
                <w:b/>
                <w:color w:val="000000"/>
                <w:sz w:val="16"/>
              </w:rPr>
              <w:t>(118,070)</w:t>
            </w:r>
          </w:p>
        </w:tc>
        <w:tc>
          <w:tcPr>
            <w:tcW w:w="950"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(110,936)</w:t>
            </w:r>
          </w:p>
        </w:tc>
        <w:tc>
          <w:tcPr>
            <w:tcW w:w="1039"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6"/>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Adjusted EBIT</w:t>
            </w:r>
          </w:p>
        </w:tc>
        <w:tc>
          <w:tcPr>
            <w:tcW w:w="1126" w:type="dxa"/>
            <w:gridSpan w:val="2"/>
            <w:tcBorders>
              <w:top w:val="single" w:sz="8"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pPr>
            <w:r>
              <w:rPr>
                <w:rFonts w:ascii="Roboto;sans-serif" w:hAnsi="Roboto;sans-serif"/>
                <w:b/>
                <w:color w:val="000000"/>
                <w:sz w:val="16"/>
              </w:rPr>
              <w:t>543,447</w:t>
            </w:r>
            <w:r>
              <w:rPr>
                <w:color w:val="000000"/>
              </w:rPr>
              <w:t> </w:t>
            </w:r>
          </w:p>
        </w:tc>
        <w:tc>
          <w:tcPr>
            <w:tcW w:w="941" w:type="dxa"/>
            <w:tcBorders>
              <w:top w:val="single" w:sz="8" w:space="0" w:color="1946C8"/>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pPr>
            <w:r>
              <w:rPr>
                <w:rFonts w:ascii="Roboto;sans-serif" w:hAnsi="Roboto;sans-serif"/>
                <w:b/>
                <w:color w:val="000000"/>
                <w:sz w:val="16"/>
              </w:rPr>
              <w:t>602,176</w:t>
            </w:r>
            <w:r>
              <w:rPr>
                <w:color w:val="000000"/>
              </w:rPr>
              <w:t> </w:t>
            </w:r>
          </w:p>
        </w:tc>
        <w:tc>
          <w:tcPr>
            <w:tcW w:w="950" w:type="dxa"/>
            <w:tcBorders>
              <w:top w:val="single" w:sz="8" w:space="0" w:color="1946C8"/>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1946C8"/>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735,109 </w:t>
            </w:r>
          </w:p>
        </w:tc>
        <w:tc>
          <w:tcPr>
            <w:tcW w:w="1039" w:type="dxa"/>
            <w:tcBorders>
              <w:top w:val="single" w:sz="8" w:space="0" w:color="1946C8"/>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6"/>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Total Revenue</w:t>
            </w:r>
          </w:p>
        </w:tc>
        <w:tc>
          <w:tcPr>
            <w:tcW w:w="1126" w:type="dxa"/>
            <w:gridSpan w:val="2"/>
            <w:tcBorders/>
            <w:shd w:fill="ECF8FE" w:val="clear"/>
            <w:tcMar>
              <w:top w:w="0" w:type="dxa"/>
              <w:left w:w="0" w:type="dxa"/>
              <w:bottom w:w="0" w:type="dxa"/>
              <w:right w:w="0" w:type="dxa"/>
            </w:tcMar>
            <w:vAlign w:val="center"/>
          </w:tcPr>
          <w:p>
            <w:pPr>
              <w:pStyle w:val="TableContents"/>
              <w:bidi w:val="0"/>
              <w:spacing w:lineRule="auto" w:line="312" w:before="0" w:after="283"/>
              <w:jc w:val="right"/>
              <w:rPr/>
            </w:pPr>
            <w:r>
              <w:rPr>
                <w:rFonts w:ascii="Roboto;sans-serif" w:hAnsi="Roboto;sans-serif"/>
                <w:b/>
                <w:color w:val="000000"/>
                <w:sz w:val="16"/>
              </w:rPr>
              <w:t>6,053,414</w:t>
            </w:r>
            <w:r>
              <w:rPr>
                <w:color w:val="000000"/>
              </w:rPr>
              <w:t> </w:t>
            </w:r>
          </w:p>
        </w:tc>
        <w:tc>
          <w:tcPr>
            <w:tcW w:w="941"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CF8FE" w:val="clear"/>
            <w:tcMar>
              <w:top w:w="0" w:type="dxa"/>
              <w:left w:w="0" w:type="dxa"/>
              <w:bottom w:w="0" w:type="dxa"/>
              <w:right w:w="0" w:type="dxa"/>
            </w:tcMar>
            <w:vAlign w:val="center"/>
          </w:tcPr>
          <w:p>
            <w:pPr>
              <w:pStyle w:val="TableContents"/>
              <w:bidi w:val="0"/>
              <w:spacing w:lineRule="auto" w:line="312" w:before="0" w:after="283"/>
              <w:jc w:val="right"/>
              <w:rPr/>
            </w:pPr>
            <w:r>
              <w:rPr>
                <w:rFonts w:ascii="Roboto;sans-serif" w:hAnsi="Roboto;sans-serif"/>
                <w:b/>
                <w:color w:val="000000"/>
                <w:sz w:val="16"/>
              </w:rPr>
              <w:t>5,933,450</w:t>
            </w:r>
            <w:r>
              <w:rPr>
                <w:color w:val="000000"/>
              </w:rPr>
              <w:t> </w:t>
            </w:r>
          </w:p>
        </w:tc>
        <w:tc>
          <w:tcPr>
            <w:tcW w:w="950"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6,159,291 </w:t>
            </w:r>
          </w:p>
        </w:tc>
        <w:tc>
          <w:tcPr>
            <w:tcW w:w="1039"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6"/>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Adjusted EBIT Margin</w:t>
            </w:r>
          </w:p>
        </w:tc>
        <w:tc>
          <w:tcPr>
            <w:tcW w:w="1126" w:type="dxa"/>
            <w:gridSpan w:val="2"/>
            <w:tcBorders>
              <w:top w:val="single" w:sz="8" w:space="0" w:color="1946C8"/>
              <w:bottom w:val="single" w:sz="12" w:space="0" w:color="E81111"/>
            </w:tcBorders>
            <w:shd w:fill="FFFFFF" w:val="clear"/>
            <w:tcMar>
              <w:top w:w="30" w:type="dxa"/>
              <w:left w:w="0" w:type="dxa"/>
              <w:bottom w:w="30" w:type="dxa"/>
              <w:right w:w="0" w:type="dxa"/>
            </w:tcMar>
            <w:vAlign w:val="center"/>
          </w:tcPr>
          <w:p>
            <w:pPr>
              <w:pStyle w:val="TableContents"/>
              <w:bidi w:val="0"/>
              <w:spacing w:lineRule="auto" w:line="312" w:before="0" w:after="283"/>
              <w:jc w:val="right"/>
              <w:rPr/>
            </w:pPr>
            <w:r>
              <w:rPr>
                <w:rFonts w:ascii="Roboto;sans-serif" w:hAnsi="Roboto;sans-serif"/>
                <w:b/>
                <w:color w:val="000000"/>
                <w:sz w:val="16"/>
              </w:rPr>
              <w:t>9</w:t>
            </w:r>
            <w:r>
              <w:rPr>
                <w:color w:val="000000"/>
              </w:rPr>
              <w:t> </w:t>
            </w:r>
          </w:p>
        </w:tc>
        <w:tc>
          <w:tcPr>
            <w:tcW w:w="941" w:type="dxa"/>
            <w:tcBorders>
              <w:top w:val="single" w:sz="8" w:space="0" w:color="1946C8"/>
              <w:bottom w:val="single" w:sz="12" w:space="0" w:color="E81111"/>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Roboto;sans-serif" w:hAnsi="Roboto;sans-serif"/>
                <w:b/>
                <w:color w:val="000000"/>
                <w:sz w:val="16"/>
              </w:rPr>
            </w:pPr>
            <w:r>
              <w:rPr>
                <w:rFonts w:ascii="Roboto;sans-serif" w:hAnsi="Roboto;sans-serif"/>
                <w:b/>
                <w:color w:val="000000"/>
                <w:sz w:val="16"/>
              </w:rPr>
              <w:t>%</w:t>
            </w:r>
          </w:p>
        </w:tc>
        <w:tc>
          <w:tcPr>
            <w:tcW w:w="1126" w:type="dxa"/>
            <w:gridSpan w:val="2"/>
            <w:tcBorders>
              <w:top w:val="single" w:sz="8" w:space="0" w:color="1946C8"/>
              <w:bottom w:val="single" w:sz="12" w:space="0" w:color="E81111"/>
            </w:tcBorders>
            <w:shd w:fill="FFFFFF" w:val="clear"/>
            <w:tcMar>
              <w:top w:w="30" w:type="dxa"/>
              <w:left w:w="0" w:type="dxa"/>
              <w:bottom w:w="30" w:type="dxa"/>
              <w:right w:w="0" w:type="dxa"/>
            </w:tcMar>
            <w:vAlign w:val="center"/>
          </w:tcPr>
          <w:p>
            <w:pPr>
              <w:pStyle w:val="TableContents"/>
              <w:bidi w:val="0"/>
              <w:spacing w:lineRule="auto" w:line="312" w:before="0" w:after="283"/>
              <w:jc w:val="right"/>
              <w:rPr/>
            </w:pPr>
            <w:r>
              <w:rPr>
                <w:rFonts w:ascii="Roboto;sans-serif" w:hAnsi="Roboto;sans-serif"/>
                <w:b/>
                <w:color w:val="000000"/>
                <w:sz w:val="16"/>
              </w:rPr>
              <w:t>10</w:t>
            </w:r>
            <w:r>
              <w:rPr>
                <w:color w:val="000000"/>
              </w:rPr>
              <w:t> </w:t>
            </w:r>
          </w:p>
        </w:tc>
        <w:tc>
          <w:tcPr>
            <w:tcW w:w="950" w:type="dxa"/>
            <w:tcBorders>
              <w:top w:val="single" w:sz="8" w:space="0" w:color="1946C8"/>
              <w:bottom w:val="single" w:sz="12" w:space="0" w:color="E81111"/>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Roboto;sans-serif" w:hAnsi="Roboto;sans-serif"/>
                <w:b/>
                <w:color w:val="000000"/>
                <w:sz w:val="16"/>
              </w:rPr>
            </w:pPr>
            <w:r>
              <w:rPr>
                <w:rFonts w:ascii="Roboto;sans-serif" w:hAnsi="Roboto;sans-serif"/>
                <w:b/>
                <w:color w:val="000000"/>
                <w:sz w:val="16"/>
              </w:rPr>
              <w:t>%</w:t>
            </w:r>
          </w:p>
        </w:tc>
        <w:tc>
          <w:tcPr>
            <w:tcW w:w="976" w:type="dxa"/>
            <w:gridSpan w:val="2"/>
            <w:tcBorders>
              <w:top w:val="single" w:sz="8" w:space="0" w:color="1946C8"/>
              <w:bottom w:val="single" w:sz="12" w:space="0" w:color="E81111"/>
            </w:tcBorders>
            <w:shd w:fill="FFFFFF" w:val="clear"/>
            <w:tcMar>
              <w:top w:w="30" w:type="dxa"/>
              <w:left w:w="0" w:type="dxa"/>
              <w:bottom w:w="30" w:type="dxa"/>
              <w:right w:w="0" w:type="dxa"/>
            </w:tcMar>
            <w:vAlign w:val="center"/>
          </w:tcPr>
          <w:p>
            <w:pPr>
              <w:pStyle w:val="TableContents"/>
              <w:bidi w:val="0"/>
              <w:spacing w:lineRule="auto" w:line="312" w:before="0" w:after="283"/>
              <w:jc w:val="right"/>
              <w:rPr/>
            </w:pPr>
            <w:r>
              <w:rPr>
                <w:rFonts w:ascii="Roboto;sans-serif" w:hAnsi="Roboto;sans-serif"/>
                <w:b/>
                <w:color w:val="000000"/>
                <w:sz w:val="16"/>
              </w:rPr>
              <w:t>12</w:t>
            </w:r>
            <w:r>
              <w:rPr>
                <w:color w:val="000000"/>
              </w:rPr>
              <w:t> </w:t>
            </w:r>
          </w:p>
        </w:tc>
        <w:tc>
          <w:tcPr>
            <w:tcW w:w="1039" w:type="dxa"/>
            <w:tcBorders>
              <w:top w:val="single" w:sz="8" w:space="0" w:color="1946C8"/>
              <w:bottom w:val="single" w:sz="12" w:space="0" w:color="E81111"/>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Roboto;sans-serif" w:hAnsi="Roboto;sans-serif"/>
                <w:b/>
                <w:color w:val="000000"/>
                <w:sz w:val="16"/>
              </w:rPr>
            </w:pPr>
            <w:r>
              <w:rPr>
                <w:rFonts w:ascii="Roboto;sans-serif" w:hAnsi="Roboto;sans-serif"/>
                <w:b/>
                <w:color w:val="000000"/>
                <w:sz w:val="16"/>
              </w:rPr>
              <w:t>%</w:t>
            </w:r>
          </w:p>
        </w:tc>
      </w:tr>
    </w:tbl>
    <w:p>
      <w:pPr>
        <w:pStyle w:val="TextBody"/>
        <w:bidi w:val="0"/>
        <w:spacing w:before="0" w:after="0"/>
        <w:jc w:val="left"/>
        <w:rPr/>
      </w:pPr>
      <w:r>
        <w:rPr/>
      </w:r>
    </w:p>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Return on Invested Capital (“ROIC”)</w:t>
      </w:r>
    </w:p>
    <w:p>
      <w:pPr>
        <w:pStyle w:val="TextBody"/>
        <w:bidi w:val="0"/>
        <w:spacing w:lineRule="atLeast" w:line="240" w:before="0" w:after="180"/>
        <w:jc w:val="left"/>
        <w:rPr>
          <w:rFonts w:ascii="Roboto Light;sans-serif" w:hAnsi="Roboto Light;sans-serif"/>
          <w:b w:val="false"/>
          <w:color w:val="000000"/>
          <w:sz w:val="18"/>
        </w:rPr>
      </w:pPr>
      <w:r>
        <w:rPr>
          <w:rFonts w:ascii="Roboto Light;sans-serif" w:hAnsi="Roboto Light;sans-serif"/>
          <w:b w:val="false"/>
          <w:color w:val="000000"/>
          <w:sz w:val="18"/>
        </w:rPr>
        <w:t>The following table provides reconciliations of net income to ROIC for the periods presented (amounts in thousands):</w:t>
      </w:r>
    </w:p>
    <w:tbl>
      <w:tblPr>
        <w:tblW w:w="9048" w:type="dxa"/>
        <w:jc w:val="left"/>
        <w:tblInd w:w="0" w:type="dxa"/>
        <w:tblLayout w:type="fixed"/>
        <w:tblCellMar>
          <w:top w:w="28" w:type="dxa"/>
          <w:left w:w="28" w:type="dxa"/>
          <w:bottom w:w="28" w:type="dxa"/>
          <w:right w:w="28" w:type="dxa"/>
        </w:tblCellMar>
      </w:tblPr>
      <w:tblGrid>
        <w:gridCol w:w="1014"/>
        <w:gridCol w:w="892"/>
        <w:gridCol w:w="892"/>
        <w:gridCol w:w="892"/>
        <w:gridCol w:w="892"/>
        <w:gridCol w:w="908"/>
        <w:gridCol w:w="377"/>
        <w:gridCol w:w="377"/>
        <w:gridCol w:w="940"/>
        <w:gridCol w:w="380"/>
        <w:gridCol w:w="380"/>
        <w:gridCol w:w="950"/>
        <w:gridCol w:w="154"/>
      </w:tblGrid>
      <w:tr>
        <w:trPr/>
        <w:tc>
          <w:tcPr>
            <w:tcW w:w="101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6"/>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6"/>
            <w:tcBorders/>
            <w:shd w:fill="1946C8"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color w:val="FFFFFF"/>
                <w:sz w:val="16"/>
              </w:rPr>
            </w:pPr>
            <w:r>
              <w:rPr>
                <w:rFonts w:ascii="Roboto;sans-serif" w:hAnsi="Roboto;sans-serif"/>
                <w:b/>
                <w:color w:val="FFFFFF"/>
                <w:sz w:val="16"/>
              </w:rPr>
              <w:t>Fiscal Year Ended</w:t>
            </w:r>
          </w:p>
        </w:tc>
        <w:tc>
          <w:tcPr>
            <w:tcW w:w="154" w:type="dxa"/>
            <w:tcBorders/>
          </w:tcPr>
          <w:p>
            <w:pPr>
              <w:pStyle w:val="TableContents"/>
              <w:bidi w:val="0"/>
              <w:spacing w:before="0" w:after="283"/>
              <w:jc w:val="left"/>
              <w:rPr>
                <w:sz w:val="4"/>
                <w:szCs w:val="4"/>
              </w:rPr>
            </w:pPr>
            <w:r>
              <w:rPr>
                <w:sz w:val="4"/>
                <w:szCs w:val="4"/>
              </w:rPr>
            </w:r>
          </w:p>
        </w:tc>
      </w:tr>
      <w:tr>
        <w:trPr/>
        <w:tc>
          <w:tcPr>
            <w:tcW w:w="2798"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January 31, 2026</w:t>
            </w:r>
          </w:p>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w:t>
            </w:r>
          </w:p>
        </w:tc>
        <w:tc>
          <w:tcPr>
            <w:tcW w:w="1710"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6"/>
              </w:rPr>
            </w:pPr>
            <w:r>
              <w:rPr>
                <w:rFonts w:ascii="Roboto;sans-serif" w:hAnsi="Roboto;sans-serif"/>
                <w:b/>
                <w:color w:val="FFFFFF"/>
                <w:sz w:val="16"/>
              </w:rPr>
              <w:t>February 1, 2025</w:t>
              <w:b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6"/>
            <w:tcBorders/>
            <w:shd w:fill="ECF8FE" w:val="clear"/>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val="false"/>
                <w:color w:val="000000"/>
                <w:sz w:val="16"/>
              </w:rPr>
              <w:t>Net income</w:t>
            </w:r>
            <w:r>
              <w:rPr>
                <w:rFonts w:ascii="Roboto;sans-serif" w:hAnsi="Roboto;sans-serif"/>
                <w:b w:val="false"/>
                <w:color w:val="000000"/>
                <w:sz w:val="10"/>
              </w:rPr>
              <w:t>(a)</w:t>
            </w:r>
          </w:p>
        </w:tc>
        <w:tc>
          <w:tcPr>
            <w:tcW w:w="1694"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000000"/>
                <w:sz w:val="16"/>
              </w:rPr>
            </w:pPr>
            <w:r>
              <w:rPr>
                <w:rFonts w:ascii="Roboto;sans-serif" w:hAnsi="Roboto;sans-serif"/>
                <w:b/>
                <w:color w:val="000000"/>
                <w:sz w:val="16"/>
              </w:rPr>
              <w:t>376,768</w:t>
            </w:r>
          </w:p>
        </w:tc>
        <w:tc>
          <w:tcPr>
            <w:tcW w:w="1710"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000000"/>
                <w:sz w:val="16"/>
              </w:rPr>
            </w:pPr>
            <w:r>
              <w:rPr>
                <w:rFonts w:ascii="Roboto;sans-serif" w:hAnsi="Roboto;sans-serif"/>
                <w:b/>
                <w:color w:val="000000"/>
                <w:sz w:val="16"/>
              </w:rPr>
              <w:t>418,447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Interest expense, net</w:t>
            </w:r>
          </w:p>
        </w:tc>
        <w:tc>
          <w:tcPr>
            <w:tcW w:w="169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000000"/>
                <w:sz w:val="16"/>
              </w:rPr>
            </w:pPr>
            <w:r>
              <w:rPr>
                <w:rFonts w:ascii="Roboto;sans-serif" w:hAnsi="Roboto;sans-serif"/>
                <w:b/>
                <w:color w:val="000000"/>
                <w:sz w:val="16"/>
              </w:rPr>
              <w:t>36,214</w:t>
            </w:r>
          </w:p>
        </w:tc>
        <w:tc>
          <w:tcPr>
            <w:tcW w:w="171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000000"/>
                <w:sz w:val="16"/>
              </w:rPr>
            </w:pPr>
            <w:r>
              <w:rPr>
                <w:rFonts w:ascii="Roboto;sans-serif" w:hAnsi="Roboto;sans-serif"/>
                <w:b/>
                <w:color w:val="000000"/>
                <w:sz w:val="16"/>
              </w:rPr>
              <w:t>36,873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6"/>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Income tax expense</w:t>
            </w:r>
          </w:p>
        </w:tc>
        <w:tc>
          <w:tcPr>
            <w:tcW w:w="1694"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000000"/>
                <w:sz w:val="16"/>
              </w:rPr>
            </w:pPr>
            <w:r>
              <w:rPr>
                <w:rFonts w:ascii="Roboto;sans-serif" w:hAnsi="Roboto;sans-serif"/>
                <w:b/>
                <w:color w:val="000000"/>
                <w:sz w:val="16"/>
              </w:rPr>
              <w:t>109,289</w:t>
            </w:r>
          </w:p>
        </w:tc>
        <w:tc>
          <w:tcPr>
            <w:tcW w:w="1710"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000000"/>
                <w:sz w:val="16"/>
              </w:rPr>
            </w:pPr>
            <w:r>
              <w:rPr>
                <w:rFonts w:ascii="Roboto;sans-serif" w:hAnsi="Roboto;sans-serif"/>
                <w:b/>
                <w:color w:val="000000"/>
                <w:sz w:val="16"/>
              </w:rPr>
              <w:t>119,778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Depreciation and amortization</w:t>
            </w:r>
          </w:p>
        </w:tc>
        <w:tc>
          <w:tcPr>
            <w:tcW w:w="169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000000"/>
                <w:sz w:val="16"/>
              </w:rPr>
            </w:pPr>
            <w:r>
              <w:rPr>
                <w:rFonts w:ascii="Roboto;sans-serif" w:hAnsi="Roboto;sans-serif"/>
                <w:b/>
                <w:color w:val="000000"/>
                <w:sz w:val="16"/>
              </w:rPr>
              <w:t>122,866</w:t>
            </w:r>
          </w:p>
        </w:tc>
        <w:tc>
          <w:tcPr>
            <w:tcW w:w="171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000000"/>
                <w:sz w:val="16"/>
              </w:rPr>
            </w:pPr>
            <w:r>
              <w:rPr>
                <w:rFonts w:ascii="Roboto;sans-serif" w:hAnsi="Roboto;sans-serif"/>
                <w:b/>
                <w:color w:val="000000"/>
                <w:sz w:val="16"/>
              </w:rPr>
              <w:t>118,070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6"/>
            <w:tcBorders/>
            <w:shd w:fill="ECF8FE" w:val="clear"/>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val="false"/>
                <w:color w:val="000000"/>
                <w:sz w:val="16"/>
              </w:rPr>
              <w:t>Equity compensation</w:t>
            </w:r>
            <w:r>
              <w:rPr>
                <w:rFonts w:ascii="Roboto;sans-serif" w:hAnsi="Roboto;sans-serif"/>
                <w:b w:val="false"/>
                <w:color w:val="000000"/>
                <w:sz w:val="10"/>
              </w:rPr>
              <w:t>(b)</w:t>
            </w:r>
          </w:p>
        </w:tc>
        <w:tc>
          <w:tcPr>
            <w:tcW w:w="1694"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000000"/>
                <w:sz w:val="16"/>
              </w:rPr>
            </w:pPr>
            <w:r>
              <w:rPr>
                <w:rFonts w:ascii="Roboto;sans-serif" w:hAnsi="Roboto;sans-serif"/>
                <w:b/>
                <w:color w:val="000000"/>
                <w:sz w:val="16"/>
              </w:rPr>
              <w:t>21,176</w:t>
            </w:r>
          </w:p>
        </w:tc>
        <w:tc>
          <w:tcPr>
            <w:tcW w:w="1710"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000000"/>
                <w:sz w:val="16"/>
              </w:rPr>
            </w:pPr>
            <w:r>
              <w:rPr>
                <w:rFonts w:ascii="Roboto;sans-serif" w:hAnsi="Roboto;sans-serif"/>
                <w:b/>
                <w:color w:val="000000"/>
                <w:sz w:val="16"/>
              </w:rPr>
              <w:t>26,629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Write-off of deferred loan costs</w:t>
            </w:r>
          </w:p>
        </w:tc>
        <w:tc>
          <w:tcPr>
            <w:tcW w:w="1694" w:type="dxa"/>
            <w:gridSpan w:val="3"/>
            <w:tcBorders/>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71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000000"/>
                <w:sz w:val="16"/>
              </w:rPr>
            </w:pPr>
            <w:r>
              <w:rPr>
                <w:rFonts w:ascii="Roboto;sans-serif" w:hAnsi="Roboto;sans-serif"/>
                <w:b/>
                <w:color w:val="000000"/>
                <w:sz w:val="16"/>
              </w:rPr>
              <w:t>449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6"/>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Lease expense</w:t>
            </w:r>
          </w:p>
        </w:tc>
        <w:tc>
          <w:tcPr>
            <w:tcW w:w="1694"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000000"/>
                <w:sz w:val="16"/>
              </w:rPr>
            </w:pPr>
            <w:r>
              <w:rPr>
                <w:rFonts w:ascii="Roboto;sans-serif" w:hAnsi="Roboto;sans-serif"/>
                <w:b/>
                <w:color w:val="000000"/>
                <w:sz w:val="16"/>
              </w:rPr>
              <w:t>251,851</w:t>
            </w:r>
          </w:p>
        </w:tc>
        <w:tc>
          <w:tcPr>
            <w:tcW w:w="1710"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000000"/>
                <w:sz w:val="16"/>
              </w:rPr>
            </w:pPr>
            <w:r>
              <w:rPr>
                <w:rFonts w:ascii="Roboto;sans-serif" w:hAnsi="Roboto;sans-serif"/>
                <w:b/>
                <w:color w:val="000000"/>
                <w:sz w:val="16"/>
              </w:rPr>
              <w:t>232,683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Adjusted EBITDA before lease expense</w:t>
            </w:r>
          </w:p>
        </w:tc>
        <w:tc>
          <w:tcPr>
            <w:tcW w:w="169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000000"/>
                <w:sz w:val="16"/>
              </w:rPr>
            </w:pPr>
            <w:r>
              <w:rPr>
                <w:rFonts w:ascii="Roboto;sans-serif" w:hAnsi="Roboto;sans-serif"/>
                <w:b/>
                <w:color w:val="000000"/>
                <w:sz w:val="16"/>
              </w:rPr>
              <w:t>918,164</w:t>
            </w:r>
          </w:p>
        </w:tc>
        <w:tc>
          <w:tcPr>
            <w:tcW w:w="171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000000"/>
                <w:sz w:val="16"/>
              </w:rPr>
            </w:pPr>
            <w:r>
              <w:rPr>
                <w:rFonts w:ascii="Roboto;sans-serif" w:hAnsi="Roboto;sans-serif"/>
                <w:b/>
                <w:color w:val="000000"/>
                <w:sz w:val="16"/>
              </w:rPr>
              <w:t>952,929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6"/>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Less: Income tax expense</w:t>
            </w:r>
          </w:p>
        </w:tc>
        <w:tc>
          <w:tcPr>
            <w:tcW w:w="1694"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000000"/>
                <w:sz w:val="16"/>
              </w:rPr>
            </w:pPr>
            <w:r>
              <w:rPr>
                <w:rFonts w:ascii="Roboto;sans-serif" w:hAnsi="Roboto;sans-serif"/>
                <w:b/>
                <w:color w:val="000000"/>
                <w:sz w:val="16"/>
              </w:rPr>
              <w:t>(109,289)</w:t>
            </w:r>
          </w:p>
        </w:tc>
        <w:tc>
          <w:tcPr>
            <w:tcW w:w="1710"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000000"/>
                <w:sz w:val="16"/>
              </w:rPr>
            </w:pPr>
            <w:r>
              <w:rPr>
                <w:rFonts w:ascii="Roboto;sans-serif" w:hAnsi="Roboto;sans-serif"/>
                <w:b/>
                <w:color w:val="000000"/>
                <w:sz w:val="16"/>
              </w:rPr>
              <w:t>(119,778)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Adjusted EBITDA before lease expense less income tax expense</w:t>
            </w:r>
          </w:p>
        </w:tc>
        <w:tc>
          <w:tcPr>
            <w:tcW w:w="1694" w:type="dxa"/>
            <w:gridSpan w:val="3"/>
            <w:tcBorders>
              <w:top w:val="single" w:sz="8"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000000"/>
                <w:sz w:val="16"/>
              </w:rPr>
            </w:pPr>
            <w:r>
              <w:rPr>
                <w:rFonts w:ascii="Roboto;sans-serif" w:hAnsi="Roboto;sans-serif"/>
                <w:b/>
                <w:color w:val="000000"/>
                <w:sz w:val="16"/>
              </w:rPr>
              <w:t>808,875</w:t>
            </w:r>
          </w:p>
        </w:tc>
        <w:tc>
          <w:tcPr>
            <w:tcW w:w="1710" w:type="dxa"/>
            <w:gridSpan w:val="3"/>
            <w:tcBorders>
              <w:top w:val="single" w:sz="8" w:space="0" w:color="1946C8"/>
            </w:tcBorders>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000000"/>
                <w:sz w:val="16"/>
              </w:rPr>
            </w:pPr>
            <w:r>
              <w:rPr>
                <w:rFonts w:ascii="Roboto;sans-serif" w:hAnsi="Roboto;sans-serif"/>
                <w:b/>
                <w:color w:val="000000"/>
                <w:sz w:val="16"/>
              </w:rPr>
              <w:t>833,151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6"/>
            <w:tcBorders/>
            <w:shd w:fill="ECF8FE"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Average invested capital</w:t>
            </w:r>
          </w:p>
        </w:tc>
        <w:tc>
          <w:tcPr>
            <w:tcW w:w="1694"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000000"/>
                <w:sz w:val="16"/>
              </w:rPr>
            </w:pPr>
            <w:r>
              <w:rPr>
                <w:rFonts w:ascii="Roboto;sans-serif" w:hAnsi="Roboto;sans-serif"/>
                <w:b/>
                <w:color w:val="000000"/>
                <w:sz w:val="16"/>
              </w:rPr>
              <w:t>4,087,727</w:t>
            </w:r>
          </w:p>
        </w:tc>
        <w:tc>
          <w:tcPr>
            <w:tcW w:w="1710" w:type="dxa"/>
            <w:gridSpan w:val="3"/>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000000"/>
                <w:sz w:val="16"/>
              </w:rPr>
            </w:pPr>
            <w:r>
              <w:rPr>
                <w:rFonts w:ascii="Roboto;sans-serif" w:hAnsi="Roboto;sans-serif"/>
                <w:b/>
                <w:color w:val="000000"/>
                <w:sz w:val="16"/>
              </w:rPr>
              <w:t>3,624,592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6"/>
            <w:tcBorders>
              <w:bottom w:val="single" w:sz="12" w:space="0" w:color="E81111"/>
            </w:tcBorders>
            <w:tcMar>
              <w:top w:w="0" w:type="dxa"/>
              <w:left w:w="0" w:type="dxa"/>
              <w:bottom w:w="3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Return on Invested Capital</w:t>
            </w:r>
          </w:p>
        </w:tc>
        <w:tc>
          <w:tcPr>
            <w:tcW w:w="754" w:type="dxa"/>
            <w:gridSpan w:val="2"/>
            <w:tcBorders>
              <w:top w:val="single" w:sz="8"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right"/>
              <w:rPr/>
            </w:pPr>
            <w:r>
              <w:rPr>
                <w:rFonts w:ascii="Roboto;sans-serif" w:hAnsi="Roboto;sans-serif"/>
                <w:b/>
                <w:color w:val="000000"/>
                <w:sz w:val="16"/>
              </w:rPr>
              <w:t>20</w:t>
            </w:r>
            <w:r>
              <w:rPr>
                <w:color w:val="000000"/>
              </w:rPr>
              <w:t> </w:t>
            </w:r>
          </w:p>
        </w:tc>
        <w:tc>
          <w:tcPr>
            <w:tcW w:w="940" w:type="dxa"/>
            <w:tcBorders>
              <w:top w:val="single" w:sz="8"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right"/>
              <w:rPr>
                <w:rFonts w:ascii="Roboto;sans-serif" w:hAnsi="Roboto;sans-serif"/>
                <w:b/>
                <w:color w:val="000000"/>
                <w:sz w:val="16"/>
              </w:rPr>
            </w:pPr>
            <w:r>
              <w:rPr>
                <w:rFonts w:ascii="Roboto;sans-serif" w:hAnsi="Roboto;sans-serif"/>
                <w:b/>
                <w:color w:val="000000"/>
                <w:sz w:val="16"/>
              </w:rPr>
              <w:t>%</w:t>
            </w:r>
          </w:p>
        </w:tc>
        <w:tc>
          <w:tcPr>
            <w:tcW w:w="760" w:type="dxa"/>
            <w:gridSpan w:val="2"/>
            <w:tcBorders>
              <w:top w:val="single" w:sz="8"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right"/>
              <w:rPr/>
            </w:pPr>
            <w:r>
              <w:rPr>
                <w:rFonts w:ascii="Roboto;sans-serif" w:hAnsi="Roboto;sans-serif"/>
                <w:b/>
                <w:color w:val="000000"/>
                <w:sz w:val="16"/>
              </w:rPr>
              <w:t>23</w:t>
            </w:r>
            <w:r>
              <w:rPr>
                <w:color w:val="000000"/>
              </w:rPr>
              <w:t> </w:t>
            </w:r>
          </w:p>
        </w:tc>
        <w:tc>
          <w:tcPr>
            <w:tcW w:w="950" w:type="dxa"/>
            <w:tcBorders>
              <w:top w:val="single" w:sz="8" w:space="0" w:color="1946C8"/>
              <w:bottom w:val="single" w:sz="12" w:space="0" w:color="E81111"/>
            </w:tcBorders>
            <w:tcMar>
              <w:top w:w="30" w:type="dxa"/>
              <w:left w:w="0" w:type="dxa"/>
              <w:bottom w:w="30" w:type="dxa"/>
              <w:right w:w="0" w:type="dxa"/>
            </w:tcMar>
            <w:vAlign w:val="center"/>
          </w:tcPr>
          <w:p>
            <w:pPr>
              <w:pStyle w:val="TableContents"/>
              <w:bidi w:val="0"/>
              <w:spacing w:lineRule="auto" w:line="312" w:before="0" w:after="283"/>
              <w:jc w:val="right"/>
              <w:rPr>
                <w:rFonts w:ascii="Roboto;sans-serif" w:hAnsi="Roboto;sans-serif"/>
                <w:b/>
                <w:color w:val="000000"/>
                <w:sz w:val="16"/>
              </w:rPr>
            </w:pPr>
            <w:r>
              <w:rPr>
                <w:rFonts w:ascii="Roboto;sans-serif" w:hAnsi="Roboto;sans-serif"/>
                <w:b/>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63525"/>
                <wp:effectExtent l="0" t="0" r="0" b="0"/>
                <wp:wrapNone/>
                <wp:docPr id="476" name="Frame96"/>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477"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Image290" descr=""/>
                                          <pic:cNvPicPr>
                                            <a:picLocks noChangeAspect="1" noChangeArrowheads="1"/>
                                          </pic:cNvPicPr>
                                        </pic:nvPicPr>
                                        <pic:blipFill>
                                          <a:blip r:embed="rId382"/>
                                          <a:stretch>
                                            <a:fillRect/>
                                          </a:stretch>
                                        </pic:blipFill>
                                        <pic:spPr bwMode="auto">
                                          <a:xfrm>
                                            <a:off x="0" y="0"/>
                                            <a:ext cx="266700" cy="200025"/>
                                          </a:xfrm>
                                          <a:prstGeom prst="rect">
                                            <a:avLst/>
                                          </a:prstGeom>
                                        </pic:spPr>
                                      </pic:pic>
                                    </a:graphicData>
                                  </a:graphic>
                                </wp:inline>
                              </w:drawing>
                            </w:r>
                            <w:bookmarkStart w:id="381" w:name="i-290"/>
                            <w:bookmarkEnd w:id="381"/>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478"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290" descr=""/>
                                    <pic:cNvPicPr>
                                      <a:picLocks noChangeAspect="1" noChangeArrowheads="1"/>
                                    </pic:cNvPicPr>
                                  </pic:nvPicPr>
                                  <pic:blipFill>
                                    <a:blip r:embed="rId383"/>
                                    <a:stretch>
                                      <a:fillRect/>
                                    </a:stretch>
                                  </pic:blipFill>
                                  <pic:spPr bwMode="auto">
                                    <a:xfrm>
                                      <a:off x="0" y="0"/>
                                      <a:ext cx="266700" cy="200025"/>
                                    </a:xfrm>
                                    <a:prstGeom prst="rect">
                                      <a:avLst/>
                                    </a:prstGeom>
                                  </pic:spPr>
                                </pic:pic>
                              </a:graphicData>
                            </a:graphic>
                          </wp:inline>
                        </w:drawing>
                      </w:r>
                      <w:bookmarkStart w:id="382" w:name="i-290"/>
                      <w:bookmarkEnd w:id="382"/>
                    </w:p>
                  </w:txbxContent>
                </v:textbox>
                <w10:wrap type="none"/>
              </v:rect>
            </w:pict>
          </mc:Fallback>
        </mc:AlternateContent>
      </w:r>
    </w:p>
    <w:tbl>
      <w:tblPr>
        <w:tblW w:w="5336" w:type="dxa"/>
        <w:jc w:val="left"/>
        <w:tblInd w:w="0" w:type="dxa"/>
        <w:tblLayout w:type="fixed"/>
        <w:tblCellMar>
          <w:top w:w="28" w:type="dxa"/>
          <w:left w:w="28" w:type="dxa"/>
          <w:bottom w:w="28" w:type="dxa"/>
          <w:right w:w="28" w:type="dxa"/>
        </w:tblCellMar>
      </w:tblPr>
      <w:tblGrid>
        <w:gridCol w:w="163"/>
        <w:gridCol w:w="143"/>
        <w:gridCol w:w="143"/>
        <w:gridCol w:w="109"/>
        <w:gridCol w:w="109"/>
        <w:gridCol w:w="109"/>
        <w:gridCol w:w="1333"/>
        <w:gridCol w:w="1333"/>
        <w:gridCol w:w="1894"/>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A-4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1946C8"/>
                <w:sz w:val="16"/>
              </w:rPr>
              <w:t>Academy Sports and Outdoors, Inc.</w:t>
            </w:r>
            <w:r>
              <w:rPr>
                <w:color w:val="1946C8"/>
              </w:rPr>
              <w:t xml:space="preserve"> </w:t>
            </w:r>
            <w:r>
              <w:rPr>
                <w:rFonts w:ascii="Helvetica;sans-serif" w:hAnsi="Helvetica;sans-serif"/>
                <w:b/>
                <w:color w:val="1946C8"/>
                <w:sz w:val="16"/>
              </w:rPr>
              <w:t xml:space="preserve">- </w:t>
            </w:r>
            <w:r>
              <w:rPr>
                <w:rFonts w:ascii="Helvetica;sans-serif" w:hAnsi="Helvetica;sans-serif"/>
                <w:b w:val="false"/>
                <w:color w:val="1946C8"/>
                <w:sz w:val="16"/>
              </w:rPr>
              <w:t>2026 Proxy Statement</w:t>
            </w:r>
          </w:p>
        </w:tc>
      </w:tr>
    </w:tbl>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 xml:space="preserve">Adjusted Pre-tax Net Income </w:t>
      </w:r>
    </w:p>
    <w:p>
      <w:pPr>
        <w:pStyle w:val="TextBody"/>
        <w:bidi w:val="0"/>
        <w:spacing w:lineRule="atLeast" w:line="220" w:before="0" w:after="180"/>
        <w:jc w:val="left"/>
        <w:rPr>
          <w:rFonts w:ascii="Roboto Light;sans-serif" w:hAnsi="Roboto Light;sans-serif"/>
          <w:b w:val="false"/>
          <w:color w:val="000000"/>
          <w:sz w:val="18"/>
        </w:rPr>
      </w:pPr>
      <w:r>
        <w:rPr>
          <w:rFonts w:ascii="Roboto Light;sans-serif" w:hAnsi="Roboto Light;sans-serif"/>
          <w:b w:val="false"/>
          <w:color w:val="000000"/>
          <w:sz w:val="18"/>
        </w:rPr>
        <w:t>The following table provides reconciliations of net income to Adjusted Pre-tax Net Income for the periods presented (amounts in thousands):</w:t>
      </w:r>
    </w:p>
    <w:tbl>
      <w:tblPr>
        <w:tblW w:w="7960" w:type="dxa"/>
        <w:jc w:val="left"/>
        <w:tblInd w:w="0" w:type="dxa"/>
        <w:tblLayout w:type="fixed"/>
        <w:tblCellMar>
          <w:top w:w="28" w:type="dxa"/>
          <w:left w:w="28" w:type="dxa"/>
          <w:bottom w:w="28" w:type="dxa"/>
          <w:right w:w="28" w:type="dxa"/>
        </w:tblCellMar>
      </w:tblPr>
      <w:tblGrid>
        <w:gridCol w:w="518"/>
        <w:gridCol w:w="456"/>
        <w:gridCol w:w="456"/>
        <w:gridCol w:w="456"/>
        <w:gridCol w:w="456"/>
        <w:gridCol w:w="461"/>
        <w:gridCol w:w="564"/>
        <w:gridCol w:w="564"/>
        <w:gridCol w:w="566"/>
        <w:gridCol w:w="569"/>
        <w:gridCol w:w="569"/>
        <w:gridCol w:w="571"/>
        <w:gridCol w:w="512"/>
        <w:gridCol w:w="512"/>
        <w:gridCol w:w="730"/>
      </w:tblGrid>
      <w:tr>
        <w:trPr/>
        <w:tc>
          <w:tcPr>
            <w:tcW w:w="51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2803" w:type="dxa"/>
            <w:gridSpan w:val="6"/>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7" w:type="dxa"/>
            <w:gridSpan w:val="9"/>
            <w:tcBorders/>
            <w:shd w:fill="1946C8"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color w:val="FFFFFF"/>
                <w:sz w:val="16"/>
              </w:rPr>
            </w:pPr>
            <w:r>
              <w:rPr>
                <w:rFonts w:ascii="Roboto;sans-serif" w:hAnsi="Roboto;sans-serif"/>
                <w:b/>
                <w:color w:val="FFFFFF"/>
                <w:sz w:val="16"/>
              </w:rPr>
              <w:t>Fiscal Year Ended</w:t>
            </w:r>
          </w:p>
        </w:tc>
      </w:tr>
      <w:tr>
        <w:trPr/>
        <w:tc>
          <w:tcPr>
            <w:tcW w:w="1430"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January 31, 2026</w:t>
            </w:r>
          </w:p>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w:t>
            </w:r>
          </w:p>
        </w:tc>
        <w:tc>
          <w:tcPr>
            <w:tcW w:w="1709"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6"/>
              </w:rPr>
            </w:pPr>
            <w:r>
              <w:rPr>
                <w:rFonts w:ascii="Roboto;sans-serif" w:hAnsi="Roboto;sans-serif"/>
                <w:b/>
                <w:color w:val="FFFFFF"/>
                <w:sz w:val="16"/>
              </w:rPr>
              <w:t>February 1, 2025</w:t>
              <w:br/>
              <w:t>($)</w:t>
            </w:r>
          </w:p>
        </w:tc>
        <w:tc>
          <w:tcPr>
            <w:tcW w:w="1754"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6"/>
              </w:rPr>
            </w:pPr>
            <w:r>
              <w:rPr>
                <w:rFonts w:ascii="Roboto;sans-serif" w:hAnsi="Roboto;sans-serif"/>
                <w:b/>
                <w:color w:val="FFFFFF"/>
                <w:sz w:val="16"/>
              </w:rPr>
              <w:t>February 3, 2024</w:t>
              <w:br/>
              <w:t>($)</w:t>
            </w:r>
          </w:p>
        </w:tc>
      </w:tr>
      <w:tr>
        <w:trPr/>
        <w:tc>
          <w:tcPr>
            <w:tcW w:w="2803" w:type="dxa"/>
            <w:gridSpan w:val="6"/>
            <w:tcBorders/>
            <w:shd w:fill="ECF8FE" w:val="clear"/>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val="false"/>
                <w:color w:val="000000"/>
                <w:sz w:val="16"/>
              </w:rPr>
              <w:t>Net income</w:t>
            </w:r>
            <w:r>
              <w:rPr>
                <w:rFonts w:ascii="Roboto;sans-serif" w:hAnsi="Roboto;sans-serif"/>
                <w:b w:val="false"/>
                <w:color w:val="000000"/>
                <w:sz w:val="10"/>
              </w:rPr>
              <w:t>(a)</w:t>
            </w:r>
          </w:p>
        </w:tc>
        <w:tc>
          <w:tcPr>
            <w:tcW w:w="1128" w:type="dxa"/>
            <w:gridSpan w:val="2"/>
            <w:tcBorders/>
            <w:shd w:fill="ECF8FE" w:val="clear"/>
            <w:tcMar>
              <w:top w:w="0" w:type="dxa"/>
              <w:left w:w="0" w:type="dxa"/>
              <w:bottom w:w="0" w:type="dxa"/>
              <w:right w:w="0" w:type="dxa"/>
            </w:tcMar>
            <w:vAlign w:val="center"/>
          </w:tcPr>
          <w:p>
            <w:pPr>
              <w:pStyle w:val="TableContents"/>
              <w:bidi w:val="0"/>
              <w:spacing w:lineRule="auto" w:line="312" w:before="0" w:after="283"/>
              <w:jc w:val="right"/>
              <w:rPr/>
            </w:pPr>
            <w:r>
              <w:rPr>
                <w:rFonts w:ascii="Roboto;sans-serif" w:hAnsi="Roboto;sans-serif"/>
                <w:b/>
                <w:color w:val="000000"/>
                <w:sz w:val="16"/>
              </w:rPr>
              <w:t>376,768</w:t>
            </w:r>
            <w:r>
              <w:rPr>
                <w:color w:val="000000"/>
              </w:rPr>
              <w:t> </w:t>
            </w:r>
          </w:p>
        </w:tc>
        <w:tc>
          <w:tcPr>
            <w:tcW w:w="566"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ECF8FE" w:val="clear"/>
            <w:tcMar>
              <w:top w:w="0" w:type="dxa"/>
              <w:left w:w="0" w:type="dxa"/>
              <w:bottom w:w="0" w:type="dxa"/>
              <w:right w:w="0" w:type="dxa"/>
            </w:tcMar>
            <w:vAlign w:val="center"/>
          </w:tcPr>
          <w:p>
            <w:pPr>
              <w:pStyle w:val="TableContents"/>
              <w:bidi w:val="0"/>
              <w:spacing w:lineRule="auto" w:line="312" w:before="0" w:after="283"/>
              <w:jc w:val="right"/>
              <w:rPr/>
            </w:pPr>
            <w:r>
              <w:rPr>
                <w:rFonts w:ascii="Roboto;sans-serif" w:hAnsi="Roboto;sans-serif"/>
                <w:b/>
                <w:color w:val="000000"/>
                <w:sz w:val="16"/>
              </w:rPr>
              <w:t>418,447</w:t>
            </w:r>
            <w:r>
              <w:rPr>
                <w:color w:val="000000"/>
              </w:rPr>
              <w:t> </w:t>
            </w:r>
          </w:p>
        </w:tc>
        <w:tc>
          <w:tcPr>
            <w:tcW w:w="571"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519,190 </w:t>
            </w:r>
          </w:p>
        </w:tc>
        <w:tc>
          <w:tcPr>
            <w:tcW w:w="730"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6"/>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Income tax expense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Roboto;sans-serif" w:hAnsi="Roboto;sans-serif"/>
                <w:b/>
                <w:color w:val="000000"/>
                <w:sz w:val="16"/>
              </w:rPr>
              <w:t>109,289</w:t>
            </w: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pPr>
            <w:r>
              <w:rPr>
                <w:rFonts w:ascii="Roboto;sans-serif" w:hAnsi="Roboto;sans-serif"/>
                <w:b/>
                <w:color w:val="000000"/>
                <w:sz w:val="16"/>
              </w:rPr>
              <w:t>119,778</w:t>
            </w:r>
            <w:r>
              <w:rPr>
                <w:color w:val="000000"/>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143,966 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6"/>
            <w:tcBorders/>
            <w:shd w:fill="ECF8FE" w:val="clear"/>
            <w:tcMar>
              <w:top w:w="0" w:type="dxa"/>
              <w:left w:w="0" w:type="dxa"/>
              <w:bottom w:w="0" w:type="dxa"/>
              <w:right w:w="0" w:type="dxa"/>
            </w:tcMar>
            <w:vAlign w:val="center"/>
          </w:tcPr>
          <w:p>
            <w:pPr>
              <w:pStyle w:val="TableContents"/>
              <w:bidi w:val="0"/>
              <w:spacing w:lineRule="auto" w:line="312" w:before="0" w:after="0"/>
              <w:jc w:val="left"/>
              <w:rPr/>
            </w:pPr>
            <w:r>
              <w:rPr>
                <w:rFonts w:ascii="Roboto;sans-serif" w:hAnsi="Roboto;sans-serif"/>
                <w:b w:val="false"/>
                <w:color w:val="000000"/>
                <w:sz w:val="16"/>
              </w:rPr>
              <w:t>Equity compensation</w:t>
            </w:r>
            <w:r>
              <w:rPr>
                <w:rFonts w:ascii="Roboto;sans-serif" w:hAnsi="Roboto;sans-serif"/>
                <w:b w:val="false"/>
                <w:color w:val="000000"/>
                <w:sz w:val="10"/>
              </w:rPr>
              <w:t>(b)</w:t>
            </w:r>
          </w:p>
        </w:tc>
        <w:tc>
          <w:tcPr>
            <w:tcW w:w="1128" w:type="dxa"/>
            <w:gridSpan w:val="2"/>
            <w:tcBorders/>
            <w:shd w:fill="ECF8FE" w:val="clear"/>
            <w:tcMar>
              <w:top w:w="0" w:type="dxa"/>
              <w:left w:w="0" w:type="dxa"/>
              <w:bottom w:w="0" w:type="dxa"/>
              <w:right w:w="0" w:type="dxa"/>
            </w:tcMar>
            <w:vAlign w:val="center"/>
          </w:tcPr>
          <w:p>
            <w:pPr>
              <w:pStyle w:val="TableContents"/>
              <w:bidi w:val="0"/>
              <w:spacing w:lineRule="auto" w:line="312" w:before="0" w:after="283"/>
              <w:jc w:val="right"/>
              <w:rPr/>
            </w:pPr>
            <w:r>
              <w:rPr>
                <w:rFonts w:ascii="Roboto;sans-serif" w:hAnsi="Roboto;sans-serif"/>
                <w:b/>
                <w:color w:val="000000"/>
                <w:sz w:val="16"/>
              </w:rPr>
              <w:t>21,176</w:t>
            </w:r>
            <w:r>
              <w:rPr>
                <w:color w:val="000000"/>
              </w:rPr>
              <w:t> </w:t>
            </w:r>
          </w:p>
        </w:tc>
        <w:tc>
          <w:tcPr>
            <w:tcW w:w="566"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ECF8FE" w:val="clear"/>
            <w:tcMar>
              <w:top w:w="0" w:type="dxa"/>
              <w:left w:w="0" w:type="dxa"/>
              <w:bottom w:w="0" w:type="dxa"/>
              <w:right w:w="0" w:type="dxa"/>
            </w:tcMar>
            <w:vAlign w:val="center"/>
          </w:tcPr>
          <w:p>
            <w:pPr>
              <w:pStyle w:val="TableContents"/>
              <w:bidi w:val="0"/>
              <w:spacing w:lineRule="auto" w:line="312" w:before="0" w:after="283"/>
              <w:jc w:val="right"/>
              <w:rPr/>
            </w:pPr>
            <w:r>
              <w:rPr>
                <w:rFonts w:ascii="Roboto;sans-serif" w:hAnsi="Roboto;sans-serif"/>
                <w:b/>
                <w:color w:val="000000"/>
                <w:sz w:val="16"/>
              </w:rPr>
              <w:t>26,629</w:t>
            </w:r>
            <w:r>
              <w:rPr>
                <w:color w:val="000000"/>
              </w:rPr>
              <w:t> </w:t>
            </w:r>
          </w:p>
        </w:tc>
        <w:tc>
          <w:tcPr>
            <w:tcW w:w="571"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ECF8FE"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24,377 </w:t>
            </w:r>
          </w:p>
        </w:tc>
        <w:tc>
          <w:tcPr>
            <w:tcW w:w="730"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6"/>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Loss on early retirement of debt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1,525 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6"/>
            <w:tcBorders/>
            <w:shd w:fill="ECF8FE" w:val="clear"/>
            <w:tcMar>
              <w:top w:w="0" w:type="dxa"/>
              <w:left w:w="0" w:type="dxa"/>
              <w:bottom w:w="0" w:type="dxa"/>
              <w:right w:w="0" w:type="dxa"/>
            </w:tcMar>
            <w:vAlign w:val="center"/>
          </w:tcPr>
          <w:p>
            <w:pPr>
              <w:pStyle w:val="TableContents"/>
              <w:bidi w:val="0"/>
              <w:spacing w:lineRule="auto" w:line="312" w:before="0" w:after="0"/>
              <w:jc w:val="left"/>
              <w:rPr>
                <w:rFonts w:ascii="Roboto;sans-serif" w:hAnsi="Roboto;sans-serif"/>
                <w:b w:val="false"/>
                <w:color w:val="000000"/>
                <w:sz w:val="16"/>
              </w:rPr>
            </w:pPr>
            <w:r>
              <w:rPr>
                <w:rFonts w:ascii="Roboto;sans-serif" w:hAnsi="Roboto;sans-serif"/>
                <w:b w:val="false"/>
                <w:color w:val="000000"/>
                <w:sz w:val="16"/>
              </w:rPr>
              <w:t>Write-off of deferred loan costs</w:t>
            </w:r>
          </w:p>
        </w:tc>
        <w:tc>
          <w:tcPr>
            <w:tcW w:w="1128" w:type="dxa"/>
            <w:gridSpan w:val="2"/>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566"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ECF8FE" w:val="clear"/>
            <w:tcMar>
              <w:top w:w="0" w:type="dxa"/>
              <w:left w:w="0" w:type="dxa"/>
              <w:bottom w:w="0" w:type="dxa"/>
              <w:right w:w="0" w:type="dxa"/>
            </w:tcMar>
            <w:vAlign w:val="center"/>
          </w:tcPr>
          <w:p>
            <w:pPr>
              <w:pStyle w:val="TableContents"/>
              <w:bidi w:val="0"/>
              <w:spacing w:lineRule="auto" w:line="312" w:before="0" w:after="283"/>
              <w:jc w:val="right"/>
              <w:rPr/>
            </w:pPr>
            <w:r>
              <w:rPr>
                <w:rFonts w:ascii="Roboto;sans-serif" w:hAnsi="Roboto;sans-serif"/>
                <w:b/>
                <w:color w:val="000000"/>
                <w:sz w:val="16"/>
              </w:rPr>
              <w:t>449</w:t>
            </w:r>
            <w:r>
              <w:rPr>
                <w:color w:val="000000"/>
              </w:rPr>
              <w:t> </w:t>
            </w:r>
          </w:p>
        </w:tc>
        <w:tc>
          <w:tcPr>
            <w:tcW w:w="571"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ECF8FE" w:val="clear"/>
            <w:tcMar>
              <w:top w:w="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730"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6"/>
            <w:tcBorders>
              <w:bottom w:val="single" w:sz="12" w:space="0" w:color="E81111"/>
            </w:tcBorders>
            <w:shd w:fill="FFFFFF" w:val="clear"/>
            <w:tcMar>
              <w:top w:w="0" w:type="dxa"/>
              <w:left w:w="0" w:type="dxa"/>
              <w:bottom w:w="30" w:type="dxa"/>
              <w:right w:w="0" w:type="dxa"/>
            </w:tcMar>
            <w:vAlign w:val="center"/>
          </w:tcPr>
          <w:p>
            <w:pPr>
              <w:pStyle w:val="TableContents"/>
              <w:bidi w:val="0"/>
              <w:spacing w:lineRule="auto" w:line="312" w:before="0" w:after="283"/>
              <w:jc w:val="left"/>
              <w:rPr>
                <w:rFonts w:ascii="Roboto;sans-serif" w:hAnsi="Roboto;sans-serif"/>
                <w:b w:val="false"/>
                <w:color w:val="000000"/>
                <w:sz w:val="16"/>
              </w:rPr>
            </w:pPr>
            <w:r>
              <w:rPr>
                <w:rFonts w:ascii="Roboto;sans-serif" w:hAnsi="Roboto;sans-serif"/>
                <w:b w:val="false"/>
                <w:color w:val="000000"/>
                <w:sz w:val="16"/>
              </w:rPr>
              <w:t>Adjusted Pre-tax Net Income</w:t>
            </w:r>
          </w:p>
        </w:tc>
        <w:tc>
          <w:tcPr>
            <w:tcW w:w="1128" w:type="dxa"/>
            <w:gridSpan w:val="2"/>
            <w:tcBorders>
              <w:top w:val="single" w:sz="12" w:space="0" w:color="E81111"/>
              <w:bottom w:val="single" w:sz="12" w:space="0" w:color="E81111"/>
            </w:tcBorders>
            <w:shd w:fill="FFFFFF" w:val="clear"/>
            <w:tcMar>
              <w:top w:w="30" w:type="dxa"/>
              <w:left w:w="0" w:type="dxa"/>
              <w:bottom w:w="30" w:type="dxa"/>
              <w:right w:w="0" w:type="dxa"/>
            </w:tcMar>
            <w:vAlign w:val="center"/>
          </w:tcPr>
          <w:p>
            <w:pPr>
              <w:pStyle w:val="TableContents"/>
              <w:bidi w:val="0"/>
              <w:spacing w:lineRule="auto" w:line="312" w:before="0" w:after="283"/>
              <w:jc w:val="right"/>
              <w:rPr/>
            </w:pPr>
            <w:r>
              <w:rPr>
                <w:rFonts w:ascii="Roboto;sans-serif" w:hAnsi="Roboto;sans-serif"/>
                <w:b/>
                <w:color w:val="000000"/>
                <w:sz w:val="16"/>
              </w:rPr>
              <w:t>507,233</w:t>
            </w:r>
            <w:r>
              <w:rPr>
                <w:color w:val="000000"/>
              </w:rPr>
              <w:t> </w:t>
            </w:r>
          </w:p>
        </w:tc>
        <w:tc>
          <w:tcPr>
            <w:tcW w:w="566" w:type="dxa"/>
            <w:tcBorders>
              <w:top w:val="single" w:sz="12" w:space="0" w:color="E81111"/>
              <w:bottom w:val="single" w:sz="12" w:space="0" w:color="E81111"/>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12" w:space="0" w:color="E81111"/>
              <w:bottom w:val="single" w:sz="12" w:space="0" w:color="E81111"/>
            </w:tcBorders>
            <w:shd w:fill="FFFFFF" w:val="clear"/>
            <w:tcMar>
              <w:top w:w="30" w:type="dxa"/>
              <w:left w:w="0" w:type="dxa"/>
              <w:bottom w:w="30" w:type="dxa"/>
              <w:right w:w="0" w:type="dxa"/>
            </w:tcMar>
            <w:vAlign w:val="center"/>
          </w:tcPr>
          <w:p>
            <w:pPr>
              <w:pStyle w:val="TableContents"/>
              <w:bidi w:val="0"/>
              <w:spacing w:lineRule="auto" w:line="312" w:before="0" w:after="283"/>
              <w:jc w:val="right"/>
              <w:rPr/>
            </w:pPr>
            <w:r>
              <w:rPr>
                <w:rFonts w:ascii="Roboto;sans-serif" w:hAnsi="Roboto;sans-serif"/>
                <w:b/>
                <w:color w:val="000000"/>
                <w:sz w:val="16"/>
              </w:rPr>
              <w:t>565,303</w:t>
            </w:r>
            <w:r>
              <w:rPr>
                <w:color w:val="000000"/>
              </w:rPr>
              <w:t> </w:t>
            </w:r>
          </w:p>
        </w:tc>
        <w:tc>
          <w:tcPr>
            <w:tcW w:w="571" w:type="dxa"/>
            <w:tcBorders>
              <w:top w:val="single" w:sz="12" w:space="0" w:color="E81111"/>
              <w:bottom w:val="single" w:sz="12" w:space="0" w:color="E81111"/>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12" w:space="0" w:color="E81111"/>
              <w:bottom w:val="single" w:sz="12" w:space="0" w:color="E81111"/>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Roboto;sans-serif" w:hAnsi="Roboto;sans-serif"/>
                <w:b w:val="false"/>
                <w:color w:val="000000"/>
                <w:sz w:val="16"/>
              </w:rPr>
            </w:pPr>
            <w:r>
              <w:rPr>
                <w:rFonts w:ascii="Roboto;sans-serif" w:hAnsi="Roboto;sans-serif"/>
                <w:b w:val="false"/>
                <w:color w:val="000000"/>
                <w:sz w:val="16"/>
              </w:rPr>
              <w:t>689,058 </w:t>
            </w:r>
          </w:p>
        </w:tc>
        <w:tc>
          <w:tcPr>
            <w:tcW w:w="730" w:type="dxa"/>
            <w:tcBorders>
              <w:top w:val="single" w:sz="12" w:space="0" w:color="E81111"/>
              <w:bottom w:val="single" w:sz="12" w:space="0" w:color="E81111"/>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 xml:space="preserve">Adjusted Net Income and Adjusted Earnings per Share </w:t>
      </w:r>
    </w:p>
    <w:p>
      <w:pPr>
        <w:pStyle w:val="TextBody"/>
        <w:bidi w:val="0"/>
        <w:spacing w:lineRule="atLeast" w:line="240" w:before="0" w:after="180"/>
        <w:jc w:val="left"/>
        <w:rPr>
          <w:rFonts w:ascii="Roboto Light;sans-serif" w:hAnsi="Roboto Light;sans-serif"/>
          <w:b w:val="false"/>
          <w:color w:val="000000"/>
          <w:sz w:val="18"/>
        </w:rPr>
      </w:pPr>
      <w:r>
        <w:rPr>
          <w:rFonts w:ascii="Roboto Light;sans-serif" w:hAnsi="Roboto Light;sans-serif"/>
          <w:b w:val="false"/>
          <w:color w:val="000000"/>
          <w:sz w:val="18"/>
        </w:rPr>
        <w:t>The following table provides a reconciliation of net income to Adjusted Net Income and Adjusted Earnings per Share for the periods presented (amounts in thousands, except per share data):</w:t>
      </w:r>
    </w:p>
    <w:tbl>
      <w:tblPr>
        <w:tblW w:w="10205" w:type="dxa"/>
        <w:jc w:val="left"/>
        <w:tblInd w:w="0" w:type="dxa"/>
        <w:tblLayout w:type="fixed"/>
        <w:tblCellMar>
          <w:top w:w="28" w:type="dxa"/>
          <w:left w:w="28" w:type="dxa"/>
          <w:bottom w:w="28" w:type="dxa"/>
          <w:right w:w="28" w:type="dxa"/>
        </w:tblCellMar>
      </w:tblPr>
      <w:tblGrid>
        <w:gridCol w:w="750"/>
        <w:gridCol w:w="658"/>
        <w:gridCol w:w="658"/>
        <w:gridCol w:w="658"/>
        <w:gridCol w:w="658"/>
        <w:gridCol w:w="679"/>
        <w:gridCol w:w="109"/>
        <w:gridCol w:w="109"/>
        <w:gridCol w:w="109"/>
        <w:gridCol w:w="564"/>
        <w:gridCol w:w="558"/>
        <w:gridCol w:w="556"/>
        <w:gridCol w:w="116"/>
        <w:gridCol w:w="116"/>
        <w:gridCol w:w="116"/>
        <w:gridCol w:w="569"/>
        <w:gridCol w:w="563"/>
        <w:gridCol w:w="562"/>
        <w:gridCol w:w="116"/>
        <w:gridCol w:w="116"/>
        <w:gridCol w:w="116"/>
        <w:gridCol w:w="512"/>
        <w:gridCol w:w="505"/>
        <w:gridCol w:w="732"/>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7" w:type="dxa"/>
            <w:gridSpan w:val="15"/>
            <w:tcBorders/>
            <w:shd w:fill="1946C8"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color w:val="FFFFFF"/>
                <w:sz w:val="16"/>
              </w:rPr>
            </w:pPr>
            <w:r>
              <w:rPr>
                <w:rFonts w:ascii="Roboto;sans-serif" w:hAnsi="Roboto;sans-serif"/>
                <w:b/>
                <w:color w:val="FFFFFF"/>
                <w:sz w:val="16"/>
              </w:rPr>
              <w:t>Fiscal Year Ended</w:t>
            </w:r>
          </w:p>
        </w:tc>
      </w:tr>
      <w:tr>
        <w:trPr/>
        <w:tc>
          <w:tcPr>
            <w:tcW w:w="2066"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January 31, 2026</w:t>
            </w:r>
          </w:p>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w:t>
            </w:r>
          </w:p>
        </w:tc>
        <w:tc>
          <w:tcPr>
            <w:tcW w:w="348" w:type="dxa"/>
            <w:gridSpan w:val="3"/>
            <w:tcBorders>
              <w:top w:val="single" w:sz="8" w:space="0" w:color="FFFFFF"/>
            </w:tcBorders>
            <w:shd w:fill="1946C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6"/>
              </w:rPr>
            </w:pPr>
            <w:r>
              <w:rPr>
                <w:rFonts w:ascii="Roboto;sans-serif" w:hAnsi="Roboto;sans-serif"/>
                <w:b/>
                <w:color w:val="FFFFFF"/>
                <w:sz w:val="16"/>
              </w:rPr>
              <w:t>February 1, 2025</w:t>
              <w:br/>
              <w:t>($)</w:t>
            </w:r>
          </w:p>
        </w:tc>
        <w:tc>
          <w:tcPr>
            <w:tcW w:w="348" w:type="dxa"/>
            <w:gridSpan w:val="3"/>
            <w:tcBorders>
              <w:top w:val="single" w:sz="8" w:space="0" w:color="FFFFFF"/>
            </w:tcBorders>
            <w:shd w:fill="1946C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6"/>
              </w:rPr>
            </w:pPr>
            <w:r>
              <w:rPr>
                <w:rFonts w:ascii="Roboto;sans-serif" w:hAnsi="Roboto;sans-serif"/>
                <w:b/>
                <w:color w:val="FFFFFF"/>
                <w:sz w:val="16"/>
              </w:rPr>
              <w:t>February 3, 2024</w:t>
              <w:br/>
              <w:t>($)</w:t>
            </w:r>
          </w:p>
        </w:tc>
      </w:tr>
      <w:tr>
        <w:trPr/>
        <w:tc>
          <w:tcPr>
            <w:tcW w:w="4061" w:type="dxa"/>
            <w:gridSpan w:val="6"/>
            <w:tcBorders/>
            <w:shd w:fill="ECF8FE"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Net income</w:t>
            </w:r>
            <w:r>
              <w:rPr>
                <w:rFonts w:ascii="Roboto;sans-serif" w:hAnsi="Roboto;sans-serif"/>
                <w:b w:val="false"/>
                <w:color w:val="000000"/>
                <w:sz w:val="10"/>
              </w:rPr>
              <w:t>(a)</w:t>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ECF8FE"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376,768</w:t>
            </w:r>
            <w:r>
              <w:rPr>
                <w:color w:val="000000"/>
              </w:rPr>
              <w:t> </w:t>
            </w:r>
          </w:p>
        </w:tc>
        <w:tc>
          <w:tcPr>
            <w:tcW w:w="556"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ECF8FE"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418,447</w:t>
            </w:r>
            <w:r>
              <w:rPr>
                <w:color w:val="000000"/>
              </w:rPr>
              <w:t> </w:t>
            </w:r>
          </w:p>
        </w:tc>
        <w:tc>
          <w:tcPr>
            <w:tcW w:w="562"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ECF8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519,190 </w:t>
            </w:r>
          </w:p>
        </w:tc>
        <w:tc>
          <w:tcPr>
            <w:tcW w:w="732"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Equity compensation</w:t>
            </w:r>
            <w:r>
              <w:rPr>
                <w:rFonts w:ascii="Roboto;sans-serif" w:hAnsi="Roboto;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21,176</w:t>
            </w:r>
            <w:r>
              <w:rPr>
                <w:color w:val="000000"/>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26,629</w:t>
            </w:r>
            <w:r>
              <w:rPr>
                <w:color w:val="000000"/>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24,377 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6"/>
            <w:tcBorders/>
            <w:shd w:fill="ECF8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Loss on early retirement of debt</w:t>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ECF8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6"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ECF8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2"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ECF8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1,525 </w:t>
            </w:r>
          </w:p>
        </w:tc>
        <w:tc>
          <w:tcPr>
            <w:tcW w:w="732"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Write-off of deferred loan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449</w:t>
            </w:r>
            <w:r>
              <w:rPr>
                <w:color w:val="000000"/>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6"/>
            <w:tcBorders/>
            <w:shd w:fill="ECF8FE"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6"/>
              </w:rPr>
              <w:t>Tax effects of these adjustments</w:t>
            </w:r>
            <w:r>
              <w:rPr>
                <w:rFonts w:ascii="Roboto;sans-serif" w:hAnsi="Roboto;sans-serif"/>
                <w:b w:val="false"/>
                <w:color w:val="000000"/>
                <w:sz w:val="10"/>
              </w:rPr>
              <w:t>(c)</w:t>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ECF8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(4,761)</w:t>
            </w:r>
          </w:p>
        </w:tc>
        <w:tc>
          <w:tcPr>
            <w:tcW w:w="556"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ECF8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(6,038)</w:t>
            </w:r>
          </w:p>
        </w:tc>
        <w:tc>
          <w:tcPr>
            <w:tcW w:w="562"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ECF8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(5,621)</w:t>
            </w:r>
          </w:p>
        </w:tc>
        <w:tc>
          <w:tcPr>
            <w:tcW w:w="732"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Adjusted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12" w:space="0" w:color="E81111"/>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393,183</w:t>
            </w:r>
            <w:r>
              <w:rPr>
                <w:color w:val="000000"/>
              </w:rPr>
              <w:t> </w:t>
            </w:r>
          </w:p>
        </w:tc>
        <w:tc>
          <w:tcPr>
            <w:tcW w:w="556" w:type="dxa"/>
            <w:tcBorders>
              <w:top w:val="single" w:sz="12" w:space="0" w:color="E81111"/>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12" w:space="0" w:color="E81111"/>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439,487</w:t>
            </w:r>
            <w:r>
              <w:rPr>
                <w:color w:val="000000"/>
              </w:rPr>
              <w:t> </w:t>
            </w:r>
          </w:p>
        </w:tc>
        <w:tc>
          <w:tcPr>
            <w:tcW w:w="562" w:type="dxa"/>
            <w:tcBorders>
              <w:top w:val="single" w:sz="12" w:space="0" w:color="E81111"/>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12" w:space="0" w:color="E81111"/>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539,471 </w:t>
            </w:r>
          </w:p>
        </w:tc>
        <w:tc>
          <w:tcPr>
            <w:tcW w:w="732" w:type="dxa"/>
            <w:tcBorders>
              <w:top w:val="single" w:sz="12" w:space="0" w:color="E81111"/>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6"/>
            <w:tcBorders/>
            <w:shd w:fill="ECF8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Earnings per common share:</w:t>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12" w:space="0" w:color="E81111"/>
            </w:tcBorders>
            <w:shd w:fill="ECF8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12" w:space="0" w:color="E81111"/>
            </w:tcBorders>
            <w:shd w:fill="ECF8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single" w:sz="12" w:space="0" w:color="E81111"/>
            </w:tcBorders>
            <w:shd w:fill="ECF8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5.66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5.87</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6.89</w:t>
            </w:r>
          </w:p>
        </w:tc>
      </w:tr>
      <w:tr>
        <w:trPr/>
        <w:tc>
          <w:tcPr>
            <w:tcW w:w="4061" w:type="dxa"/>
            <w:gridSpan w:val="6"/>
            <w:tcBorders/>
            <w:shd w:fill="ECF8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Diluted</w:t>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ECF8FE"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5.54</w:t>
            </w:r>
            <w:r>
              <w:rPr>
                <w:color w:val="000000"/>
              </w:rPr>
              <w:t> </w:t>
            </w:r>
          </w:p>
        </w:tc>
        <w:tc>
          <w:tcPr>
            <w:tcW w:w="556"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ECF8FE"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5.73</w:t>
            </w:r>
            <w:r>
              <w:rPr>
                <w:color w:val="000000"/>
              </w:rPr>
              <w:t> </w:t>
            </w:r>
          </w:p>
        </w:tc>
        <w:tc>
          <w:tcPr>
            <w:tcW w:w="562"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ECF8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6.70 </w:t>
            </w:r>
          </w:p>
        </w:tc>
        <w:tc>
          <w:tcPr>
            <w:tcW w:w="732"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6"/>
              </w:rPr>
            </w:pPr>
            <w:r>
              <w:rPr>
                <w:rFonts w:ascii="Roboto;sans-serif" w:hAnsi="Roboto;sans-serif"/>
                <w:b w:val="false"/>
                <w:color w:val="000000"/>
                <w:sz w:val="16"/>
              </w:rPr>
              <w:t>Adjusted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6"/>
            <w:tcBorders/>
            <w:shd w:fill="ECF8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Basic</w:t>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ECF8FE"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5.90</w:t>
            </w:r>
            <w:r>
              <w:rPr>
                <w:color w:val="000000"/>
              </w:rPr>
              <w:t> </w:t>
            </w:r>
          </w:p>
        </w:tc>
        <w:tc>
          <w:tcPr>
            <w:tcW w:w="556"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ECF8FE"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6.16</w:t>
            </w:r>
            <w:r>
              <w:rPr>
                <w:color w:val="000000"/>
              </w:rPr>
              <w:t> </w:t>
            </w:r>
          </w:p>
        </w:tc>
        <w:tc>
          <w:tcPr>
            <w:tcW w:w="562"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ECF8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7.16 </w:t>
            </w:r>
          </w:p>
        </w:tc>
        <w:tc>
          <w:tcPr>
            <w:tcW w:w="732"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5.78</w:t>
            </w:r>
            <w:r>
              <w:rPr>
                <w:color w:val="000000"/>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6.02</w:t>
            </w:r>
            <w:r>
              <w:rPr>
                <w:color w:val="000000"/>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6.96 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6"/>
            <w:tcBorders/>
            <w:shd w:fill="ECF8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Weighted average common shares outstanding:</w:t>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66,612</w:t>
            </w:r>
            <w:r>
              <w:rPr>
                <w:color w:val="000000"/>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71,343</w:t>
            </w:r>
            <w:r>
              <w:rPr>
                <w:color w:val="000000"/>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75,389 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6"/>
            <w:tcBorders>
              <w:bottom w:val="single" w:sz="12" w:space="0" w:color="E81111"/>
            </w:tcBorders>
            <w:shd w:fill="ECF8FE" w:val="clear"/>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Diluted</w:t>
            </w:r>
          </w:p>
        </w:tc>
        <w:tc>
          <w:tcPr>
            <w:tcW w:w="327" w:type="dxa"/>
            <w:gridSpan w:val="3"/>
            <w:tcBorders>
              <w:bottom w:val="single" w:sz="12" w:space="0" w:color="E81111"/>
            </w:tcBorders>
            <w:shd w:fill="ECF8F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bottom w:val="single" w:sz="12" w:space="0" w:color="E81111"/>
            </w:tcBorders>
            <w:shd w:fill="ECF8FE" w:val="clear"/>
            <w:tcMar>
              <w:top w:w="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68,034</w:t>
            </w:r>
            <w:r>
              <w:rPr>
                <w:color w:val="000000"/>
              </w:rPr>
              <w:t> </w:t>
            </w:r>
          </w:p>
        </w:tc>
        <w:tc>
          <w:tcPr>
            <w:tcW w:w="556" w:type="dxa"/>
            <w:tcBorders>
              <w:bottom w:val="single" w:sz="12" w:space="0" w:color="E81111"/>
            </w:tcBorders>
            <w:shd w:fill="ECF8F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12" w:space="0" w:color="E81111"/>
            </w:tcBorders>
            <w:shd w:fill="ECF8F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bottom w:val="single" w:sz="12" w:space="0" w:color="E81111"/>
            </w:tcBorders>
            <w:shd w:fill="ECF8FE" w:val="clear"/>
            <w:tcMar>
              <w:top w:w="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73,048</w:t>
            </w:r>
            <w:r>
              <w:rPr>
                <w:color w:val="000000"/>
              </w:rPr>
              <w:t> </w:t>
            </w:r>
          </w:p>
        </w:tc>
        <w:tc>
          <w:tcPr>
            <w:tcW w:w="562" w:type="dxa"/>
            <w:tcBorders>
              <w:bottom w:val="single" w:sz="12" w:space="0" w:color="E81111"/>
            </w:tcBorders>
            <w:shd w:fill="ECF8F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12" w:space="0" w:color="E81111"/>
            </w:tcBorders>
            <w:shd w:fill="ECF8F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bottom w:val="single" w:sz="12" w:space="0" w:color="E81111"/>
            </w:tcBorders>
            <w:shd w:fill="ECF8FE" w:val="clear"/>
            <w:tcMar>
              <w:top w:w="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77,469 </w:t>
            </w:r>
          </w:p>
        </w:tc>
        <w:tc>
          <w:tcPr>
            <w:tcW w:w="732" w:type="dxa"/>
            <w:tcBorders>
              <w:bottom w:val="single" w:sz="12" w:space="0" w:color="E81111"/>
            </w:tcBorders>
            <w:shd w:fill="ECF8F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6144" w:type="dxa"/>
            <w:gridSpan w:val="18"/>
            <w:tcBorders/>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6144" w:type="dxa"/>
            <w:gridSpan w:val="18"/>
            <w:tcBorders/>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6144" w:type="dxa"/>
            <w:gridSpan w:val="18"/>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7"/>
        <w:gridCol w:w="120"/>
        <w:gridCol w:w="120"/>
        <w:gridCol w:w="560"/>
        <w:gridCol w:w="560"/>
        <w:gridCol w:w="560"/>
        <w:gridCol w:w="442"/>
        <w:gridCol w:w="442"/>
        <w:gridCol w:w="442"/>
        <w:gridCol w:w="442"/>
        <w:gridCol w:w="442"/>
        <w:gridCol w:w="442"/>
        <w:gridCol w:w="442"/>
        <w:gridCol w:w="442"/>
        <w:gridCol w:w="442"/>
        <w:gridCol w:w="442"/>
        <w:gridCol w:w="442"/>
        <w:gridCol w:w="442"/>
        <w:gridCol w:w="442"/>
        <w:gridCol w:w="442"/>
        <w:gridCol w:w="442"/>
        <w:gridCol w:w="442"/>
        <w:gridCol w:w="442"/>
        <w:gridCol w:w="634"/>
      </w:tblGrid>
      <w:tr>
        <w:trPr/>
        <w:tc>
          <w:tcPr>
            <w:tcW w:w="1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ind w:left="0" w:right="0" w:hanging="360"/>
              <w:jc w:val="left"/>
              <w:rPr>
                <w:sz w:val="4"/>
                <w:szCs w:val="4"/>
              </w:rPr>
            </w:pPr>
            <w:r>
              <w:rPr>
                <w:sz w:val="4"/>
                <w:szCs w:val="4"/>
              </w:rPr>
            </w:r>
          </w:p>
        </w:tc>
      </w:tr>
      <w:tr>
        <w:trPr/>
        <w:tc>
          <w:tcPr>
            <w:tcW w:w="2057" w:type="dxa"/>
            <w:gridSpan w:val="6"/>
            <w:tcBorders/>
            <w:tcMar>
              <w:top w:w="0" w:type="dxa"/>
              <w:left w:w="0" w:type="dxa"/>
              <w:bottom w:w="0" w:type="dxa"/>
              <w:right w:w="0" w:type="dxa"/>
            </w:tcMar>
            <w:vAlign w:val="center"/>
          </w:tcPr>
          <w:p>
            <w:pPr>
              <w:pStyle w:val="TableContents"/>
              <w:bidi w:val="0"/>
              <w:spacing w:lineRule="auto" w:line="312" w:before="0" w:after="120"/>
              <w:ind w:left="0" w:right="0" w:hanging="360"/>
              <w:jc w:val="left"/>
              <w:rPr>
                <w:rFonts w:ascii="Roboto Light;sans-serif" w:hAnsi="Roboto Light;sans-serif"/>
                <w:b w:val="false"/>
                <w:color w:val="000000"/>
                <w:sz w:val="14"/>
              </w:rPr>
            </w:pPr>
            <w:r>
              <w:rPr>
                <w:rFonts w:ascii="Roboto Light;sans-serif" w:hAnsi="Roboto Light;sans-serif"/>
                <w:b w:val="false"/>
                <w:color w:val="000000"/>
                <w:sz w:val="14"/>
              </w:rPr>
              <w:t>Footnotes:</w:t>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 Light;sans-serif" w:hAnsi="Helvetica Light;sans-serif"/>
                <w:b w:val="false"/>
                <w:color w:val="000000"/>
                <w:sz w:val="14"/>
              </w:rPr>
            </w:pPr>
            <w:r>
              <w:rPr>
                <w:rFonts w:ascii="Helvetica Light;sans-serif" w:hAnsi="Helvetica Light;sans-serif"/>
                <w:b w:val="false"/>
                <w:color w:val="000000"/>
                <w:sz w:val="14"/>
              </w:rPr>
              <w:t>a.</w:t>
            </w:r>
          </w:p>
        </w:tc>
        <w:tc>
          <w:tcPr>
            <w:tcW w:w="9828" w:type="dxa"/>
            <w:gridSpan w:val="21"/>
            <w:tcBorders/>
            <w:tcMar>
              <w:top w:w="0" w:type="dxa"/>
              <w:left w:w="0" w:type="dxa"/>
              <w:bottom w:w="0" w:type="dxa"/>
              <w:right w:w="0" w:type="dxa"/>
            </w:tcMar>
            <w:vAlign w:val="center"/>
          </w:tcPr>
          <w:p>
            <w:pPr>
              <w:pStyle w:val="TableContents"/>
              <w:bidi w:val="0"/>
              <w:spacing w:lineRule="auto" w:line="240" w:before="0" w:after="0"/>
              <w:jc w:val="left"/>
              <w:rPr>
                <w:rFonts w:ascii="Helvetica Light;sans-serif" w:hAnsi="Helvetica Light;sans-serif"/>
                <w:b w:val="false"/>
                <w:color w:val="000000"/>
                <w:sz w:val="14"/>
              </w:rPr>
            </w:pPr>
            <w:r>
              <w:rPr>
                <w:rFonts w:ascii="Helvetica Light;sans-serif" w:hAnsi="Helvetica Light;sans-serif"/>
                <w:b w:val="false"/>
                <w:color w:val="000000"/>
                <w:sz w:val="14"/>
              </w:rPr>
              <w:t>Net income for the year ended February 1, 2025, includes a $15.0 million gain pertaining to a litigation settlement which occurred in the fourth quarter of 2024. Net income for the year ended February 3, 2024, includes a $15.9 million net gain relative to a credit card litigation settlement which occurred in the fourth quarter of 2023.</w:t>
            </w:r>
          </w:p>
        </w:tc>
      </w:tr>
      <w:tr>
        <w:trPr/>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 Light;sans-serif" w:hAnsi="Helvetica Light;sans-serif"/>
                <w:b w:val="false"/>
                <w:color w:val="000000"/>
                <w:sz w:val="14"/>
              </w:rPr>
            </w:pPr>
            <w:r>
              <w:rPr>
                <w:rFonts w:ascii="Helvetica Light;sans-serif" w:hAnsi="Helvetica Light;sans-serif"/>
                <w:b w:val="false"/>
                <w:color w:val="000000"/>
                <w:sz w:val="14"/>
              </w:rPr>
              <w:t>b.</w:t>
            </w:r>
          </w:p>
        </w:tc>
        <w:tc>
          <w:tcPr>
            <w:tcW w:w="9828" w:type="dxa"/>
            <w:gridSpan w:val="21"/>
            <w:tcBorders/>
            <w:tcMar>
              <w:top w:w="0" w:type="dxa"/>
              <w:left w:w="0" w:type="dxa"/>
              <w:bottom w:w="0" w:type="dxa"/>
              <w:right w:w="0" w:type="dxa"/>
            </w:tcMar>
            <w:vAlign w:val="center"/>
          </w:tcPr>
          <w:p>
            <w:pPr>
              <w:pStyle w:val="TableContents"/>
              <w:bidi w:val="0"/>
              <w:spacing w:lineRule="auto" w:line="240" w:before="0" w:after="0"/>
              <w:jc w:val="left"/>
              <w:rPr>
                <w:rFonts w:ascii="Helvetica Light;sans-serif" w:hAnsi="Helvetica Light;sans-serif"/>
                <w:b w:val="false"/>
                <w:color w:val="000000"/>
                <w:sz w:val="14"/>
              </w:rPr>
            </w:pPr>
            <w:r>
              <w:rPr>
                <w:rFonts w:ascii="Helvetica Light;sans-serif" w:hAnsi="Helvetica Light;sans-serif"/>
                <w:b w:val="false"/>
                <w:color w:val="000000"/>
                <w:sz w:val="14"/>
              </w:rPr>
              <w:t>Represents non-cash charges related to equity based compensation, which vary from period to period depending on certain factors such as timing and valuation of awards, achievement of performance targets and equity award forfeitures.</w:t>
            </w:r>
          </w:p>
        </w:tc>
      </w:tr>
      <w:tr>
        <w:trPr/>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 Light;sans-serif" w:hAnsi="Helvetica Light;sans-serif"/>
                <w:b w:val="false"/>
                <w:color w:val="000000"/>
                <w:sz w:val="14"/>
              </w:rPr>
            </w:pPr>
            <w:r>
              <w:rPr>
                <w:rFonts w:ascii="Helvetica Light;sans-serif" w:hAnsi="Helvetica Light;sans-serif"/>
                <w:b w:val="false"/>
                <w:color w:val="000000"/>
                <w:sz w:val="14"/>
              </w:rPr>
              <w:t>c.</w:t>
            </w:r>
          </w:p>
        </w:tc>
        <w:tc>
          <w:tcPr>
            <w:tcW w:w="9828"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Helvetica Light;sans-serif" w:hAnsi="Helvetica Light;sans-serif"/>
                <w:b w:val="false"/>
                <w:color w:val="000000"/>
                <w:sz w:val="14"/>
              </w:rPr>
            </w:pPr>
            <w:r>
              <w:rPr>
                <w:rFonts w:ascii="Helvetica Light;sans-serif" w:hAnsi="Helvetica Light;sans-serif"/>
                <w:b w:val="false"/>
                <w:color w:val="000000"/>
                <w:sz w:val="14"/>
              </w:rPr>
              <w:t>Represents the tax effect of the total adjustments made to arrive at Adjusted Net Income at our historical tax rate.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63525"/>
                <wp:effectExtent l="0" t="0" r="0" b="0"/>
                <wp:wrapNone/>
                <wp:docPr id="479" name="Frame97"/>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left"/>
                              <w:rPr/>
                            </w:pPr>
                            <w:r>
                              <w:rPr/>
                              <w:drawing>
                                <wp:inline distT="0" distB="0" distL="0" distR="0">
                                  <wp:extent cx="266700" cy="200025"/>
                                  <wp:effectExtent l="0" t="0" r="0" b="0"/>
                                  <wp:docPr id="480"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291" descr=""/>
                                          <pic:cNvPicPr>
                                            <a:picLocks noChangeAspect="1" noChangeArrowheads="1"/>
                                          </pic:cNvPicPr>
                                        </pic:nvPicPr>
                                        <pic:blipFill>
                                          <a:blip r:embed="rId384"/>
                                          <a:stretch>
                                            <a:fillRect/>
                                          </a:stretch>
                                        </pic:blipFill>
                                        <pic:spPr bwMode="auto">
                                          <a:xfrm>
                                            <a:off x="0" y="0"/>
                                            <a:ext cx="266700" cy="200025"/>
                                          </a:xfrm>
                                          <a:prstGeom prst="rect">
                                            <a:avLst/>
                                          </a:prstGeom>
                                        </pic:spPr>
                                      </pic:pic>
                                    </a:graphicData>
                                  </a:graphic>
                                </wp:inline>
                              </w:drawing>
                            </w:r>
                            <w:bookmarkStart w:id="383" w:name="i-291"/>
                            <w:bookmarkEnd w:id="383"/>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266700" cy="200025"/>
                            <wp:effectExtent l="0" t="0" r="0" b="0"/>
                            <wp:docPr id="481"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Image291" descr=""/>
                                    <pic:cNvPicPr>
                                      <a:picLocks noChangeAspect="1" noChangeArrowheads="1"/>
                                    </pic:cNvPicPr>
                                  </pic:nvPicPr>
                                  <pic:blipFill>
                                    <a:blip r:embed="rId385"/>
                                    <a:stretch>
                                      <a:fillRect/>
                                    </a:stretch>
                                  </pic:blipFill>
                                  <pic:spPr bwMode="auto">
                                    <a:xfrm>
                                      <a:off x="0" y="0"/>
                                      <a:ext cx="266700" cy="200025"/>
                                    </a:xfrm>
                                    <a:prstGeom prst="rect">
                                      <a:avLst/>
                                    </a:prstGeom>
                                  </pic:spPr>
                                </pic:pic>
                              </a:graphicData>
                            </a:graphic>
                          </wp:inline>
                        </w:drawing>
                      </w:r>
                      <w:bookmarkStart w:id="384" w:name="i-291"/>
                      <w:bookmarkEnd w:id="384"/>
                    </w:p>
                  </w:txbxContent>
                </v:textbox>
                <w10:wrap type="none"/>
              </v:rect>
            </w:pict>
          </mc:Fallback>
        </mc:AlternateContent>
      </w:r>
    </w:p>
    <w:tbl>
      <w:tblPr>
        <w:tblW w:w="5935" w:type="dxa"/>
        <w:jc w:val="right"/>
        <w:tblInd w:w="0" w:type="dxa"/>
        <w:tblLayout w:type="fixed"/>
        <w:tblCellMar>
          <w:top w:w="28" w:type="dxa"/>
          <w:left w:w="28" w:type="dxa"/>
          <w:bottom w:w="28" w:type="dxa"/>
          <w:right w:w="28" w:type="dxa"/>
        </w:tblCellMar>
      </w:tblPr>
      <w:tblGrid>
        <w:gridCol w:w="1858"/>
        <w:gridCol w:w="1630"/>
        <w:gridCol w:w="1641"/>
        <w:gridCol w:w="109"/>
        <w:gridCol w:w="109"/>
        <w:gridCol w:w="109"/>
        <w:gridCol w:w="140"/>
        <w:gridCol w:w="140"/>
        <w:gridCol w:w="199"/>
      </w:tblGrid>
      <w:tr>
        <w:trPr/>
        <w:tc>
          <w:tcPr>
            <w:tcW w:w="185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Roboto;sans-serif" w:hAnsi="Roboto;sans-serif"/>
                <w:b w:val="false"/>
                <w:color w:val="1946C8"/>
                <w:sz w:val="16"/>
              </w:rPr>
              <w:t>Academy Sports and Outdoors, Inc.</w:t>
            </w:r>
            <w:r>
              <w:rPr>
                <w:color w:val="1946C8"/>
              </w:rPr>
              <w:t xml:space="preserve"> </w:t>
            </w:r>
            <w:r>
              <w:rPr>
                <w:rFonts w:ascii="Roboto;sans-serif" w:hAnsi="Roboto;sans-serif"/>
                <w:b/>
                <w:color w:val="1946C8"/>
                <w:sz w:val="16"/>
              </w:rPr>
              <w:t xml:space="preserve">- </w:t>
            </w:r>
            <w:r>
              <w:rPr>
                <w:rFonts w:ascii="Roboto;sans-serif" w:hAnsi="Roboto;sans-serif"/>
                <w:b w:val="false"/>
                <w:color w:val="1946C8"/>
                <w:sz w:val="16"/>
              </w:rPr>
              <w:t>2026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Roboto;sans-serif" w:hAnsi="Roboto;sans-serif"/>
                <w:b/>
                <w:color w:val="1946C8"/>
                <w:sz w:val="16"/>
              </w:rPr>
            </w:pPr>
            <w:r>
              <w:rPr>
                <w:rFonts w:ascii="Roboto;sans-serif" w:hAnsi="Roboto;sans-serif"/>
                <w:b/>
                <w:color w:val="1946C8"/>
                <w:sz w:val="16"/>
              </w:rPr>
              <w:t>A-5</w:t>
            </w:r>
          </w:p>
        </w:tc>
      </w:tr>
    </w:tbl>
    <w:p>
      <w:pPr>
        <w:pStyle w:val="TextBody"/>
        <w:bidi w:val="0"/>
        <w:spacing w:lineRule="auto" w:line="312" w:before="0" w:after="60"/>
        <w:jc w:val="left"/>
        <w:rPr>
          <w:rFonts w:ascii="Roboto;sans-serif" w:hAnsi="Roboto;sans-serif"/>
          <w:b/>
          <w:color w:val="01024A"/>
          <w:sz w:val="20"/>
        </w:rPr>
      </w:pPr>
      <w:r>
        <w:rPr>
          <w:rFonts w:ascii="Roboto;sans-serif" w:hAnsi="Roboto;sans-serif"/>
          <w:b/>
          <w:color w:val="01024A"/>
          <w:sz w:val="20"/>
        </w:rPr>
        <w:t>Adjusted Free Cash Flow</w:t>
      </w:r>
    </w:p>
    <w:p>
      <w:pPr>
        <w:pStyle w:val="TextBody"/>
        <w:bidi w:val="0"/>
        <w:spacing w:lineRule="atLeast" w:line="240" w:before="0" w:after="180"/>
        <w:jc w:val="left"/>
        <w:rPr>
          <w:rFonts w:ascii="Roboto Light;sans-serif" w:hAnsi="Roboto Light;sans-serif"/>
          <w:b w:val="false"/>
          <w:color w:val="000000"/>
          <w:sz w:val="18"/>
        </w:rPr>
      </w:pPr>
      <w:r>
        <w:rPr>
          <w:rFonts w:ascii="Roboto Light;sans-serif" w:hAnsi="Roboto Light;sans-serif"/>
          <w:b w:val="false"/>
          <w:color w:val="000000"/>
          <w:sz w:val="18"/>
        </w:rPr>
        <w:t>The following table provides a reconciliation of net cash provided by operating activities to Adjusted Free Cash Flow for the periods presented (amounts in thousands):</w:t>
      </w:r>
    </w:p>
    <w:tbl>
      <w:tblPr>
        <w:tblW w:w="9725" w:type="dxa"/>
        <w:jc w:val="left"/>
        <w:tblInd w:w="0" w:type="dxa"/>
        <w:tblLayout w:type="fixed"/>
        <w:tblCellMar>
          <w:top w:w="28" w:type="dxa"/>
          <w:left w:w="28" w:type="dxa"/>
          <w:bottom w:w="28" w:type="dxa"/>
          <w:right w:w="28" w:type="dxa"/>
        </w:tblCellMar>
      </w:tblPr>
      <w:tblGrid>
        <w:gridCol w:w="654"/>
        <w:gridCol w:w="574"/>
        <w:gridCol w:w="574"/>
        <w:gridCol w:w="574"/>
        <w:gridCol w:w="574"/>
        <w:gridCol w:w="589"/>
        <w:gridCol w:w="109"/>
        <w:gridCol w:w="109"/>
        <w:gridCol w:w="109"/>
        <w:gridCol w:w="564"/>
        <w:gridCol w:w="564"/>
        <w:gridCol w:w="566"/>
        <w:gridCol w:w="117"/>
        <w:gridCol w:w="117"/>
        <w:gridCol w:w="117"/>
        <w:gridCol w:w="569"/>
        <w:gridCol w:w="569"/>
        <w:gridCol w:w="571"/>
        <w:gridCol w:w="117"/>
        <w:gridCol w:w="117"/>
        <w:gridCol w:w="117"/>
        <w:gridCol w:w="512"/>
        <w:gridCol w:w="512"/>
        <w:gridCol w:w="730"/>
      </w:tblGrid>
      <w:tr>
        <w:trPr/>
        <w:tc>
          <w:tcPr>
            <w:tcW w:w="65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9" w:type="dxa"/>
            <w:gridSpan w:val="15"/>
            <w:tcBorders/>
            <w:shd w:fill="1946C8" w:val="clear"/>
            <w:tcMar>
              <w:top w:w="0" w:type="dxa"/>
              <w:left w:w="0" w:type="dxa"/>
              <w:bottom w:w="0" w:type="dxa"/>
              <w:right w:w="0" w:type="dxa"/>
            </w:tcMar>
            <w:vAlign w:val="center"/>
          </w:tcPr>
          <w:p>
            <w:pPr>
              <w:pStyle w:val="TableContents"/>
              <w:bidi w:val="0"/>
              <w:spacing w:lineRule="auto" w:line="312" w:before="0" w:after="283"/>
              <w:jc w:val="center"/>
              <w:rPr>
                <w:rFonts w:ascii="Roboto;sans-serif" w:hAnsi="Roboto;sans-serif"/>
                <w:b/>
                <w:color w:val="FFFFFF"/>
                <w:sz w:val="16"/>
              </w:rPr>
            </w:pPr>
            <w:r>
              <w:rPr>
                <w:rFonts w:ascii="Roboto;sans-serif" w:hAnsi="Roboto;sans-serif"/>
                <w:b/>
                <w:color w:val="FFFFFF"/>
                <w:sz w:val="16"/>
              </w:rPr>
              <w:t>Fiscal Year Ended</w:t>
            </w:r>
          </w:p>
        </w:tc>
      </w:tr>
      <w:tr>
        <w:trPr/>
        <w:tc>
          <w:tcPr>
            <w:tcW w:w="1802"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9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January 31, 2026</w:t>
            </w:r>
          </w:p>
          <w:p>
            <w:pPr>
              <w:pStyle w:val="TableContents"/>
              <w:bidi w:val="0"/>
              <w:spacing w:lineRule="auto" w:line="312" w:before="0" w:after="0"/>
              <w:jc w:val="right"/>
              <w:rPr>
                <w:rFonts w:ascii="Roboto;sans-serif" w:hAnsi="Roboto;sans-serif"/>
                <w:b/>
                <w:color w:val="FFFFFF"/>
                <w:sz w:val="16"/>
              </w:rPr>
            </w:pPr>
            <w:r>
              <w:rPr>
                <w:rFonts w:ascii="Roboto;sans-serif" w:hAnsi="Roboto;sans-serif"/>
                <w:b/>
                <w:color w:val="FFFFFF"/>
                <w:sz w:val="16"/>
              </w:rPr>
              <w:t>($)</w:t>
            </w:r>
          </w:p>
        </w:tc>
        <w:tc>
          <w:tcPr>
            <w:tcW w:w="351" w:type="dxa"/>
            <w:gridSpan w:val="3"/>
            <w:tcBorders>
              <w:top w:val="single" w:sz="8" w:space="0" w:color="FFFFFF"/>
            </w:tcBorders>
            <w:shd w:fill="1946C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6"/>
              </w:rPr>
            </w:pPr>
            <w:r>
              <w:rPr>
                <w:rFonts w:ascii="Roboto;sans-serif" w:hAnsi="Roboto;sans-serif"/>
                <w:b/>
                <w:color w:val="FFFFFF"/>
                <w:sz w:val="16"/>
              </w:rPr>
              <w:t>February 1, 2025</w:t>
              <w:br/>
              <w:t>($)</w:t>
            </w:r>
          </w:p>
        </w:tc>
        <w:tc>
          <w:tcPr>
            <w:tcW w:w="351" w:type="dxa"/>
            <w:gridSpan w:val="3"/>
            <w:tcBorders>
              <w:top w:val="single" w:sz="8" w:space="0" w:color="FFFFFF"/>
            </w:tcBorders>
            <w:shd w:fill="1946C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FFFFFF"/>
            </w:tcBorders>
            <w:shd w:fill="1946C8" w:val="clear"/>
            <w:tcMar>
              <w:top w:w="30" w:type="dxa"/>
              <w:left w:w="0" w:type="dxa"/>
              <w:bottom w:w="0" w:type="dxa"/>
              <w:right w:w="0" w:type="dxa"/>
            </w:tcMar>
            <w:vAlign w:val="center"/>
          </w:tcPr>
          <w:p>
            <w:pPr>
              <w:pStyle w:val="TableContents"/>
              <w:bidi w:val="0"/>
              <w:spacing w:lineRule="auto" w:line="312" w:before="0" w:after="283"/>
              <w:jc w:val="right"/>
              <w:rPr>
                <w:rFonts w:ascii="Roboto;sans-serif" w:hAnsi="Roboto;sans-serif"/>
                <w:b/>
                <w:color w:val="FFFFFF"/>
                <w:sz w:val="16"/>
              </w:rPr>
            </w:pPr>
            <w:r>
              <w:rPr>
                <w:rFonts w:ascii="Roboto;sans-serif" w:hAnsi="Roboto;sans-serif"/>
                <w:b/>
                <w:color w:val="FFFFFF"/>
                <w:sz w:val="16"/>
              </w:rPr>
              <w:t>February 3, 2024</w:t>
              <w:br/>
              <w:t>($)</w:t>
            </w:r>
          </w:p>
        </w:tc>
      </w:tr>
      <w:tr>
        <w:trPr/>
        <w:tc>
          <w:tcPr>
            <w:tcW w:w="3539" w:type="dxa"/>
            <w:gridSpan w:val="6"/>
            <w:tcBorders/>
            <w:shd w:fill="ECF8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cash provided by operating activities</w:t>
            </w:r>
          </w:p>
        </w:tc>
        <w:tc>
          <w:tcPr>
            <w:tcW w:w="327"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ECF8FE"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434,798</w:t>
            </w:r>
            <w:r>
              <w:rPr>
                <w:color w:val="000000"/>
              </w:rPr>
              <w:t> </w:t>
            </w:r>
          </w:p>
        </w:tc>
        <w:tc>
          <w:tcPr>
            <w:tcW w:w="566"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ECF8FE" w:val="clear"/>
            <w:tcMar>
              <w:top w:w="0" w:type="dxa"/>
              <w:left w:w="0" w:type="dxa"/>
              <w:bottom w:w="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528,082</w:t>
            </w:r>
            <w:r>
              <w:rPr>
                <w:color w:val="000000"/>
              </w:rPr>
              <w:t> </w:t>
            </w:r>
          </w:p>
        </w:tc>
        <w:tc>
          <w:tcPr>
            <w:tcW w:w="571"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ECF8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535,779 </w:t>
            </w:r>
          </w:p>
        </w:tc>
        <w:tc>
          <w:tcPr>
            <w:tcW w:w="730" w:type="dxa"/>
            <w:tcBorders/>
            <w:shd w:fill="ECF8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(172,037)</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color w:val="000000"/>
                <w:sz w:val="16"/>
              </w:rPr>
            </w:pPr>
            <w:r>
              <w:rPr>
                <w:rFonts w:ascii="Roboto;sans-serif" w:hAnsi="Roboto;sans-serif"/>
                <w:b/>
                <w:color w:val="000000"/>
                <w:sz w:val="16"/>
              </w:rPr>
              <w:t>(186,120)</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(206,139)</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6"/>
            <w:tcBorders>
              <w:bottom w:val="single" w:sz="12" w:space="0" w:color="E81111"/>
            </w:tcBorders>
            <w:shd w:fill="ECF8FE" w:val="clear"/>
            <w:tcMar>
              <w:top w:w="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6"/>
              </w:rPr>
            </w:pPr>
            <w:r>
              <w:rPr>
                <w:rFonts w:ascii="Roboto;sans-serif" w:hAnsi="Roboto;sans-serif"/>
                <w:b w:val="false"/>
                <w:color w:val="000000"/>
                <w:sz w:val="16"/>
              </w:rPr>
              <w:t>Adjusted Free Cash Flow</w:t>
            </w:r>
          </w:p>
        </w:tc>
        <w:tc>
          <w:tcPr>
            <w:tcW w:w="327" w:type="dxa"/>
            <w:gridSpan w:val="3"/>
            <w:tcBorders>
              <w:bottom w:val="single" w:sz="12" w:space="0" w:color="E81111"/>
            </w:tcBorders>
            <w:shd w:fill="ECF8F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12" w:space="0" w:color="E81111"/>
              <w:bottom w:val="single" w:sz="12" w:space="0" w:color="E81111"/>
            </w:tcBorders>
            <w:shd w:fill="ECF8FE" w:val="clear"/>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262,761</w:t>
            </w:r>
            <w:r>
              <w:rPr>
                <w:color w:val="000000"/>
              </w:rPr>
              <w:t> </w:t>
            </w:r>
          </w:p>
        </w:tc>
        <w:tc>
          <w:tcPr>
            <w:tcW w:w="566" w:type="dxa"/>
            <w:tcBorders>
              <w:top w:val="single" w:sz="12" w:space="0" w:color="E81111"/>
              <w:bottom w:val="single" w:sz="12" w:space="0" w:color="E81111"/>
            </w:tcBorders>
            <w:shd w:fill="ECF8F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2" w:space="0" w:color="E81111"/>
              <w:bottom w:val="single" w:sz="12" w:space="0" w:color="E81111"/>
            </w:tcBorders>
            <w:shd w:fill="ECF8FE" w:val="clear"/>
            <w:tcMar>
              <w:left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12" w:space="0" w:color="E81111"/>
              <w:bottom w:val="single" w:sz="12" w:space="0" w:color="E81111"/>
            </w:tcBorders>
            <w:shd w:fill="ECF8FE" w:val="clear"/>
            <w:tcMar>
              <w:top w:w="30" w:type="dxa"/>
              <w:left w:w="0" w:type="dxa"/>
              <w:bottom w:w="30" w:type="dxa"/>
              <w:right w:w="0" w:type="dxa"/>
            </w:tcMar>
            <w:vAlign w:val="center"/>
          </w:tcPr>
          <w:p>
            <w:pPr>
              <w:pStyle w:val="TableContents"/>
              <w:bidi w:val="0"/>
              <w:spacing w:lineRule="auto" w:line="240" w:before="0" w:after="283"/>
              <w:jc w:val="right"/>
              <w:rPr/>
            </w:pPr>
            <w:r>
              <w:rPr>
                <w:rFonts w:ascii="Roboto;sans-serif" w:hAnsi="Roboto;sans-serif"/>
                <w:b/>
                <w:color w:val="000000"/>
                <w:sz w:val="16"/>
              </w:rPr>
              <w:t>341,962</w:t>
            </w:r>
            <w:r>
              <w:rPr>
                <w:color w:val="000000"/>
              </w:rPr>
              <w:t> </w:t>
            </w:r>
          </w:p>
        </w:tc>
        <w:tc>
          <w:tcPr>
            <w:tcW w:w="571" w:type="dxa"/>
            <w:tcBorders>
              <w:top w:val="single" w:sz="12" w:space="0" w:color="E81111"/>
              <w:bottom w:val="single" w:sz="12" w:space="0" w:color="E81111"/>
            </w:tcBorders>
            <w:shd w:fill="ECF8F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2" w:space="0" w:color="E81111"/>
              <w:bottom w:val="single" w:sz="12" w:space="0" w:color="E81111"/>
            </w:tcBorders>
            <w:shd w:fill="ECF8FE" w:val="clear"/>
            <w:tcMar>
              <w:left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12" w:space="0" w:color="E81111"/>
              <w:bottom w:val="single" w:sz="12" w:space="0" w:color="E81111"/>
            </w:tcBorders>
            <w:shd w:fill="ECF8FE"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6"/>
              </w:rPr>
            </w:pPr>
            <w:r>
              <w:rPr>
                <w:rFonts w:ascii="Roboto;sans-serif" w:hAnsi="Roboto;sans-serif"/>
                <w:b w:val="false"/>
                <w:color w:val="000000"/>
                <w:sz w:val="16"/>
              </w:rPr>
              <w:t>329,640 </w:t>
            </w:r>
          </w:p>
        </w:tc>
        <w:tc>
          <w:tcPr>
            <w:tcW w:w="730" w:type="dxa"/>
            <w:tcBorders>
              <w:top w:val="single" w:sz="12" w:space="0" w:color="E81111"/>
              <w:bottom w:val="single" w:sz="12" w:space="0" w:color="E81111"/>
            </w:tcBorders>
            <w:shd w:fill="ECF8F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63525"/>
                <wp:effectExtent l="0" t="0" r="0" b="0"/>
                <wp:wrapNone/>
                <wp:docPr id="482" name="Frame98"/>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before="0" w:after="0"/>
                              <w:jc w:val="right"/>
                              <w:rPr/>
                            </w:pPr>
                            <w:r>
                              <w:rPr/>
                              <w:drawing>
                                <wp:inline distT="0" distB="0" distL="0" distR="0">
                                  <wp:extent cx="266700" cy="200025"/>
                                  <wp:effectExtent l="0" t="0" r="0" b="0"/>
                                  <wp:docPr id="483"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Image292" descr=""/>
                                          <pic:cNvPicPr>
                                            <a:picLocks noChangeAspect="1" noChangeArrowheads="1"/>
                                          </pic:cNvPicPr>
                                        </pic:nvPicPr>
                                        <pic:blipFill>
                                          <a:blip r:embed="rId386"/>
                                          <a:stretch>
                                            <a:fillRect/>
                                          </a:stretch>
                                        </pic:blipFill>
                                        <pic:spPr bwMode="auto">
                                          <a:xfrm>
                                            <a:off x="0" y="0"/>
                                            <a:ext cx="266700" cy="200025"/>
                                          </a:xfrm>
                                          <a:prstGeom prst="rect">
                                            <a:avLst/>
                                          </a:prstGeom>
                                        </pic:spPr>
                                      </pic:pic>
                                    </a:graphicData>
                                  </a:graphic>
                                </wp:inline>
                              </w:drawing>
                            </w:r>
                            <w:bookmarkStart w:id="385" w:name="i-292"/>
                            <w:bookmarkEnd w:id="385"/>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66700" cy="200025"/>
                            <wp:effectExtent l="0" t="0" r="0" b="0"/>
                            <wp:docPr id="484"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292" descr=""/>
                                    <pic:cNvPicPr>
                                      <a:picLocks noChangeAspect="1" noChangeArrowheads="1"/>
                                    </pic:cNvPicPr>
                                  </pic:nvPicPr>
                                  <pic:blipFill>
                                    <a:blip r:embed="rId387"/>
                                    <a:stretch>
                                      <a:fillRect/>
                                    </a:stretch>
                                  </pic:blipFill>
                                  <pic:spPr bwMode="auto">
                                    <a:xfrm>
                                      <a:off x="0" y="0"/>
                                      <a:ext cx="266700" cy="200025"/>
                                    </a:xfrm>
                                    <a:prstGeom prst="rect">
                                      <a:avLst/>
                                    </a:prstGeom>
                                  </pic:spPr>
                                </pic:pic>
                              </a:graphicData>
                            </a:graphic>
                          </wp:inline>
                        </w:drawing>
                      </w:r>
                      <w:bookmarkStart w:id="386" w:name="i-292"/>
                      <w:bookmarkEnd w:id="386"/>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Roboto Slab Bold;sans-serif" w:hAnsi="Roboto Slab Bold;sans-serif"/>
          <w:b/>
          <w:color w:val="000000"/>
          <w:sz w:val="64"/>
        </w:rPr>
      </w:pPr>
      <w:r>
        <w:rPr>
          <w:rFonts w:ascii="Roboto Slab Bold;sans-serif" w:hAnsi="Roboto Slab Bold;sans-serif"/>
          <w:b/>
          <w:color w:val="000000"/>
          <w:sz w:val="64"/>
        </w:rPr>
        <w:t>Thank you</w:t>
      </w:r>
    </w:p>
    <w:p>
      <w:pPr>
        <w:pStyle w:val="TextBody"/>
        <w:bidi w:val="0"/>
        <w:spacing w:lineRule="auto" w:line="288" w:before="0" w:after="0"/>
        <w:jc w:val="center"/>
        <w:rPr>
          <w:rFonts w:ascii="Roboto Slab Bold;sans-serif" w:hAnsi="Roboto Slab Bold;sans-serif"/>
          <w:b/>
          <w:color w:val="000000"/>
          <w:sz w:val="64"/>
        </w:rPr>
      </w:pPr>
      <w:r>
        <w:rPr>
          <w:rFonts w:ascii="Roboto Slab Bold;sans-serif" w:hAnsi="Roboto Slab Bold;sans-serif"/>
          <w:b/>
          <w:color w:val="000000"/>
          <w:sz w:val="64"/>
        </w:rPr>
        <w:t>for being a stockholder.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4572000" cy="1095375"/>
            <wp:effectExtent l="0" t="0" r="0" b="0"/>
            <wp:docPr id="485"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Image293" descr=""/>
                    <pic:cNvPicPr>
                      <a:picLocks noChangeAspect="1" noChangeArrowheads="1"/>
                    </pic:cNvPicPr>
                  </pic:nvPicPr>
                  <pic:blipFill>
                    <a:blip r:embed="rId388"/>
                    <a:stretch>
                      <a:fillRect/>
                    </a:stretch>
                  </pic:blipFill>
                  <pic:spPr bwMode="auto">
                    <a:xfrm>
                      <a:off x="0" y="0"/>
                      <a:ext cx="4572000" cy="1095375"/>
                    </a:xfrm>
                    <a:prstGeom prst="rect">
                      <a:avLst/>
                    </a:prstGeom>
                  </pic:spPr>
                </pic:pic>
              </a:graphicData>
            </a:graphic>
          </wp:inline>
        </w:drawing>
      </w:r>
      <w:bookmarkStart w:id="387" w:name="i-293"/>
      <w:bookmarkEnd w:id="387"/>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Roboto Slab Bold;sans-serif" w:hAnsi="Roboto Slab Bold;sans-serif"/>
          <w:b/>
          <w:i/>
          <w:color w:val="000000"/>
          <w:sz w:val="24"/>
        </w:rPr>
      </w:pPr>
      <w:r>
        <w:rPr>
          <w:rFonts w:ascii="Roboto Slab Bold;sans-serif" w:hAnsi="Roboto Slab Bold;sans-serif"/>
          <w:b/>
          <w:i/>
          <w:color w:val="000000"/>
          <w:sz w:val="24"/>
        </w:rPr>
        <w:t>Learn more at academy.com.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175260"/>
                <wp:effectExtent l="0" t="0" r="0" b="0"/>
                <wp:wrapNone/>
                <wp:docPr id="486"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55"/>
        <w:gridCol w:w="487"/>
        <w:gridCol w:w="489"/>
        <w:gridCol w:w="2535"/>
        <w:gridCol w:w="2535"/>
        <w:gridCol w:w="3604"/>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535" w:type="dxa"/>
            <w:tcBorders/>
            <w:vAlign w:val="center"/>
          </w:tcPr>
          <w:p>
            <w:pPr>
              <w:pStyle w:val="TableContents"/>
              <w:bidi w:val="0"/>
              <w:spacing w:before="0" w:after="283"/>
              <w:jc w:val="left"/>
              <w:rPr>
                <w:sz w:val="4"/>
                <w:szCs w:val="4"/>
              </w:rPr>
            </w:pPr>
            <w:r>
              <w:rPr>
                <w:sz w:val="4"/>
                <w:szCs w:val="4"/>
              </w:rPr>
            </w:r>
          </w:p>
        </w:tc>
        <w:tc>
          <w:tcPr>
            <w:tcW w:w="2535" w:type="dxa"/>
            <w:tcBorders/>
            <w:vAlign w:val="center"/>
          </w:tcPr>
          <w:p>
            <w:pPr>
              <w:pStyle w:val="TableContents"/>
              <w:bidi w:val="0"/>
              <w:spacing w:before="0" w:after="283"/>
              <w:jc w:val="left"/>
              <w:rPr>
                <w:sz w:val="4"/>
                <w:szCs w:val="4"/>
              </w:rPr>
            </w:pPr>
            <w:r>
              <w:rPr>
                <w:sz w:val="4"/>
                <w:szCs w:val="4"/>
              </w:rPr>
            </w:r>
          </w:p>
        </w:tc>
        <w:tc>
          <w:tcPr>
            <w:tcW w:w="360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ACADEMY SPORTS AND OUTDOORS, INC.</w:t>
              <w:br/>
              <w:t>C/O BROADRIDGE</w:t>
              <w:br/>
              <w:t>P.O. BOX 1342</w:t>
              <w:br/>
              <w:t>BRENTWOOD, NY 11717</w:t>
            </w:r>
          </w:p>
        </w:tc>
        <w:tc>
          <w:tcPr>
            <w:tcW w:w="86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VOTE BY INTERNET - www.proxyvote.com or scan the QR Barcode above</w:t>
            </w:r>
          </w:p>
          <w:p>
            <w:pPr>
              <w:pStyle w:val="TableContents"/>
              <w:bidi w:val="0"/>
              <w:spacing w:lineRule="auto" w:line="240" w:before="0" w:after="0"/>
              <w:jc w:val="both"/>
              <w:rPr>
                <w:rFonts w:ascii="Arial;sans-serif" w:hAnsi="Arial;sans-serif"/>
                <w:b w:val="false"/>
                <w:color w:val="000000"/>
                <w:sz w:val="14"/>
              </w:rPr>
            </w:pPr>
            <w:r>
              <w:rPr>
                <w:rFonts w:ascii="Arial;sans-serif" w:hAnsi="Arial;sans-serif"/>
                <w:b w:val="false"/>
                <w:color w:val="000000"/>
                <w:sz w:val="14"/>
              </w:rPr>
              <w:t>Use the Internet to transmit your voting instructions and for electronic delivery of information up until 10:59 P.M. Central Time the day before the meeting date. Have this proxy card in hand when you access the web site and then follow the instructions to obtain your records and to create an electronic voting instruction form.</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ELECTRONIC DELIVERY OF FUTURE PROXY MATERIALS</w:t>
            </w:r>
          </w:p>
          <w:p>
            <w:pPr>
              <w:pStyle w:val="TableContents"/>
              <w:bidi w:val="0"/>
              <w:spacing w:lineRule="auto" w:line="240" w:before="0" w:after="0"/>
              <w:jc w:val="both"/>
              <w:rPr>
                <w:rFonts w:ascii="Arial;sans-serif" w:hAnsi="Arial;sans-serif"/>
                <w:b w:val="false"/>
                <w:color w:val="000000"/>
                <w:sz w:val="14"/>
              </w:rPr>
            </w:pPr>
            <w:r>
              <w:rPr>
                <w:rFonts w:ascii="Arial;sans-serif" w:hAnsi="Arial;sans-serif"/>
                <w:b w:val="false"/>
                <w:color w:val="000000"/>
                <w:sz w:val="14"/>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000000"/>
                <w:sz w:val="14"/>
              </w:rPr>
            </w:pPr>
            <w:r>
              <w:rPr>
                <w:rFonts w:ascii="Arial;sans-serif" w:hAnsi="Arial;sans-serif"/>
                <w:b/>
                <w:color w:val="000000"/>
                <w:sz w:val="14"/>
              </w:rPr>
              <w:t>VOTE BY PHONE - 1-800-690-6903</w:t>
            </w:r>
          </w:p>
          <w:p>
            <w:pPr>
              <w:pStyle w:val="TableContents"/>
              <w:bidi w:val="0"/>
              <w:spacing w:lineRule="auto" w:line="240" w:before="0" w:after="0"/>
              <w:jc w:val="both"/>
              <w:rPr>
                <w:rFonts w:ascii="Arial;sans-serif" w:hAnsi="Arial;sans-serif"/>
                <w:b w:val="false"/>
                <w:color w:val="000000"/>
                <w:sz w:val="14"/>
              </w:rPr>
            </w:pPr>
            <w:r>
              <w:rPr>
                <w:rFonts w:ascii="Arial;sans-serif" w:hAnsi="Arial;sans-serif"/>
                <w:b w:val="false"/>
                <w:color w:val="000000"/>
                <w:sz w:val="14"/>
              </w:rPr>
              <w:t>Use any touch-tone telephone to transmit your voting instructions up until 10:59 P.M. Central Time the day before the meeting date. Have this proxy card in hand when you call and then follow the instructions.</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VOTE BY MAIL</w:t>
            </w:r>
          </w:p>
          <w:p>
            <w:pPr>
              <w:pStyle w:val="TableContents"/>
              <w:bidi w:val="0"/>
              <w:spacing w:lineRule="auto" w:line="240" w:before="0" w:after="0"/>
              <w:jc w:val="both"/>
              <w:rPr>
                <w:rFonts w:ascii="Arial;sans-serif" w:hAnsi="Arial;sans-serif"/>
                <w:b w:val="false"/>
                <w:color w:val="000000"/>
                <w:sz w:val="14"/>
              </w:rPr>
            </w:pPr>
            <w:r>
              <w:rPr>
                <w:rFonts w:ascii="Arial;sans-serif" w:hAnsi="Arial;sans-serif"/>
                <w:b w:val="false"/>
                <w:color w:val="000000"/>
                <w:sz w:val="14"/>
              </w:rPr>
              <w:t>Mark, sign and date your proxy card and return it in the postage-paid envelope we have provided or return it to Vote Processing, c/o Broadridge, 51 Mercedes Way, Edgewood, NY 11717.</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TO VOTE, MARK BLOCKS BELOW IN BLUE OR BLACK INK AS FOLLOWS: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12"/>
        </w:rPr>
      </w:pPr>
      <w:r>
        <w:rPr>
          <w:rFonts w:ascii="Arial;sans-serif" w:hAnsi="Arial;sans-serif"/>
          <w:b w:val="false"/>
          <w:color w:val="000000"/>
          <w:sz w:val="12"/>
        </w:rPr>
        <w:t>V92062-P50534 KEEP THIS PORTION FOR YOUR RECORDS</w:t>
      </w:r>
    </w:p>
    <w:p>
      <w:pPr>
        <w:pStyle w:val="TextBody"/>
        <w:bidi w:val="0"/>
        <w:spacing w:lineRule="auto" w:line="288" w:before="0" w:after="0"/>
        <w:ind w:left="0" w:right="0" w:hanging="4050"/>
        <w:jc w:val="left"/>
        <w:rPr>
          <w:rFonts w:ascii="Arial;sans-serif" w:hAnsi="Arial;sans-serif"/>
          <w:b w:val="false"/>
          <w:color w:val="000000"/>
          <w:sz w:val="12"/>
        </w:rPr>
      </w:pPr>
      <w:r>
        <w:rPr>
          <w:rFonts w:ascii="Arial;sans-serif" w:hAnsi="Arial;sans-serif"/>
          <w:b w:val="false"/>
          <w:color w:val="000000"/>
          <w:sz w:val="12"/>
        </w:rPr>
        <w:t>------------------------------------------------------------------------------------------------------------------------------------------------------------------------------------------------------------------------------------</w:t>
      </w:r>
    </w:p>
    <w:p>
      <w:pPr>
        <w:pStyle w:val="TextBody"/>
        <w:bidi w:val="0"/>
        <w:spacing w:lineRule="auto" w:line="288" w:before="0" w:after="0"/>
        <w:ind w:left="0" w:right="0" w:hanging="4050"/>
        <w:jc w:val="right"/>
        <w:rPr>
          <w:rFonts w:ascii="Arial;sans-serif" w:hAnsi="Arial;sans-serif"/>
          <w:b w:val="false"/>
          <w:color w:val="000000"/>
          <w:sz w:val="12"/>
        </w:rPr>
      </w:pPr>
      <w:r>
        <w:rPr>
          <w:rFonts w:ascii="Arial;sans-serif" w:hAnsi="Arial;sans-serif"/>
          <w:b w:val="false"/>
          <w:color w:val="000000"/>
          <w:sz w:val="12"/>
        </w:rPr>
        <w:t>DETACH AND RETURN THIS PORTION ONLY</w:t>
      </w:r>
    </w:p>
    <w:p>
      <w:pPr>
        <w:pStyle w:val="TextBody"/>
        <w:bidi w:val="0"/>
        <w:spacing w:lineRule="auto" w:line="288" w:before="0" w:after="0"/>
        <w:ind w:left="0" w:right="0" w:hanging="4050"/>
        <w:jc w:val="center"/>
        <w:rPr>
          <w:rFonts w:ascii="Arial;sans-serif" w:hAnsi="Arial;sans-serif"/>
          <w:b/>
          <w:color w:val="000000"/>
          <w:sz w:val="12"/>
        </w:rPr>
      </w:pPr>
      <w:r>
        <w:rPr>
          <w:rFonts w:ascii="Arial;sans-serif" w:hAnsi="Arial;sans-serif"/>
          <w:b/>
          <w:color w:val="000000"/>
          <w:sz w:val="12"/>
        </w:rPr>
        <w:t>THIS PROXY CARD IS VALID ONLY WHEN SIGNED AND DATED.</w:t>
      </w:r>
    </w:p>
    <w:p>
      <w:pPr>
        <w:pStyle w:val="TextBody"/>
        <w:bidi w:val="0"/>
        <w:spacing w:before="0" w:after="0"/>
        <w:ind w:left="0" w:right="0" w:hanging="405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661"/>
        <w:gridCol w:w="661"/>
        <w:gridCol w:w="661"/>
        <w:gridCol w:w="661"/>
        <w:gridCol w:w="661"/>
        <w:gridCol w:w="662"/>
        <w:gridCol w:w="425"/>
        <w:gridCol w:w="425"/>
        <w:gridCol w:w="425"/>
        <w:gridCol w:w="276"/>
        <w:gridCol w:w="276"/>
        <w:gridCol w:w="277"/>
        <w:gridCol w:w="203"/>
        <w:gridCol w:w="203"/>
        <w:gridCol w:w="203"/>
        <w:gridCol w:w="411"/>
        <w:gridCol w:w="411"/>
        <w:gridCol w:w="414"/>
        <w:gridCol w:w="132"/>
        <w:gridCol w:w="132"/>
        <w:gridCol w:w="132"/>
        <w:gridCol w:w="194"/>
        <w:gridCol w:w="194"/>
        <w:gridCol w:w="195"/>
        <w:gridCol w:w="194"/>
        <w:gridCol w:w="194"/>
        <w:gridCol w:w="195"/>
        <w:gridCol w:w="109"/>
        <w:gridCol w:w="109"/>
        <w:gridCol w:w="1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ACADEMY SPORTS AND OUTDOORS, INC.</w:t>
            </w:r>
          </w:p>
        </w:tc>
        <w:tc>
          <w:tcPr>
            <w:tcW w:w="8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16"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1"/>
              </w:rPr>
            </w:pPr>
            <w:r>
              <w:rPr>
                <w:rFonts w:ascii="Arial;sans-serif" w:hAnsi="Arial;sans-serif"/>
                <w:b/>
                <w:color w:val="000000"/>
                <w:sz w:val="11"/>
              </w:rPr>
              <w:t>The Board of Directors recommends you vote FOR each of the director nominees in Proposal 1.</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67" w:type="dxa"/>
            <w:gridSpan w:val="6"/>
            <w:tcBorders/>
            <w:tcMar>
              <w:top w:w="0" w:type="dxa"/>
              <w:left w:w="0" w:type="dxa"/>
              <w:bottom w:w="0" w:type="dxa"/>
              <w:right w:w="0" w:type="dxa"/>
            </w:tcMar>
            <w:vAlign w:val="center"/>
          </w:tcPr>
          <w:p>
            <w:pPr>
              <w:pStyle w:val="TableContents"/>
              <w:bidi w:val="0"/>
              <w:spacing w:lineRule="auto" w:line="240" w:before="0" w:after="0"/>
              <w:ind w:left="0" w:right="0" w:hanging="540"/>
              <w:jc w:val="left"/>
              <w:rPr>
                <w:rFonts w:ascii="Arial;sans-serif" w:hAnsi="Arial;sans-serif"/>
                <w:b w:val="false"/>
                <w:color w:val="000000"/>
                <w:sz w:val="11"/>
              </w:rPr>
            </w:pPr>
            <w:r>
              <w:rPr>
                <w:rFonts w:ascii="Arial;sans-serif" w:hAnsi="Arial;sans-serif"/>
                <w:b w:val="false"/>
                <w:color w:val="000000"/>
                <w:sz w:val="11"/>
              </w:rPr>
              <w:t>1.Election of Class III Directors</w:t>
            </w:r>
          </w:p>
          <w:p>
            <w:pPr>
              <w:pStyle w:val="TableContents"/>
              <w:bidi w:val="0"/>
              <w:spacing w:lineRule="auto" w:line="240" w:before="0" w:after="0"/>
              <w:ind w:left="0" w:right="0" w:firstLine="720"/>
              <w:jc w:val="left"/>
              <w:rPr>
                <w:color w:val="000000"/>
              </w:rPr>
            </w:pPr>
            <w:r>
              <w:rPr>
                <w:color w:val="000000"/>
              </w:rPr>
              <w:t>                     </w:t>
            </w:r>
            <w:r>
              <w:rPr>
                <w:rFonts w:ascii="Arial;sans-serif" w:hAnsi="Arial;sans-serif"/>
                <w:b/>
                <w:color w:val="000000"/>
                <w:sz w:val="11"/>
              </w:rPr>
              <w:t>Nominees</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For</w:t>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Withhold</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1a. Ken Hicks</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1b. Beryl Raff</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1c. Jeff Tweedy</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16"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1"/>
              </w:rPr>
            </w:pPr>
            <w:r>
              <w:rPr>
                <w:rFonts w:ascii="Arial;sans-serif" w:hAnsi="Arial;sans-serif"/>
                <w:b/>
                <w:color w:val="000000"/>
                <w:sz w:val="11"/>
              </w:rPr>
              <w:t>The Board of Directors recommends you vote FOR Proposals 2 and 3.</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For</w:t>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Against</w:t>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1"/>
              </w:rPr>
            </w:pPr>
            <w:r>
              <w:rPr>
                <w:rFonts w:ascii="Arial;sans-serif" w:hAnsi="Arial;sans-serif"/>
                <w:b/>
                <w:color w:val="000000"/>
                <w:sz w:val="11"/>
              </w:rPr>
              <w:t>Abstain</w:t>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16" w:type="dxa"/>
            <w:gridSpan w:val="18"/>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1"/>
              </w:rPr>
              <w:t>2. Ratification of the appointment of Deloitte &amp; Touche LLP as the Company’s independent registered public accounting firm for fiscal 2026.</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16" w:type="dxa"/>
            <w:gridSpan w:val="18"/>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1"/>
              </w:rPr>
              <w:t>3. Approval, on a non-binding advisory basis, of the fiscal 2025 compensation paid to the Company’s named executive officers.</w:t>
            </w:r>
          </w:p>
        </w:tc>
        <w:tc>
          <w:tcPr>
            <w:tcW w:w="3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16"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16"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Note: The proxies will vote in their discretion upon such other business as may properly come before the Annual Meeting or any adjournment or postponement thereof.</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8" w:type="dxa"/>
            <w:gridSpan w:val="27"/>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1"/>
              </w:rPr>
            </w:pPr>
            <w:r>
              <w:rPr>
                <w:rFonts w:ascii="Arial;sans-serif" w:hAnsi="Arial;sans-serif"/>
                <w:b w:val="false"/>
                <w:color w:val="000000"/>
                <w:sz w:val="11"/>
              </w:rPr>
              <w:t>Authorized Signatures. This section must be completed for your vote to be counted. Sign and date below. Please sign exactly as name(s) appear(s) hereon. Joint owners should each sign. When signing as attorney, executor, administrator, corporate officer, trustee, guardian, or custodian, please give full title.</w:t>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67" w:type="dxa"/>
            <w:gridSpan w:val="6"/>
            <w:tcBorders>
              <w:top w:val="single" w:sz="4" w:space="0" w:color="000000"/>
              <w:left w:val="single" w:sz="4" w:space="0" w:color="000000"/>
              <w:bottom w:val="single" w:sz="12"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4"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6"/>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left w:val="single" w:sz="4"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67" w:type="dxa"/>
            <w:gridSpan w:val="6"/>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Signature [PLEASE SIGN WITHIN THE BOX]</w:t>
            </w:r>
          </w:p>
        </w:tc>
        <w:tc>
          <w:tcPr>
            <w:tcW w:w="2104" w:type="dxa"/>
            <w:gridSpan w:val="6"/>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Date</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1"/>
              </w:rPr>
            </w:pPr>
            <w:r>
              <w:rPr>
                <w:rFonts w:ascii="Arial;sans-serif" w:hAnsi="Arial;sans-serif"/>
                <w:b w:val="false"/>
                <w:color w:val="000000"/>
                <w:sz w:val="11"/>
              </w:rPr>
              <w:t>Signature (Joint Owners)</w:t>
            </w:r>
          </w:p>
        </w:tc>
        <w:tc>
          <w:tcPr>
            <w:tcW w:w="39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Date</w:t>
            </w:r>
          </w:p>
        </w:tc>
        <w:tc>
          <w:tcPr>
            <w:tcW w:w="58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175260"/>
                <wp:effectExtent l="0" t="0" r="0" b="0"/>
                <wp:wrapNone/>
                <wp:docPr id="487"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Important Notice Regarding the Availability of Proxy Materials for the Annual Meeting:</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Notice, Proxy Statement and Annual Report are available at www.proxyvote.com.</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p>
      <w:pPr>
        <w:pStyle w:val="TextBody"/>
        <w:bidi w:val="0"/>
        <w:spacing w:lineRule="auto" w:line="288" w:before="0" w:after="0"/>
        <w:ind w:left="0" w:right="0" w:firstLine="720"/>
        <w:jc w:val="right"/>
        <w:rPr>
          <w:rFonts w:ascii="Arial;sans-serif" w:hAnsi="Arial;sans-serif"/>
          <w:b w:val="false"/>
          <w:color w:val="000000"/>
          <w:sz w:val="12"/>
        </w:rPr>
      </w:pPr>
      <w:r>
        <w:rPr>
          <w:rFonts w:ascii="Arial;sans-serif" w:hAnsi="Arial;sans-serif"/>
          <w:b w:val="false"/>
          <w:color w:val="000000"/>
          <w:sz w:val="12"/>
        </w:rPr>
        <w:t>V92062-P50534</w:t>
      </w:r>
    </w:p>
    <w:p>
      <w:pPr>
        <w:pStyle w:val="TextBody"/>
        <w:bidi w:val="0"/>
        <w:spacing w:before="0" w:after="0"/>
        <w:jc w:val="right"/>
        <w:rPr/>
      </w:pPr>
      <w:r>
        <w:rPr/>
      </w:r>
    </w:p>
    <w:tbl>
      <w:tblPr>
        <w:tblW w:w="10205" w:type="dxa"/>
        <w:jc w:val="right"/>
        <w:tblInd w:w="0" w:type="dxa"/>
        <w:tblLayout w:type="fixed"/>
        <w:tblCellMar>
          <w:top w:w="28" w:type="dxa"/>
          <w:left w:w="28" w:type="dxa"/>
          <w:bottom w:w="28" w:type="dxa"/>
          <w:right w:w="28" w:type="dxa"/>
        </w:tblCellMar>
      </w:tblPr>
      <w:tblGrid>
        <w:gridCol w:w="3533"/>
        <w:gridCol w:w="2756"/>
        <w:gridCol w:w="3916"/>
      </w:tblGrid>
      <w:tr>
        <w:trPr/>
        <w:tc>
          <w:tcPr>
            <w:tcW w:w="3533"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THIS PROXY IS SOLICITED ON BEHALF OF THE BOARD OF DIRECTORS</w:t>
              <w:br/>
              <w:t>OF ACADEMY SPORTS AND OUTDOORS, INC.</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8"/>
              </w:rPr>
            </w:pPr>
            <w:r>
              <w:rPr>
                <w:rFonts w:ascii="Arial;sans-serif" w:hAnsi="Arial;sans-serif"/>
                <w:b w:val="false"/>
                <w:color w:val="000000"/>
                <w:sz w:val="18"/>
              </w:rPr>
              <w:t>I hereby appoint Wendy Beck and Theresa Palermo, or either of them, as proxies, with power of substitution to each, to vote all shares of common stock that I am entitled to vote at the Annual Meeting of Stockholders of Academy Sports and Outdoors, Inc. to be held on Thursday, June 4, 2026 at 8:00 A.M. Central Time, or at any adjournment or postponement thereof, in accordance with the instruction on the reverse side of this card and with the same effect as though I were present at the Annual Meeting and voting such shares. My appointed proxies are authorized in their discretion to vote upon such other business as may properly come before the Annual Meeting or any adjournment or postponement thereof.</w:t>
            </w:r>
          </w:p>
          <w:p>
            <w:pPr>
              <w:pStyle w:val="TableContents"/>
              <w:bidi w:val="0"/>
              <w:spacing w:before="0" w:after="0"/>
              <w:jc w:val="both"/>
              <w:rPr/>
            </w:pPr>
            <w:r>
              <w:rPr/>
            </w:r>
          </w:p>
          <w:p>
            <w:pPr>
              <w:pStyle w:val="TableContents"/>
              <w:bidi w:val="0"/>
              <w:spacing w:lineRule="auto" w:line="240" w:before="0" w:after="0"/>
              <w:jc w:val="both"/>
              <w:rPr>
                <w:rFonts w:ascii="Arial;sans-serif" w:hAnsi="Arial;sans-serif"/>
                <w:b/>
                <w:color w:val="000000"/>
                <w:sz w:val="18"/>
              </w:rPr>
            </w:pPr>
            <w:r>
              <w:rPr>
                <w:rFonts w:ascii="Arial;sans-serif" w:hAnsi="Arial;sans-serif"/>
                <w:b/>
                <w:color w:val="000000"/>
                <w:sz w:val="18"/>
              </w:rPr>
              <w:t>UNLESS A CONTRARY DIRECTION IS INDICATED, THIS PROXY, WHEN PROPERLY EXECUTED AND RETURNED, WILL BE VOTED “FOR” EACH OF THE NOMINEES FOR DIRECTOR LISTED IN PROPOSAL 1, “FOR” PROPOSALS 2 AND 3, AND IN THE DISCRETION OF THE APPOINTED PROXIES UPON SUCH OTHER BUSINESS AS MAY PROPERLY COME BEFORE THE ANNUAL MEETING OR ANY ADJOURNMENT OR POSTPONEMENT THEREOF (INCLUDING, IF APPLICABLE, ON ANY MATTER WHICH THE BOARD OF DIRECTORS DID NOT KNOW WOULD BE PRESENTED AT THE ANNUAL MEETING OF STOCKHOLDERS BY REASONABLE TIME BEFORE THE PROXY SOLICITATION WAS MADE OR FOR THE ELECTION OF A PERSON TO THE BOARD OF DIRECTORS IF ANY NOMINEE NAMED IN PROPOSAL NO. 1 BECOMES UNABLE TO SERVE OR FOR GOOD CAUSE WILL NOT SERVE). IF SPECIFIC INSTRUCTIONS ARE INDICATED, THIS PROXY WILL BE VOTED IN ACCORDANCE THEREWITH.</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If you vote by phone or Internet, please do not mail your proxy card.</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Thank You For Voting.</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Continued and to be signed and dated on reverse side</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175260"/>
                <wp:effectExtent l="0" t="0" r="0" b="0"/>
                <wp:wrapNone/>
                <wp:docPr id="488"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Helvetica">
    <w:altName w:val="Arial"/>
    <w:charset w:val="01"/>
    <w:family w:val="auto"/>
    <w:pitch w:val="default"/>
  </w:font>
  <w:font w:name="Helvetica Light">
    <w:altName w:val="sans-serif"/>
    <w:charset w:val="01"/>
    <w:family w:val="auto"/>
    <w:pitch w:val="default"/>
  </w:font>
  <w:font w:name="Roboto Black">
    <w:altName w:val="sans-serif"/>
    <w:charset w:val="01"/>
    <w:family w:val="auto"/>
    <w:pitch w:val="default"/>
  </w:font>
  <w:font w:name="Roboto">
    <w:altName w:val="sans-serif"/>
    <w:charset w:val="01"/>
    <w:family w:val="auto"/>
    <w:pitch w:val="default"/>
  </w:font>
  <w:font w:name="Arial">
    <w:altName w:val="sans-serif"/>
    <w:charset w:val="01"/>
    <w:family w:val="auto"/>
    <w:pitch w:val="default"/>
  </w:font>
  <w:font w:name="Roboto Light">
    <w:altName w:val="sans-serif"/>
    <w:charset w:val="01"/>
    <w:family w:val="auto"/>
    <w:pitch w:val="default"/>
  </w:font>
  <w:font w:name="Webdings">
    <w:altName w:val="sans-serif"/>
    <w:charset w:val="02"/>
    <w:family w:val="auto"/>
    <w:pitch w:val="default"/>
  </w:font>
  <w:font w:name="Roboto Slab Bold">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gif"/><Relationship Id="rId9" Type="http://schemas.openxmlformats.org/officeDocument/2006/relationships/image" Target="media/image7.gif"/><Relationship Id="rId10" Type="http://schemas.openxmlformats.org/officeDocument/2006/relationships/image" Target="media/image8.gif"/><Relationship Id="rId11" Type="http://schemas.openxmlformats.org/officeDocument/2006/relationships/image" Target="media/image9.gif"/><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1.jpeg"/><Relationship Id="rId15" Type="http://schemas.openxmlformats.org/officeDocument/2006/relationships/image" Target="media/image11.jpeg"/><Relationship Id="rId16" Type="http://schemas.openxmlformats.org/officeDocument/2006/relationships/image" Target="media/image11.jpeg"/><Relationship Id="rId17" Type="http://schemas.openxmlformats.org/officeDocument/2006/relationships/image" Target="media/image11.jpeg"/><Relationship Id="rId18" Type="http://schemas.openxmlformats.org/officeDocument/2006/relationships/image" Target="media/image11.jpeg"/><Relationship Id="rId19" Type="http://schemas.openxmlformats.org/officeDocument/2006/relationships/image" Target="media/image6.gif"/><Relationship Id="rId20" Type="http://schemas.openxmlformats.org/officeDocument/2006/relationships/image" Target="media/image12.gif"/><Relationship Id="rId21" Type="http://schemas.openxmlformats.org/officeDocument/2006/relationships/image" Target="media/image13.gif"/><Relationship Id="rId22" Type="http://schemas.openxmlformats.org/officeDocument/2006/relationships/image" Target="media/image14.gif"/><Relationship Id="rId23" Type="http://schemas.openxmlformats.org/officeDocument/2006/relationships/image" Target="media/image15.gif"/><Relationship Id="rId24" Type="http://schemas.openxmlformats.org/officeDocument/2006/relationships/image" Target="media/image11.jpeg"/><Relationship Id="rId25" Type="http://schemas.openxmlformats.org/officeDocument/2006/relationships/image" Target="media/image11.jpeg"/><Relationship Id="rId26" Type="http://schemas.openxmlformats.org/officeDocument/2006/relationships/image" Target="media/image11.jpeg"/><Relationship Id="rId27" Type="http://schemas.openxmlformats.org/officeDocument/2006/relationships/image" Target="media/image11.jpeg"/><Relationship Id="rId28" Type="http://schemas.openxmlformats.org/officeDocument/2006/relationships/image" Target="media/image11.jpeg"/><Relationship Id="rId29" Type="http://schemas.openxmlformats.org/officeDocument/2006/relationships/image" Target="media/image11.jpeg"/><Relationship Id="rId30" Type="http://schemas.openxmlformats.org/officeDocument/2006/relationships/image" Target="media/image11.jpeg"/><Relationship Id="rId31" Type="http://schemas.openxmlformats.org/officeDocument/2006/relationships/image" Target="media/image11.jpeg"/><Relationship Id="rId32" Type="http://schemas.openxmlformats.org/officeDocument/2006/relationships/image" Target="media/image12.gif"/><Relationship Id="rId33" Type="http://schemas.openxmlformats.org/officeDocument/2006/relationships/image" Target="media/image13.gif"/><Relationship Id="rId34" Type="http://schemas.openxmlformats.org/officeDocument/2006/relationships/image" Target="media/image14.gif"/><Relationship Id="rId35" Type="http://schemas.openxmlformats.org/officeDocument/2006/relationships/image" Target="media/image15.gif"/><Relationship Id="rId36" Type="http://schemas.openxmlformats.org/officeDocument/2006/relationships/image" Target="media/image11.jpeg"/><Relationship Id="rId37" Type="http://schemas.openxmlformats.org/officeDocument/2006/relationships/image" Target="media/image11.jpeg"/><Relationship Id="rId38" Type="http://schemas.openxmlformats.org/officeDocument/2006/relationships/image" Target="media/image12.gif"/><Relationship Id="rId39" Type="http://schemas.openxmlformats.org/officeDocument/2006/relationships/image" Target="media/image13.gif"/><Relationship Id="rId40" Type="http://schemas.openxmlformats.org/officeDocument/2006/relationships/image" Target="media/image14.gif"/><Relationship Id="rId41" Type="http://schemas.openxmlformats.org/officeDocument/2006/relationships/image" Target="media/image15.gif"/><Relationship Id="rId42" Type="http://schemas.openxmlformats.org/officeDocument/2006/relationships/image" Target="media/image16.gif"/><Relationship Id="rId43" Type="http://schemas.openxmlformats.org/officeDocument/2006/relationships/image" Target="media/image11.jpeg"/><Relationship Id="rId44" Type="http://schemas.openxmlformats.org/officeDocument/2006/relationships/image" Target="media/image11.jpeg"/><Relationship Id="rId45" Type="http://schemas.openxmlformats.org/officeDocument/2006/relationships/image" Target="media/image11.jpeg"/><Relationship Id="rId46" Type="http://schemas.openxmlformats.org/officeDocument/2006/relationships/image" Target="media/image11.jpeg"/><Relationship Id="rId47" Type="http://schemas.openxmlformats.org/officeDocument/2006/relationships/image" Target="media/image11.jpeg"/><Relationship Id="rId48" Type="http://schemas.openxmlformats.org/officeDocument/2006/relationships/image" Target="media/image11.jpeg"/><Relationship Id="rId49" Type="http://schemas.openxmlformats.org/officeDocument/2006/relationships/image" Target="media/image17.gif"/><Relationship Id="rId50" Type="http://schemas.openxmlformats.org/officeDocument/2006/relationships/image" Target="media/image18.gif"/><Relationship Id="rId51" Type="http://schemas.openxmlformats.org/officeDocument/2006/relationships/image" Target="media/image19.gif"/><Relationship Id="rId52" Type="http://schemas.openxmlformats.org/officeDocument/2006/relationships/image" Target="media/image20.gif"/><Relationship Id="rId53" Type="http://schemas.openxmlformats.org/officeDocument/2006/relationships/image" Target="media/image21.gif"/><Relationship Id="rId54" Type="http://schemas.openxmlformats.org/officeDocument/2006/relationships/image" Target="media/image22.gif"/><Relationship Id="rId55" Type="http://schemas.openxmlformats.org/officeDocument/2006/relationships/image" Target="media/image23.gif"/><Relationship Id="rId56" Type="http://schemas.openxmlformats.org/officeDocument/2006/relationships/image" Target="media/image24.gif"/><Relationship Id="rId57" Type="http://schemas.openxmlformats.org/officeDocument/2006/relationships/image" Target="media/image25.gif"/><Relationship Id="rId58" Type="http://schemas.openxmlformats.org/officeDocument/2006/relationships/image" Target="media/image26.gif"/><Relationship Id="rId59" Type="http://schemas.openxmlformats.org/officeDocument/2006/relationships/image" Target="media/image27.gif"/><Relationship Id="rId60" Type="http://schemas.openxmlformats.org/officeDocument/2006/relationships/image" Target="media/image28.gif"/><Relationship Id="rId61" Type="http://schemas.openxmlformats.org/officeDocument/2006/relationships/image" Target="media/image11.jpeg"/><Relationship Id="rId62" Type="http://schemas.openxmlformats.org/officeDocument/2006/relationships/image" Target="media/image11.jpeg"/><Relationship Id="rId63" Type="http://schemas.openxmlformats.org/officeDocument/2006/relationships/image" Target="media/image17.gif"/><Relationship Id="rId64" Type="http://schemas.openxmlformats.org/officeDocument/2006/relationships/image" Target="media/image18.gif"/><Relationship Id="rId65" Type="http://schemas.openxmlformats.org/officeDocument/2006/relationships/image" Target="media/image19.gif"/><Relationship Id="rId66" Type="http://schemas.openxmlformats.org/officeDocument/2006/relationships/image" Target="media/image20.gif"/><Relationship Id="rId67" Type="http://schemas.openxmlformats.org/officeDocument/2006/relationships/image" Target="media/image21.gif"/><Relationship Id="rId68" Type="http://schemas.openxmlformats.org/officeDocument/2006/relationships/image" Target="media/image22.gif"/><Relationship Id="rId69" Type="http://schemas.openxmlformats.org/officeDocument/2006/relationships/image" Target="media/image23.gif"/><Relationship Id="rId70" Type="http://schemas.openxmlformats.org/officeDocument/2006/relationships/image" Target="media/image24.gif"/><Relationship Id="rId71" Type="http://schemas.openxmlformats.org/officeDocument/2006/relationships/image" Target="media/image25.gif"/><Relationship Id="rId72" Type="http://schemas.openxmlformats.org/officeDocument/2006/relationships/image" Target="media/image26.gif"/><Relationship Id="rId73" Type="http://schemas.openxmlformats.org/officeDocument/2006/relationships/image" Target="media/image27.gif"/><Relationship Id="rId74" Type="http://schemas.openxmlformats.org/officeDocument/2006/relationships/image" Target="media/image28.gif"/><Relationship Id="rId75" Type="http://schemas.openxmlformats.org/officeDocument/2006/relationships/image" Target="media/image29.gif"/><Relationship Id="rId76" Type="http://schemas.openxmlformats.org/officeDocument/2006/relationships/image" Target="media/image30.jpeg"/><Relationship Id="rId77" Type="http://schemas.openxmlformats.org/officeDocument/2006/relationships/image" Target="media/image31.gif"/><Relationship Id="rId78" Type="http://schemas.openxmlformats.org/officeDocument/2006/relationships/image" Target="media/image32.gif"/><Relationship Id="rId79" Type="http://schemas.openxmlformats.org/officeDocument/2006/relationships/image" Target="media/image33.gif"/><Relationship Id="rId80" Type="http://schemas.openxmlformats.org/officeDocument/2006/relationships/image" Target="media/image34.gif"/><Relationship Id="rId81" Type="http://schemas.openxmlformats.org/officeDocument/2006/relationships/image" Target="media/image35.gif"/><Relationship Id="rId82" Type="http://schemas.openxmlformats.org/officeDocument/2006/relationships/image" Target="media/image36.gif"/><Relationship Id="rId83" Type="http://schemas.openxmlformats.org/officeDocument/2006/relationships/image" Target="media/image37.gif"/><Relationship Id="rId84" Type="http://schemas.openxmlformats.org/officeDocument/2006/relationships/image" Target="media/image38.gif"/><Relationship Id="rId85" Type="http://schemas.openxmlformats.org/officeDocument/2006/relationships/image" Target="media/image11.jpeg"/><Relationship Id="rId86" Type="http://schemas.openxmlformats.org/officeDocument/2006/relationships/image" Target="media/image11.jpeg"/><Relationship Id="rId87" Type="http://schemas.openxmlformats.org/officeDocument/2006/relationships/image" Target="media/image17.gif"/><Relationship Id="rId88" Type="http://schemas.openxmlformats.org/officeDocument/2006/relationships/image" Target="media/image18.gif"/><Relationship Id="rId89" Type="http://schemas.openxmlformats.org/officeDocument/2006/relationships/image" Target="media/image19.gif"/><Relationship Id="rId90" Type="http://schemas.openxmlformats.org/officeDocument/2006/relationships/image" Target="media/image20.gif"/><Relationship Id="rId91" Type="http://schemas.openxmlformats.org/officeDocument/2006/relationships/image" Target="media/image21.gif"/><Relationship Id="rId92" Type="http://schemas.openxmlformats.org/officeDocument/2006/relationships/image" Target="media/image22.gif"/><Relationship Id="rId93" Type="http://schemas.openxmlformats.org/officeDocument/2006/relationships/image" Target="media/image23.gif"/><Relationship Id="rId94" Type="http://schemas.openxmlformats.org/officeDocument/2006/relationships/image" Target="media/image24.gif"/><Relationship Id="rId95" Type="http://schemas.openxmlformats.org/officeDocument/2006/relationships/image" Target="media/image25.gif"/><Relationship Id="rId96" Type="http://schemas.openxmlformats.org/officeDocument/2006/relationships/image" Target="media/image26.gif"/><Relationship Id="rId97" Type="http://schemas.openxmlformats.org/officeDocument/2006/relationships/image" Target="media/image27.gif"/><Relationship Id="rId98" Type="http://schemas.openxmlformats.org/officeDocument/2006/relationships/image" Target="media/image28.gif"/><Relationship Id="rId99" Type="http://schemas.openxmlformats.org/officeDocument/2006/relationships/image" Target="media/image39.gif"/><Relationship Id="rId100" Type="http://schemas.openxmlformats.org/officeDocument/2006/relationships/image" Target="media/image40.gif"/><Relationship Id="rId101" Type="http://schemas.openxmlformats.org/officeDocument/2006/relationships/image" Target="media/image41.gif"/><Relationship Id="rId102" Type="http://schemas.openxmlformats.org/officeDocument/2006/relationships/image" Target="media/image42.gif"/><Relationship Id="rId103" Type="http://schemas.openxmlformats.org/officeDocument/2006/relationships/image" Target="media/image43.gif"/><Relationship Id="rId104" Type="http://schemas.openxmlformats.org/officeDocument/2006/relationships/image" Target="media/image44.gif"/><Relationship Id="rId105" Type="http://schemas.openxmlformats.org/officeDocument/2006/relationships/image" Target="media/image45.gif"/><Relationship Id="rId106" Type="http://schemas.openxmlformats.org/officeDocument/2006/relationships/image" Target="media/image11.jpeg"/><Relationship Id="rId107" Type="http://schemas.openxmlformats.org/officeDocument/2006/relationships/image" Target="media/image11.jpeg"/><Relationship Id="rId108" Type="http://schemas.openxmlformats.org/officeDocument/2006/relationships/image" Target="media/image46.gif"/><Relationship Id="rId109" Type="http://schemas.openxmlformats.org/officeDocument/2006/relationships/image" Target="media/image31.gif"/><Relationship Id="rId110" Type="http://schemas.openxmlformats.org/officeDocument/2006/relationships/image" Target="media/image34.gif"/><Relationship Id="rId111" Type="http://schemas.openxmlformats.org/officeDocument/2006/relationships/image" Target="media/image37.gif"/><Relationship Id="rId112" Type="http://schemas.openxmlformats.org/officeDocument/2006/relationships/image" Target="media/image42.gif"/><Relationship Id="rId113" Type="http://schemas.openxmlformats.org/officeDocument/2006/relationships/image" Target="media/image43.gif"/><Relationship Id="rId114" Type="http://schemas.openxmlformats.org/officeDocument/2006/relationships/image" Target="media/image11.jpeg"/><Relationship Id="rId115" Type="http://schemas.openxmlformats.org/officeDocument/2006/relationships/image" Target="media/image11.jpeg"/><Relationship Id="rId116" Type="http://schemas.openxmlformats.org/officeDocument/2006/relationships/image" Target="media/image47.gif"/><Relationship Id="rId117" Type="http://schemas.openxmlformats.org/officeDocument/2006/relationships/image" Target="media/image31.gif"/><Relationship Id="rId118" Type="http://schemas.openxmlformats.org/officeDocument/2006/relationships/image" Target="media/image35.gif"/><Relationship Id="rId119" Type="http://schemas.openxmlformats.org/officeDocument/2006/relationships/image" Target="media/image37.gif"/><Relationship Id="rId120" Type="http://schemas.openxmlformats.org/officeDocument/2006/relationships/image" Target="media/image42.gif"/><Relationship Id="rId121" Type="http://schemas.openxmlformats.org/officeDocument/2006/relationships/image" Target="media/image43.gif"/><Relationship Id="rId122" Type="http://schemas.openxmlformats.org/officeDocument/2006/relationships/image" Target="media/image11.jpeg"/><Relationship Id="rId123" Type="http://schemas.openxmlformats.org/officeDocument/2006/relationships/image" Target="media/image11.jpeg"/><Relationship Id="rId124" Type="http://schemas.openxmlformats.org/officeDocument/2006/relationships/image" Target="media/image48.gif"/><Relationship Id="rId125" Type="http://schemas.openxmlformats.org/officeDocument/2006/relationships/image" Target="media/image31.gif"/><Relationship Id="rId126" Type="http://schemas.openxmlformats.org/officeDocument/2006/relationships/image" Target="media/image34.gif"/><Relationship Id="rId127" Type="http://schemas.openxmlformats.org/officeDocument/2006/relationships/image" Target="media/image36.gif"/><Relationship Id="rId128" Type="http://schemas.openxmlformats.org/officeDocument/2006/relationships/image" Target="media/image37.gif"/><Relationship Id="rId129" Type="http://schemas.openxmlformats.org/officeDocument/2006/relationships/image" Target="media/image43.gif"/><Relationship Id="rId130" Type="http://schemas.openxmlformats.org/officeDocument/2006/relationships/image" Target="media/image9.gif"/><Relationship Id="rId131" Type="http://schemas.openxmlformats.org/officeDocument/2006/relationships/image" Target="media/image11.jpeg"/><Relationship Id="rId132" Type="http://schemas.openxmlformats.org/officeDocument/2006/relationships/image" Target="media/image11.jpeg"/><Relationship Id="rId133" Type="http://schemas.openxmlformats.org/officeDocument/2006/relationships/image" Target="media/image49.gif"/><Relationship Id="rId134" Type="http://schemas.openxmlformats.org/officeDocument/2006/relationships/image" Target="media/image34.gif"/><Relationship Id="rId135" Type="http://schemas.openxmlformats.org/officeDocument/2006/relationships/image" Target="media/image36.gif"/><Relationship Id="rId136" Type="http://schemas.openxmlformats.org/officeDocument/2006/relationships/image" Target="media/image37.gif"/><Relationship Id="rId137" Type="http://schemas.openxmlformats.org/officeDocument/2006/relationships/image" Target="media/image41.gif"/><Relationship Id="rId138" Type="http://schemas.openxmlformats.org/officeDocument/2006/relationships/image" Target="media/image43.gif"/><Relationship Id="rId139" Type="http://schemas.openxmlformats.org/officeDocument/2006/relationships/image" Target="media/image11.jpeg"/><Relationship Id="rId140" Type="http://schemas.openxmlformats.org/officeDocument/2006/relationships/image" Target="media/image11.jpeg"/><Relationship Id="rId141" Type="http://schemas.openxmlformats.org/officeDocument/2006/relationships/image" Target="media/image50.gif"/><Relationship Id="rId142" Type="http://schemas.openxmlformats.org/officeDocument/2006/relationships/image" Target="media/image29.gif"/><Relationship Id="rId143" Type="http://schemas.openxmlformats.org/officeDocument/2006/relationships/image" Target="media/image31.gif"/><Relationship Id="rId144" Type="http://schemas.openxmlformats.org/officeDocument/2006/relationships/image" Target="media/image32.gif"/><Relationship Id="rId145" Type="http://schemas.openxmlformats.org/officeDocument/2006/relationships/image" Target="media/image38.gif"/><Relationship Id="rId146" Type="http://schemas.openxmlformats.org/officeDocument/2006/relationships/image" Target="media/image43.gif"/><Relationship Id="rId147" Type="http://schemas.openxmlformats.org/officeDocument/2006/relationships/image" Target="media/image11.jpeg"/><Relationship Id="rId148" Type="http://schemas.openxmlformats.org/officeDocument/2006/relationships/image" Target="media/image11.jpeg"/><Relationship Id="rId149" Type="http://schemas.openxmlformats.org/officeDocument/2006/relationships/image" Target="media/image51.gif"/><Relationship Id="rId150" Type="http://schemas.openxmlformats.org/officeDocument/2006/relationships/image" Target="media/image31.gif"/><Relationship Id="rId151" Type="http://schemas.openxmlformats.org/officeDocument/2006/relationships/image" Target="media/image33.gif"/><Relationship Id="rId152" Type="http://schemas.openxmlformats.org/officeDocument/2006/relationships/image" Target="media/image38.gif"/><Relationship Id="rId153" Type="http://schemas.openxmlformats.org/officeDocument/2006/relationships/image" Target="media/image43.gif"/><Relationship Id="rId154" Type="http://schemas.openxmlformats.org/officeDocument/2006/relationships/image" Target="media/image45.gif"/><Relationship Id="rId155" Type="http://schemas.openxmlformats.org/officeDocument/2006/relationships/image" Target="media/image11.jpeg"/><Relationship Id="rId156" Type="http://schemas.openxmlformats.org/officeDocument/2006/relationships/image" Target="media/image11.jpeg"/><Relationship Id="rId157" Type="http://schemas.openxmlformats.org/officeDocument/2006/relationships/image" Target="media/image52.gif"/><Relationship Id="rId158" Type="http://schemas.openxmlformats.org/officeDocument/2006/relationships/image" Target="media/image29.gif"/><Relationship Id="rId159" Type="http://schemas.openxmlformats.org/officeDocument/2006/relationships/image" Target="media/image31.gif"/><Relationship Id="rId160" Type="http://schemas.openxmlformats.org/officeDocument/2006/relationships/image" Target="media/image40.gif"/><Relationship Id="rId161" Type="http://schemas.openxmlformats.org/officeDocument/2006/relationships/image" Target="media/image43.gif"/><Relationship Id="rId162" Type="http://schemas.openxmlformats.org/officeDocument/2006/relationships/image" Target="media/image44.gif"/><Relationship Id="rId163" Type="http://schemas.openxmlformats.org/officeDocument/2006/relationships/image" Target="media/image11.jpeg"/><Relationship Id="rId164" Type="http://schemas.openxmlformats.org/officeDocument/2006/relationships/image" Target="media/image11.jpeg"/><Relationship Id="rId165" Type="http://schemas.openxmlformats.org/officeDocument/2006/relationships/image" Target="media/image53.gif"/><Relationship Id="rId166" Type="http://schemas.openxmlformats.org/officeDocument/2006/relationships/image" Target="media/image29.gif"/><Relationship Id="rId167" Type="http://schemas.openxmlformats.org/officeDocument/2006/relationships/image" Target="media/image34.gif"/><Relationship Id="rId168" Type="http://schemas.openxmlformats.org/officeDocument/2006/relationships/image" Target="media/image39.gif"/><Relationship Id="rId169" Type="http://schemas.openxmlformats.org/officeDocument/2006/relationships/image" Target="media/image40.gif"/><Relationship Id="rId170" Type="http://schemas.openxmlformats.org/officeDocument/2006/relationships/image" Target="media/image43.gif"/><Relationship Id="rId171" Type="http://schemas.openxmlformats.org/officeDocument/2006/relationships/image" Target="media/image11.jpeg"/><Relationship Id="rId172" Type="http://schemas.openxmlformats.org/officeDocument/2006/relationships/image" Target="media/image11.jpeg"/><Relationship Id="rId173" Type="http://schemas.openxmlformats.org/officeDocument/2006/relationships/image" Target="media/image54.gif"/><Relationship Id="rId174" Type="http://schemas.openxmlformats.org/officeDocument/2006/relationships/image" Target="media/image29.gif"/><Relationship Id="rId175" Type="http://schemas.openxmlformats.org/officeDocument/2006/relationships/image" Target="media/image34.gif"/><Relationship Id="rId176" Type="http://schemas.openxmlformats.org/officeDocument/2006/relationships/image" Target="media/image39.gif"/><Relationship Id="rId177" Type="http://schemas.openxmlformats.org/officeDocument/2006/relationships/image" Target="media/image42.gif"/><Relationship Id="rId178" Type="http://schemas.openxmlformats.org/officeDocument/2006/relationships/image" Target="media/image43.gif"/><Relationship Id="rId179" Type="http://schemas.openxmlformats.org/officeDocument/2006/relationships/image" Target="media/image11.jpeg"/><Relationship Id="rId180" Type="http://schemas.openxmlformats.org/officeDocument/2006/relationships/image" Target="media/image11.jpeg"/><Relationship Id="rId181" Type="http://schemas.openxmlformats.org/officeDocument/2006/relationships/image" Target="media/image55.gif"/><Relationship Id="rId182" Type="http://schemas.openxmlformats.org/officeDocument/2006/relationships/image" Target="media/image30.jpeg"/><Relationship Id="rId183" Type="http://schemas.openxmlformats.org/officeDocument/2006/relationships/image" Target="media/image33.gif"/><Relationship Id="rId184" Type="http://schemas.openxmlformats.org/officeDocument/2006/relationships/image" Target="media/image34.gif"/><Relationship Id="rId185" Type="http://schemas.openxmlformats.org/officeDocument/2006/relationships/image" Target="media/image38.gif"/><Relationship Id="rId186" Type="http://schemas.openxmlformats.org/officeDocument/2006/relationships/image" Target="media/image45.gif"/><Relationship Id="rId187" Type="http://schemas.openxmlformats.org/officeDocument/2006/relationships/image" Target="media/image11.jpeg"/><Relationship Id="rId188" Type="http://schemas.openxmlformats.org/officeDocument/2006/relationships/image" Target="media/image11.jpeg"/><Relationship Id="rId189" Type="http://schemas.openxmlformats.org/officeDocument/2006/relationships/image" Target="media/image56.gif"/><Relationship Id="rId190" Type="http://schemas.openxmlformats.org/officeDocument/2006/relationships/image" Target="media/image32.gif"/><Relationship Id="rId191" Type="http://schemas.openxmlformats.org/officeDocument/2006/relationships/image" Target="media/image34.gif"/><Relationship Id="rId192" Type="http://schemas.openxmlformats.org/officeDocument/2006/relationships/image" Target="media/image36.gif"/><Relationship Id="rId193" Type="http://schemas.openxmlformats.org/officeDocument/2006/relationships/image" Target="media/image43.gif"/><Relationship Id="rId194" Type="http://schemas.openxmlformats.org/officeDocument/2006/relationships/image" Target="media/image45.gif"/><Relationship Id="rId195" Type="http://schemas.openxmlformats.org/officeDocument/2006/relationships/image" Target="media/image11.jpeg"/><Relationship Id="rId196" Type="http://schemas.openxmlformats.org/officeDocument/2006/relationships/image" Target="media/image11.jpeg"/><Relationship Id="rId197" Type="http://schemas.openxmlformats.org/officeDocument/2006/relationships/image" Target="media/image57.gif"/><Relationship Id="rId198" Type="http://schemas.openxmlformats.org/officeDocument/2006/relationships/image" Target="media/image38.gif"/><Relationship Id="rId199" Type="http://schemas.openxmlformats.org/officeDocument/2006/relationships/image" Target="media/image41.gif"/><Relationship Id="rId200" Type="http://schemas.openxmlformats.org/officeDocument/2006/relationships/image" Target="media/image42.gif"/><Relationship Id="rId201" Type="http://schemas.openxmlformats.org/officeDocument/2006/relationships/image" Target="media/image43.gif"/><Relationship Id="rId202" Type="http://schemas.openxmlformats.org/officeDocument/2006/relationships/image" Target="media/image44.gif"/><Relationship Id="rId203" Type="http://schemas.openxmlformats.org/officeDocument/2006/relationships/image" Target="media/image11.jpeg"/><Relationship Id="rId204" Type="http://schemas.openxmlformats.org/officeDocument/2006/relationships/image" Target="media/image11.jpeg"/><Relationship Id="rId205" Type="http://schemas.openxmlformats.org/officeDocument/2006/relationships/image" Target="media/image9.gif"/><Relationship Id="rId206" Type="http://schemas.openxmlformats.org/officeDocument/2006/relationships/image" Target="media/image9.gif"/><Relationship Id="rId207" Type="http://schemas.openxmlformats.org/officeDocument/2006/relationships/image" Target="media/image9.gif"/><Relationship Id="rId208" Type="http://schemas.openxmlformats.org/officeDocument/2006/relationships/image" Target="media/image9.gif"/><Relationship Id="rId209" Type="http://schemas.openxmlformats.org/officeDocument/2006/relationships/image" Target="media/image9.gif"/><Relationship Id="rId210" Type="http://schemas.openxmlformats.org/officeDocument/2006/relationships/image" Target="media/image9.gif"/><Relationship Id="rId211" Type="http://schemas.openxmlformats.org/officeDocument/2006/relationships/image" Target="media/image9.gif"/><Relationship Id="rId212" Type="http://schemas.openxmlformats.org/officeDocument/2006/relationships/image" Target="media/image9.gif"/><Relationship Id="rId213" Type="http://schemas.openxmlformats.org/officeDocument/2006/relationships/image" Target="media/image9.gif"/><Relationship Id="rId214" Type="http://schemas.openxmlformats.org/officeDocument/2006/relationships/image" Target="media/image9.gif"/><Relationship Id="rId215" Type="http://schemas.openxmlformats.org/officeDocument/2006/relationships/image" Target="media/image9.gif"/><Relationship Id="rId216" Type="http://schemas.openxmlformats.org/officeDocument/2006/relationships/image" Target="media/image9.gif"/><Relationship Id="rId217" Type="http://schemas.openxmlformats.org/officeDocument/2006/relationships/image" Target="media/image9.gif"/><Relationship Id="rId218" Type="http://schemas.openxmlformats.org/officeDocument/2006/relationships/image" Target="media/image9.gif"/><Relationship Id="rId219" Type="http://schemas.openxmlformats.org/officeDocument/2006/relationships/image" Target="media/image9.gif"/><Relationship Id="rId220" Type="http://schemas.openxmlformats.org/officeDocument/2006/relationships/image" Target="media/image9.gif"/><Relationship Id="rId221" Type="http://schemas.openxmlformats.org/officeDocument/2006/relationships/image" Target="media/image9.gif"/><Relationship Id="rId222" Type="http://schemas.openxmlformats.org/officeDocument/2006/relationships/image" Target="media/image9.gif"/><Relationship Id="rId223" Type="http://schemas.openxmlformats.org/officeDocument/2006/relationships/image" Target="media/image9.gif"/><Relationship Id="rId224" Type="http://schemas.openxmlformats.org/officeDocument/2006/relationships/image" Target="media/image9.gif"/><Relationship Id="rId225" Type="http://schemas.openxmlformats.org/officeDocument/2006/relationships/image" Target="media/image9.gif"/><Relationship Id="rId226" Type="http://schemas.openxmlformats.org/officeDocument/2006/relationships/image" Target="media/image11.jpeg"/><Relationship Id="rId227" Type="http://schemas.openxmlformats.org/officeDocument/2006/relationships/image" Target="media/image11.jpeg"/><Relationship Id="rId228" Type="http://schemas.openxmlformats.org/officeDocument/2006/relationships/image" Target="media/image11.jpeg"/><Relationship Id="rId229" Type="http://schemas.openxmlformats.org/officeDocument/2006/relationships/image" Target="media/image11.jpeg"/><Relationship Id="rId230" Type="http://schemas.openxmlformats.org/officeDocument/2006/relationships/image" Target="media/image11.jpeg"/><Relationship Id="rId231" Type="http://schemas.openxmlformats.org/officeDocument/2006/relationships/image" Target="media/image11.jpeg"/><Relationship Id="rId232" Type="http://schemas.openxmlformats.org/officeDocument/2006/relationships/image" Target="media/image11.jpeg"/><Relationship Id="rId233" Type="http://schemas.openxmlformats.org/officeDocument/2006/relationships/image" Target="media/image11.jpeg"/><Relationship Id="rId234" Type="http://schemas.openxmlformats.org/officeDocument/2006/relationships/image" Target="media/image58.gif"/><Relationship Id="rId235" Type="http://schemas.openxmlformats.org/officeDocument/2006/relationships/image" Target="media/image59.gif"/><Relationship Id="rId236" Type="http://schemas.openxmlformats.org/officeDocument/2006/relationships/image" Target="media/image58.gif"/><Relationship Id="rId237" Type="http://schemas.openxmlformats.org/officeDocument/2006/relationships/image" Target="media/image59.gif"/><Relationship Id="rId238" Type="http://schemas.openxmlformats.org/officeDocument/2006/relationships/image" Target="media/image58.gif"/><Relationship Id="rId239" Type="http://schemas.openxmlformats.org/officeDocument/2006/relationships/image" Target="media/image58.gif"/><Relationship Id="rId240" Type="http://schemas.openxmlformats.org/officeDocument/2006/relationships/image" Target="media/image58.gif"/><Relationship Id="rId241" Type="http://schemas.openxmlformats.org/officeDocument/2006/relationships/image" Target="media/image58.gif"/><Relationship Id="rId242" Type="http://schemas.openxmlformats.org/officeDocument/2006/relationships/image" Target="media/image59.gif"/><Relationship Id="rId243" Type="http://schemas.openxmlformats.org/officeDocument/2006/relationships/image" Target="media/image58.gif"/><Relationship Id="rId244" Type="http://schemas.openxmlformats.org/officeDocument/2006/relationships/image" Target="media/image58.gif"/><Relationship Id="rId245" Type="http://schemas.openxmlformats.org/officeDocument/2006/relationships/image" Target="media/image60.gif"/><Relationship Id="rId246" Type="http://schemas.openxmlformats.org/officeDocument/2006/relationships/image" Target="media/image61.gif"/><Relationship Id="rId247" Type="http://schemas.openxmlformats.org/officeDocument/2006/relationships/image" Target="media/image11.jpeg"/><Relationship Id="rId248" Type="http://schemas.openxmlformats.org/officeDocument/2006/relationships/image" Target="media/image11.jpeg"/><Relationship Id="rId249" Type="http://schemas.openxmlformats.org/officeDocument/2006/relationships/image" Target="media/image11.jpeg"/><Relationship Id="rId250" Type="http://schemas.openxmlformats.org/officeDocument/2006/relationships/image" Target="media/image11.jpeg"/><Relationship Id="rId251" Type="http://schemas.openxmlformats.org/officeDocument/2006/relationships/image" Target="media/image11.jpeg"/><Relationship Id="rId252" Type="http://schemas.openxmlformats.org/officeDocument/2006/relationships/image" Target="media/image11.jpeg"/><Relationship Id="rId253" Type="http://schemas.openxmlformats.org/officeDocument/2006/relationships/image" Target="media/image11.jpeg"/><Relationship Id="rId254" Type="http://schemas.openxmlformats.org/officeDocument/2006/relationships/image" Target="media/image11.jpeg"/><Relationship Id="rId255" Type="http://schemas.openxmlformats.org/officeDocument/2006/relationships/image" Target="media/image11.jpeg"/><Relationship Id="rId256" Type="http://schemas.openxmlformats.org/officeDocument/2006/relationships/image" Target="media/image11.jpeg"/><Relationship Id="rId257" Type="http://schemas.openxmlformats.org/officeDocument/2006/relationships/image" Target="media/image11.jpeg"/><Relationship Id="rId258" Type="http://schemas.openxmlformats.org/officeDocument/2006/relationships/image" Target="media/image11.jpeg"/><Relationship Id="rId259" Type="http://schemas.openxmlformats.org/officeDocument/2006/relationships/image" Target="media/image11.jpeg"/><Relationship Id="rId260" Type="http://schemas.openxmlformats.org/officeDocument/2006/relationships/image" Target="media/image11.jpeg"/><Relationship Id="rId261" Type="http://schemas.openxmlformats.org/officeDocument/2006/relationships/image" Target="media/image62.jpeg"/><Relationship Id="rId262" Type="http://schemas.openxmlformats.org/officeDocument/2006/relationships/image" Target="media/image11.jpeg"/><Relationship Id="rId263" Type="http://schemas.openxmlformats.org/officeDocument/2006/relationships/image" Target="media/image11.jpeg"/><Relationship Id="rId264" Type="http://schemas.openxmlformats.org/officeDocument/2006/relationships/image" Target="media/image11.jpeg"/><Relationship Id="rId265" Type="http://schemas.openxmlformats.org/officeDocument/2006/relationships/image" Target="media/image11.jpeg"/><Relationship Id="rId266" Type="http://schemas.openxmlformats.org/officeDocument/2006/relationships/image" Target="media/image11.jpeg"/><Relationship Id="rId267" Type="http://schemas.openxmlformats.org/officeDocument/2006/relationships/image" Target="media/image11.jpeg"/><Relationship Id="rId268" Type="http://schemas.openxmlformats.org/officeDocument/2006/relationships/image" Target="media/image11.jpeg"/><Relationship Id="rId269" Type="http://schemas.openxmlformats.org/officeDocument/2006/relationships/image" Target="media/image11.jpeg"/><Relationship Id="rId270" Type="http://schemas.openxmlformats.org/officeDocument/2006/relationships/image" Target="media/image11.jpeg"/><Relationship Id="rId271" Type="http://schemas.openxmlformats.org/officeDocument/2006/relationships/image" Target="media/image11.jpeg"/><Relationship Id="rId272" Type="http://schemas.openxmlformats.org/officeDocument/2006/relationships/image" Target="media/image11.jpeg"/><Relationship Id="rId273" Type="http://schemas.openxmlformats.org/officeDocument/2006/relationships/image" Target="media/image11.jpeg"/><Relationship Id="rId274" Type="http://schemas.openxmlformats.org/officeDocument/2006/relationships/image" Target="media/image11.jpeg"/><Relationship Id="rId275" Type="http://schemas.openxmlformats.org/officeDocument/2006/relationships/image" Target="media/image11.jpeg"/><Relationship Id="rId276" Type="http://schemas.openxmlformats.org/officeDocument/2006/relationships/image" Target="media/image11.jpeg"/><Relationship Id="rId277" Type="http://schemas.openxmlformats.org/officeDocument/2006/relationships/image" Target="media/image11.jpeg"/><Relationship Id="rId278" Type="http://schemas.openxmlformats.org/officeDocument/2006/relationships/image" Target="media/image11.jpeg"/><Relationship Id="rId279" Type="http://schemas.openxmlformats.org/officeDocument/2006/relationships/image" Target="media/image11.jpeg"/><Relationship Id="rId280" Type="http://schemas.openxmlformats.org/officeDocument/2006/relationships/image" Target="media/image9.gif"/><Relationship Id="rId281" Type="http://schemas.openxmlformats.org/officeDocument/2006/relationships/image" Target="media/image11.jpeg"/><Relationship Id="rId282" Type="http://schemas.openxmlformats.org/officeDocument/2006/relationships/image" Target="media/image11.jpeg"/><Relationship Id="rId283" Type="http://schemas.openxmlformats.org/officeDocument/2006/relationships/image" Target="media/image11.jpeg"/><Relationship Id="rId284" Type="http://schemas.openxmlformats.org/officeDocument/2006/relationships/image" Target="media/image11.jpeg"/><Relationship Id="rId285" Type="http://schemas.openxmlformats.org/officeDocument/2006/relationships/image" Target="media/image11.jpeg"/><Relationship Id="rId286" Type="http://schemas.openxmlformats.org/officeDocument/2006/relationships/image" Target="media/image11.jpeg"/><Relationship Id="rId287" Type="http://schemas.openxmlformats.org/officeDocument/2006/relationships/image" Target="media/image9.gif"/><Relationship Id="rId288" Type="http://schemas.openxmlformats.org/officeDocument/2006/relationships/image" Target="media/image11.jpeg"/><Relationship Id="rId289" Type="http://schemas.openxmlformats.org/officeDocument/2006/relationships/image" Target="media/image11.jpeg"/><Relationship Id="rId290" Type="http://schemas.openxmlformats.org/officeDocument/2006/relationships/image" Target="media/image11.jpeg"/><Relationship Id="rId291" Type="http://schemas.openxmlformats.org/officeDocument/2006/relationships/image" Target="media/image11.jpeg"/><Relationship Id="rId292" Type="http://schemas.openxmlformats.org/officeDocument/2006/relationships/image" Target="media/image11.jpeg"/><Relationship Id="rId293" Type="http://schemas.openxmlformats.org/officeDocument/2006/relationships/image" Target="media/image11.jpeg"/><Relationship Id="rId294" Type="http://schemas.openxmlformats.org/officeDocument/2006/relationships/image" Target="media/image11.jpeg"/><Relationship Id="rId295" Type="http://schemas.openxmlformats.org/officeDocument/2006/relationships/image" Target="media/image11.jpeg"/><Relationship Id="rId296" Type="http://schemas.openxmlformats.org/officeDocument/2006/relationships/image" Target="media/image11.jpeg"/><Relationship Id="rId297" Type="http://schemas.openxmlformats.org/officeDocument/2006/relationships/image" Target="media/image11.jpeg"/><Relationship Id="rId298" Type="http://schemas.openxmlformats.org/officeDocument/2006/relationships/image" Target="media/image63.jpeg"/><Relationship Id="rId299" Type="http://schemas.openxmlformats.org/officeDocument/2006/relationships/image" Target="media/image11.jpeg"/><Relationship Id="rId300" Type="http://schemas.openxmlformats.org/officeDocument/2006/relationships/image" Target="media/image11.jpeg"/><Relationship Id="rId301" Type="http://schemas.openxmlformats.org/officeDocument/2006/relationships/image" Target="media/image64.jpeg"/><Relationship Id="rId302" Type="http://schemas.openxmlformats.org/officeDocument/2006/relationships/image" Target="media/image65.jpeg"/><Relationship Id="rId303" Type="http://schemas.openxmlformats.org/officeDocument/2006/relationships/image" Target="media/image11.jpeg"/><Relationship Id="rId304" Type="http://schemas.openxmlformats.org/officeDocument/2006/relationships/image" Target="media/image11.jpeg"/><Relationship Id="rId305" Type="http://schemas.openxmlformats.org/officeDocument/2006/relationships/image" Target="media/image11.jpeg"/><Relationship Id="rId306" Type="http://schemas.openxmlformats.org/officeDocument/2006/relationships/image" Target="media/image11.jpeg"/><Relationship Id="rId307" Type="http://schemas.openxmlformats.org/officeDocument/2006/relationships/image" Target="media/image11.jpeg"/><Relationship Id="rId308" Type="http://schemas.openxmlformats.org/officeDocument/2006/relationships/image" Target="media/image11.jpeg"/><Relationship Id="rId309" Type="http://schemas.openxmlformats.org/officeDocument/2006/relationships/image" Target="media/image11.jpeg"/><Relationship Id="rId310" Type="http://schemas.openxmlformats.org/officeDocument/2006/relationships/image" Target="media/image11.jpeg"/><Relationship Id="rId311" Type="http://schemas.openxmlformats.org/officeDocument/2006/relationships/image" Target="media/image11.jpeg"/><Relationship Id="rId312" Type="http://schemas.openxmlformats.org/officeDocument/2006/relationships/image" Target="media/image11.jpeg"/><Relationship Id="rId313" Type="http://schemas.openxmlformats.org/officeDocument/2006/relationships/image" Target="media/image11.jpeg"/><Relationship Id="rId314" Type="http://schemas.openxmlformats.org/officeDocument/2006/relationships/image" Target="media/image11.jpeg"/><Relationship Id="rId315" Type="http://schemas.openxmlformats.org/officeDocument/2006/relationships/image" Target="media/image11.jpeg"/><Relationship Id="rId316" Type="http://schemas.openxmlformats.org/officeDocument/2006/relationships/image" Target="media/image11.jpeg"/><Relationship Id="rId317" Type="http://schemas.openxmlformats.org/officeDocument/2006/relationships/image" Target="media/image11.jpeg"/><Relationship Id="rId318" Type="http://schemas.openxmlformats.org/officeDocument/2006/relationships/image" Target="media/image11.jpeg"/><Relationship Id="rId319" Type="http://schemas.openxmlformats.org/officeDocument/2006/relationships/image" Target="media/image11.jpeg"/><Relationship Id="rId320" Type="http://schemas.openxmlformats.org/officeDocument/2006/relationships/image" Target="media/image11.jpeg"/><Relationship Id="rId321" Type="http://schemas.openxmlformats.org/officeDocument/2006/relationships/image" Target="media/image11.jpeg"/><Relationship Id="rId322" Type="http://schemas.openxmlformats.org/officeDocument/2006/relationships/image" Target="media/image11.jpeg"/><Relationship Id="rId323" Type="http://schemas.openxmlformats.org/officeDocument/2006/relationships/image" Target="media/image11.jpeg"/><Relationship Id="rId324" Type="http://schemas.openxmlformats.org/officeDocument/2006/relationships/image" Target="media/image11.jpeg"/><Relationship Id="rId325" Type="http://schemas.openxmlformats.org/officeDocument/2006/relationships/image" Target="media/image11.jpeg"/><Relationship Id="rId326" Type="http://schemas.openxmlformats.org/officeDocument/2006/relationships/image" Target="media/image11.jpeg"/><Relationship Id="rId327" Type="http://schemas.openxmlformats.org/officeDocument/2006/relationships/image" Target="media/image11.jpeg"/><Relationship Id="rId328" Type="http://schemas.openxmlformats.org/officeDocument/2006/relationships/image" Target="media/image11.jpeg"/><Relationship Id="rId329" Type="http://schemas.openxmlformats.org/officeDocument/2006/relationships/image" Target="media/image11.jpeg"/><Relationship Id="rId330" Type="http://schemas.openxmlformats.org/officeDocument/2006/relationships/image" Target="media/image11.jpeg"/><Relationship Id="rId331" Type="http://schemas.openxmlformats.org/officeDocument/2006/relationships/image" Target="media/image11.jpeg"/><Relationship Id="rId332" Type="http://schemas.openxmlformats.org/officeDocument/2006/relationships/image" Target="media/image11.jpeg"/><Relationship Id="rId333" Type="http://schemas.openxmlformats.org/officeDocument/2006/relationships/image" Target="media/image11.jpeg"/><Relationship Id="rId334" Type="http://schemas.openxmlformats.org/officeDocument/2006/relationships/image" Target="media/image11.jpeg"/><Relationship Id="rId335" Type="http://schemas.openxmlformats.org/officeDocument/2006/relationships/image" Target="media/image11.jpeg"/><Relationship Id="rId336" Type="http://schemas.openxmlformats.org/officeDocument/2006/relationships/image" Target="media/image11.jpeg"/><Relationship Id="rId337" Type="http://schemas.openxmlformats.org/officeDocument/2006/relationships/image" Target="media/image11.jpeg"/><Relationship Id="rId338" Type="http://schemas.openxmlformats.org/officeDocument/2006/relationships/image" Target="media/image11.jpeg"/><Relationship Id="rId339" Type="http://schemas.openxmlformats.org/officeDocument/2006/relationships/image" Target="media/image11.jpeg"/><Relationship Id="rId340" Type="http://schemas.openxmlformats.org/officeDocument/2006/relationships/image" Target="media/image11.jpeg"/><Relationship Id="rId341" Type="http://schemas.openxmlformats.org/officeDocument/2006/relationships/image" Target="media/image11.jpeg"/><Relationship Id="rId342" Type="http://schemas.openxmlformats.org/officeDocument/2006/relationships/image" Target="media/image11.jpeg"/><Relationship Id="rId343" Type="http://schemas.openxmlformats.org/officeDocument/2006/relationships/image" Target="media/image11.jpeg"/><Relationship Id="rId344" Type="http://schemas.openxmlformats.org/officeDocument/2006/relationships/image" Target="media/image11.jpeg"/><Relationship Id="rId345" Type="http://schemas.openxmlformats.org/officeDocument/2006/relationships/image" Target="media/image11.jpeg"/><Relationship Id="rId346" Type="http://schemas.openxmlformats.org/officeDocument/2006/relationships/image" Target="media/image11.jpeg"/><Relationship Id="rId347" Type="http://schemas.openxmlformats.org/officeDocument/2006/relationships/image" Target="media/image11.jpeg"/><Relationship Id="rId348" Type="http://schemas.openxmlformats.org/officeDocument/2006/relationships/image" Target="media/image11.jpeg"/><Relationship Id="rId349" Type="http://schemas.openxmlformats.org/officeDocument/2006/relationships/image" Target="media/image11.jpeg"/><Relationship Id="rId350" Type="http://schemas.openxmlformats.org/officeDocument/2006/relationships/image" Target="media/image11.jpeg"/><Relationship Id="rId351" Type="http://schemas.openxmlformats.org/officeDocument/2006/relationships/image" Target="media/image11.jpeg"/><Relationship Id="rId352" Type="http://schemas.openxmlformats.org/officeDocument/2006/relationships/image" Target="media/image11.jpeg"/><Relationship Id="rId353" Type="http://schemas.openxmlformats.org/officeDocument/2006/relationships/image" Target="media/image66.jpeg"/><Relationship Id="rId354" Type="http://schemas.openxmlformats.org/officeDocument/2006/relationships/image" Target="media/image67.jpeg"/><Relationship Id="rId355" Type="http://schemas.openxmlformats.org/officeDocument/2006/relationships/image" Target="media/image11.jpeg"/><Relationship Id="rId356" Type="http://schemas.openxmlformats.org/officeDocument/2006/relationships/image" Target="media/image11.jpeg"/><Relationship Id="rId357" Type="http://schemas.openxmlformats.org/officeDocument/2006/relationships/image" Target="media/image68.jpeg"/><Relationship Id="rId358" Type="http://schemas.openxmlformats.org/officeDocument/2006/relationships/image" Target="media/image11.jpeg"/><Relationship Id="rId359" Type="http://schemas.openxmlformats.org/officeDocument/2006/relationships/image" Target="media/image11.jpeg"/><Relationship Id="rId360" Type="http://schemas.openxmlformats.org/officeDocument/2006/relationships/image" Target="media/image11.jpeg"/><Relationship Id="rId361" Type="http://schemas.openxmlformats.org/officeDocument/2006/relationships/image" Target="media/image11.jpeg"/><Relationship Id="rId362" Type="http://schemas.openxmlformats.org/officeDocument/2006/relationships/image" Target="media/image11.jpeg"/><Relationship Id="rId363" Type="http://schemas.openxmlformats.org/officeDocument/2006/relationships/image" Target="media/image11.jpeg"/><Relationship Id="rId364" Type="http://schemas.openxmlformats.org/officeDocument/2006/relationships/image" Target="media/image11.jpeg"/><Relationship Id="rId365" Type="http://schemas.openxmlformats.org/officeDocument/2006/relationships/image" Target="media/image11.jpeg"/><Relationship Id="rId366" Type="http://schemas.openxmlformats.org/officeDocument/2006/relationships/image" Target="media/image11.jpeg"/><Relationship Id="rId367" Type="http://schemas.openxmlformats.org/officeDocument/2006/relationships/image" Target="media/image11.jpeg"/><Relationship Id="rId368" Type="http://schemas.openxmlformats.org/officeDocument/2006/relationships/image" Target="media/image11.jpeg"/><Relationship Id="rId369" Type="http://schemas.openxmlformats.org/officeDocument/2006/relationships/image" Target="media/image11.jpeg"/><Relationship Id="rId370" Type="http://schemas.openxmlformats.org/officeDocument/2006/relationships/image" Target="media/image11.jpeg"/><Relationship Id="rId371" Type="http://schemas.openxmlformats.org/officeDocument/2006/relationships/image" Target="media/image11.jpeg"/><Relationship Id="rId372" Type="http://schemas.openxmlformats.org/officeDocument/2006/relationships/image" Target="media/image12.gif"/><Relationship Id="rId373" Type="http://schemas.openxmlformats.org/officeDocument/2006/relationships/image" Target="media/image13.gif"/><Relationship Id="rId374" Type="http://schemas.openxmlformats.org/officeDocument/2006/relationships/image" Target="media/image15.gif"/><Relationship Id="rId375" Type="http://schemas.openxmlformats.org/officeDocument/2006/relationships/image" Target="media/image14.gif"/><Relationship Id="rId376" Type="http://schemas.openxmlformats.org/officeDocument/2006/relationships/image" Target="media/image11.jpeg"/><Relationship Id="rId377" Type="http://schemas.openxmlformats.org/officeDocument/2006/relationships/image" Target="media/image11.jpeg"/><Relationship Id="rId378" Type="http://schemas.openxmlformats.org/officeDocument/2006/relationships/image" Target="media/image11.jpeg"/><Relationship Id="rId379" Type="http://schemas.openxmlformats.org/officeDocument/2006/relationships/image" Target="media/image11.jpeg"/><Relationship Id="rId380" Type="http://schemas.openxmlformats.org/officeDocument/2006/relationships/image" Target="media/image11.jpeg"/><Relationship Id="rId381" Type="http://schemas.openxmlformats.org/officeDocument/2006/relationships/image" Target="media/image11.jpeg"/><Relationship Id="rId382" Type="http://schemas.openxmlformats.org/officeDocument/2006/relationships/image" Target="media/image11.jpeg"/><Relationship Id="rId383" Type="http://schemas.openxmlformats.org/officeDocument/2006/relationships/image" Target="media/image11.jpeg"/><Relationship Id="rId384" Type="http://schemas.openxmlformats.org/officeDocument/2006/relationships/image" Target="media/image11.jpeg"/><Relationship Id="rId385" Type="http://schemas.openxmlformats.org/officeDocument/2006/relationships/image" Target="media/image11.jpeg"/><Relationship Id="rId386" Type="http://schemas.openxmlformats.org/officeDocument/2006/relationships/image" Target="media/image11.jpeg"/><Relationship Id="rId387" Type="http://schemas.openxmlformats.org/officeDocument/2006/relationships/image" Target="media/image11.jpeg"/><Relationship Id="rId388" Type="http://schemas.openxmlformats.org/officeDocument/2006/relationships/image" Target="media/image1.jpeg"/><Relationship Id="rId389" Type="http://schemas.openxmlformats.org/officeDocument/2006/relationships/fontTable" Target="fontTable.xml"/><Relationship Id="rId39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36981</Words>
  <Characters>213415</Characters>
  <CharactersWithSpaces>247663</CharactersWithSpaces>
  <Paragraphs>3882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