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4"/>
          <w:szCs w:val="24"/>
          <w:color w:val="auto"/>
        </w:rPr>
      </w:pPr>
    </w:p>
    <w:p>
      <w:pPr>
        <w:spacing w:after="0" w:line="249" w:lineRule="exact"/>
        <w:rPr>
          <w:sz w:val="24"/>
          <w:szCs w:val="24"/>
          <w:color w:val="auto"/>
        </w:rPr>
      </w:pPr>
    </w:p>
    <w:p>
      <w:pPr>
        <w:ind w:left="8380"/>
        <w:spacing w:after="0"/>
        <w:rPr>
          <w:sz w:val="20"/>
          <w:szCs w:val="20"/>
          <w:color w:val="auto"/>
        </w:rPr>
      </w:pPr>
      <w:r>
        <w:rPr>
          <w:rFonts w:ascii="Arial" w:cs="Arial" w:eastAsia="Arial" w:hAnsi="Arial"/>
          <w:sz w:val="18"/>
          <w:szCs w:val="18"/>
          <w:b w:val="1"/>
          <w:bCs w:val="1"/>
          <w:color w:val="auto"/>
        </w:rPr>
        <w:t>Filed pursuant to 424(b)(4)</w:t>
      </w:r>
    </w:p>
    <w:p>
      <w:pPr>
        <w:spacing w:after="0" w:line="18" w:lineRule="exact"/>
        <w:rPr>
          <w:sz w:val="24"/>
          <w:szCs w:val="24"/>
          <w:color w:val="auto"/>
        </w:rPr>
      </w:pPr>
    </w:p>
    <w:p>
      <w:pPr>
        <w:ind w:left="8380"/>
        <w:spacing w:after="0"/>
        <w:rPr>
          <w:sz w:val="20"/>
          <w:szCs w:val="20"/>
          <w:color w:val="auto"/>
        </w:rPr>
      </w:pPr>
      <w:r>
        <w:rPr>
          <w:rFonts w:ascii="Arial" w:cs="Arial" w:eastAsia="Arial" w:hAnsi="Arial"/>
          <w:sz w:val="18"/>
          <w:szCs w:val="18"/>
          <w:b w:val="1"/>
          <w:bCs w:val="1"/>
          <w:color w:val="auto"/>
        </w:rPr>
        <w:t>Registration No. 333-252390</w:t>
      </w:r>
    </w:p>
    <w:p>
      <w:pPr>
        <w:spacing w:after="0" w:line="8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12,000,000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183515</wp:posOffset>
            </wp:positionV>
            <wp:extent cx="148272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Academy Sports and Outdoors, Inc.</w:t>
      </w:r>
    </w:p>
    <w:p>
      <w:pPr>
        <w:spacing w:after="0" w:line="244"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257175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The selling stockholders named in this prospectus are offering 12,000,000 shares of common stock of Academy Sports and Outdoors, Inc. We will not receive any proceeds from the sale of our common stock by the selling stockholders.</w:t>
      </w:r>
    </w:p>
    <w:p>
      <w:pPr>
        <w:spacing w:after="0" w:line="197" w:lineRule="exact"/>
        <w:rPr>
          <w:sz w:val="24"/>
          <w:szCs w:val="24"/>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Our common stock is listed on the Nasdaq Global Select Market, or Nasdaq, under the symbol “ASO.” On January 27, 2021, the closing sales price of our common stock as reported on the Nasdaq was $22.08 per share.</w:t>
      </w:r>
    </w:p>
    <w:p>
      <w:pPr>
        <w:spacing w:after="0" w:line="197" w:lineRule="exact"/>
        <w:rPr>
          <w:sz w:val="24"/>
          <w:szCs w:val="24"/>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To the extent that the underwriters sell more than 12,000,000 shares of our common stock, the underwriters have the option to purchase up to an additional 1,800,000 shares from the selling stockholders at the public offering price, less the 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183" w:lineRule="exact"/>
        <w:rPr>
          <w:sz w:val="24"/>
          <w:szCs w:val="24"/>
          <w:color w:val="auto"/>
        </w:rPr>
      </w:pPr>
    </w:p>
    <w:p>
      <w:pPr>
        <w:ind w:left="120" w:right="180" w:firstLine="44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3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23 to read about factors you should consider before buying shares of our common stock.</w:t>
      </w:r>
    </w:p>
    <w:p>
      <w:pPr>
        <w:spacing w:after="0" w:line="154" w:lineRule="exact"/>
        <w:rPr>
          <w:sz w:val="24"/>
          <w:szCs w:val="24"/>
          <w:color w:val="auto"/>
        </w:rPr>
      </w:pPr>
    </w:p>
    <w:p>
      <w:pPr>
        <w:ind w:left="120" w:firstLine="440"/>
        <w:spacing w:after="0" w:line="253" w:lineRule="auto"/>
        <w:rPr>
          <w:sz w:val="20"/>
          <w:szCs w:val="20"/>
          <w:color w:val="auto"/>
        </w:rPr>
      </w:pPr>
      <w:r>
        <w:rPr>
          <w:rFonts w:ascii="Arial" w:cs="Arial" w:eastAsia="Arial" w:hAnsi="Arial"/>
          <w:sz w:val="18"/>
          <w:szCs w:val="18"/>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206" w:lineRule="exact"/>
        <w:rPr>
          <w:sz w:val="24"/>
          <w:szCs w:val="24"/>
          <w:color w:val="auto"/>
        </w:rPr>
      </w:pPr>
    </w:p>
    <w:tbl>
      <w:tblPr>
        <w:tblLayout w:type="fixed"/>
        <w:tblInd w:w="144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Underwriting</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Proceeds to</w:t>
            </w:r>
          </w:p>
        </w:tc>
      </w:tr>
      <w:tr>
        <w:trPr>
          <w:trHeight w:val="159"/>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40" w:type="dxa"/>
            <w:vAlign w:val="bottom"/>
            <w:gridSpan w:val="3"/>
          </w:tcPr>
          <w:p>
            <w:pPr>
              <w:jc w:val="center"/>
              <w:ind w:right="320"/>
              <w:spacing w:after="0" w:line="159" w:lineRule="exact"/>
              <w:rPr>
                <w:sz w:val="20"/>
                <w:szCs w:val="20"/>
                <w:color w:val="auto"/>
              </w:rPr>
            </w:pPr>
            <w:r>
              <w:rPr>
                <w:rFonts w:ascii="Arial" w:cs="Arial" w:eastAsia="Arial" w:hAnsi="Arial"/>
                <w:sz w:val="14"/>
                <w:szCs w:val="14"/>
                <w:b w:val="1"/>
                <w:bCs w:val="1"/>
                <w:color w:val="auto"/>
              </w:rPr>
              <w:t>Discounts and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rPr>
              <w:t>the Selling</w:t>
            </w:r>
          </w:p>
        </w:tc>
      </w:tr>
      <w:tr>
        <w:trPr>
          <w:trHeight w:val="179"/>
        </w:trPr>
        <w:tc>
          <w:tcPr>
            <w:tcW w:w="3680" w:type="dxa"/>
            <w:vAlign w:val="bottom"/>
          </w:tcPr>
          <w:p>
            <w:pPr>
              <w:spacing w:after="0"/>
              <w:rPr>
                <w:sz w:val="15"/>
                <w:szCs w:val="15"/>
                <w:color w:val="auto"/>
              </w:rPr>
            </w:pPr>
          </w:p>
        </w:tc>
        <w:tc>
          <w:tcPr>
            <w:tcW w:w="1740" w:type="dxa"/>
            <w:vAlign w:val="bottom"/>
            <w:gridSpan w:val="3"/>
          </w:tcPr>
          <w:p>
            <w:pPr>
              <w:ind w:left="60"/>
              <w:spacing w:after="0"/>
              <w:rPr>
                <w:sz w:val="20"/>
                <w:szCs w:val="20"/>
                <w:color w:val="auto"/>
              </w:rPr>
            </w:pPr>
            <w:r>
              <w:rPr>
                <w:rFonts w:ascii="Arial" w:cs="Arial" w:eastAsia="Arial" w:hAnsi="Arial"/>
                <w:sz w:val="14"/>
                <w:szCs w:val="14"/>
                <w:b w:val="1"/>
                <w:bCs w:val="1"/>
                <w:color w:val="auto"/>
              </w:rPr>
              <w:t>Price to Public</w:t>
            </w:r>
          </w:p>
        </w:tc>
        <w:tc>
          <w:tcPr>
            <w:tcW w:w="144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Commissions</w:t>
            </w:r>
            <w:r>
              <w:rPr>
                <w:rFonts w:ascii="Arial" w:cs="Arial" w:eastAsia="Arial" w:hAnsi="Arial"/>
                <w:sz w:val="20"/>
                <w:szCs w:val="20"/>
                <w:b w:val="1"/>
                <w:bCs w:val="1"/>
                <w:color w:val="auto"/>
                <w:vertAlign w:val="superscript"/>
              </w:rPr>
              <w:t>(1)</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Stockholders</w:t>
            </w:r>
          </w:p>
        </w:tc>
      </w:tr>
      <w:tr>
        <w:trPr>
          <w:trHeight w:val="196"/>
        </w:trPr>
        <w:tc>
          <w:tcPr>
            <w:tcW w:w="3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21.50000</w:t>
            </w: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0.80625</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20.69375</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3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258,000,000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9,675,000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248,325,000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4"/>
          <w:szCs w:val="24"/>
          <w:color w:val="auto"/>
        </w:rPr>
      </w:pPr>
    </w:p>
    <w:p>
      <w:pPr>
        <w:ind w:left="2600" w:right="2280" w:hanging="2484"/>
        <w:spacing w:after="0" w:line="472"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(Conflicts of Interest)” for additional information regarding underwriting compensation. The underwriters expect to deliver the shares on or about February 1, 2021.</w:t>
      </w:r>
    </w:p>
    <w:p>
      <w:pPr>
        <w:sectPr>
          <w:pgSz w:w="11900" w:h="16838" w:orient="portrait"/>
          <w:cols w:equalWidth="0" w:num="1">
            <w:col w:w="11120"/>
          </w:cols>
          <w:pgMar w:left="320" w:top="230" w:right="459" w:bottom="1440" w:gutter="0" w:footer="0" w:header="0"/>
        </w:sectPr>
      </w:pPr>
    </w:p>
    <w:p>
      <w:pPr>
        <w:spacing w:after="0" w:line="203" w:lineRule="exact"/>
        <w:rPr>
          <w:sz w:val="24"/>
          <w:szCs w:val="24"/>
          <w:color w:val="auto"/>
        </w:rPr>
      </w:pPr>
    </w:p>
    <w:p>
      <w:pPr>
        <w:ind w:left="400"/>
        <w:spacing w:after="0"/>
        <w:rPr>
          <w:sz w:val="20"/>
          <w:szCs w:val="20"/>
          <w:color w:val="auto"/>
        </w:rPr>
      </w:pPr>
      <w:r>
        <w:rPr>
          <w:rFonts w:ascii="Arial" w:cs="Arial" w:eastAsia="Arial" w:hAnsi="Arial"/>
          <w:sz w:val="17"/>
          <w:szCs w:val="17"/>
          <w:b w:val="1"/>
          <w:bCs w:val="1"/>
          <w:color w:val="auto"/>
        </w:rPr>
        <w:t>Credit Suisse</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18" w:lineRule="exact"/>
        <w:rPr>
          <w:sz w:val="24"/>
          <w:szCs w:val="24"/>
          <w:color w:val="auto"/>
        </w:rPr>
      </w:pPr>
    </w:p>
    <w:p>
      <w:pPr>
        <w:spacing w:after="0"/>
        <w:tabs>
          <w:tab w:leader="none" w:pos="3060" w:val="left"/>
        </w:tabs>
        <w:rPr>
          <w:sz w:val="20"/>
          <w:szCs w:val="20"/>
          <w:color w:val="auto"/>
        </w:rPr>
      </w:pPr>
      <w:r>
        <w:rPr>
          <w:rFonts w:ascii="Arial" w:cs="Arial" w:eastAsia="Arial" w:hAnsi="Arial"/>
          <w:sz w:val="18"/>
          <w:szCs w:val="18"/>
          <w:b w:val="1"/>
          <w:bCs w:val="1"/>
          <w:color w:val="auto"/>
        </w:rPr>
        <w:t>J.P. Morgan</w:t>
      </w:r>
      <w:r>
        <w:rPr>
          <w:sz w:val="20"/>
          <w:szCs w:val="20"/>
          <w:color w:val="auto"/>
        </w:rPr>
        <w:tab/>
      </w:r>
      <w:r>
        <w:rPr>
          <w:rFonts w:ascii="Arial" w:cs="Arial" w:eastAsia="Arial" w:hAnsi="Arial"/>
          <w:sz w:val="18"/>
          <w:szCs w:val="18"/>
          <w:b w:val="1"/>
          <w:bCs w:val="1"/>
          <w:color w:val="auto"/>
        </w:rPr>
        <w:t>KKR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BofA Securities</w:t>
      </w:r>
    </w:p>
    <w:p>
      <w:pPr>
        <w:spacing w:after="0" w:line="223" w:lineRule="exact"/>
        <w:rPr>
          <w:sz w:val="24"/>
          <w:szCs w:val="24"/>
          <w:color w:val="auto"/>
        </w:rPr>
      </w:pPr>
    </w:p>
    <w:p>
      <w:pPr>
        <w:sectPr>
          <w:pgSz w:w="11900" w:h="16838" w:orient="portrait"/>
          <w:cols w:equalWidth="0" w:num="3">
            <w:col w:w="3100" w:space="720"/>
            <w:col w:w="4940" w:space="720"/>
            <w:col w:w="1640"/>
          </w:cols>
          <w:pgMar w:left="320" w:top="230" w:right="459" w:bottom="1440" w:gutter="0" w:footer="0" w:header="0"/>
          <w:type w:val="continuous"/>
        </w:sectPr>
      </w:pPr>
    </w:p>
    <w:p>
      <w:pPr>
        <w:spacing w:after="0" w:line="202"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Evercore ISI</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Guggenheim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i w:val="1"/>
          <w:iCs w:val="1"/>
          <w:color w:val="auto"/>
        </w:rPr>
        <w:t>Bookrunners</w:t>
      </w:r>
    </w:p>
    <w:p>
      <w:pPr>
        <w:spacing w:after="0" w:line="18" w:lineRule="exact"/>
        <w:rPr>
          <w:sz w:val="24"/>
          <w:szCs w:val="24"/>
          <w:color w:val="auto"/>
        </w:rPr>
      </w:pPr>
    </w:p>
    <w:p>
      <w:pPr>
        <w:ind w:left="640"/>
        <w:spacing w:after="0"/>
        <w:rPr>
          <w:sz w:val="20"/>
          <w:szCs w:val="20"/>
          <w:color w:val="auto"/>
        </w:rPr>
      </w:pPr>
      <w:r>
        <w:rPr>
          <w:rFonts w:ascii="Arial" w:cs="Arial" w:eastAsia="Arial" w:hAnsi="Arial"/>
          <w:sz w:val="17"/>
          <w:szCs w:val="17"/>
          <w:b w:val="1"/>
          <w:bCs w:val="1"/>
          <w:color w:val="auto"/>
        </w:rPr>
        <w:t>UBS Investment Bank</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Wells Fargo Securities</w:t>
      </w:r>
    </w:p>
    <w:p>
      <w:pPr>
        <w:spacing w:after="0" w:line="115" w:lineRule="exact"/>
        <w:rPr>
          <w:sz w:val="24"/>
          <w:szCs w:val="24"/>
          <w:color w:val="auto"/>
        </w:rPr>
      </w:pPr>
    </w:p>
    <w:p>
      <w:pPr>
        <w:sectPr>
          <w:pgSz w:w="11900" w:h="16838" w:orient="portrait"/>
          <w:cols w:equalWidth="0" w:num="4">
            <w:col w:w="1720" w:space="720"/>
            <w:col w:w="2020" w:space="600"/>
            <w:col w:w="3020" w:space="720"/>
            <w:col w:w="2320"/>
          </w:cols>
          <w:pgMar w:left="320" w:top="230" w:right="459" w:bottom="1440" w:gutter="0" w:footer="0" w:header="0"/>
          <w:type w:val="continuous"/>
        </w:sectPr>
      </w:pPr>
    </w:p>
    <w:p>
      <w:pPr>
        <w:ind w:left="5100"/>
        <w:spacing w:after="0"/>
        <w:rPr>
          <w:sz w:val="20"/>
          <w:szCs w:val="20"/>
          <w:color w:val="auto"/>
        </w:rPr>
      </w:pPr>
      <w:r>
        <w:rPr>
          <w:rFonts w:ascii="Arial" w:cs="Arial" w:eastAsia="Arial" w:hAnsi="Arial"/>
          <w:sz w:val="18"/>
          <w:szCs w:val="18"/>
          <w:b w:val="1"/>
          <w:bCs w:val="1"/>
          <w:i w:val="1"/>
          <w:iCs w:val="1"/>
          <w:color w:val="auto"/>
        </w:rPr>
        <w:t>Co-Manager</w:t>
      </w:r>
    </w:p>
    <w:p>
      <w:pPr>
        <w:spacing w:after="0" w:line="18"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Stephens Inc.</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The date of this prospectus is January 27, 2021.</w:t>
      </w:r>
    </w:p>
    <w:p>
      <w:pPr>
        <w:sectPr>
          <w:pgSz w:w="11900" w:h="16838" w:orient="portrait"/>
          <w:cols w:equalWidth="0" w:num="1">
            <w:col w:w="11120"/>
          </w:cols>
          <w:pgMar w:left="320" w:top="230" w:right="459" w:bottom="1440" w:gutter="0" w:footer="0" w:header="0"/>
          <w:type w:val="continuous"/>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220345</wp:posOffset>
            </wp:positionV>
            <wp:extent cx="6035040" cy="7543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7543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80" w:type="dxa"/>
            <w:vAlign w:val="bottom"/>
          </w:tcPr>
          <w:p>
            <w:pPr>
              <w:spacing w:after="0"/>
              <w:rPr>
                <w:sz w:val="20"/>
                <w:szCs w:val="20"/>
                <w:color w:val="auto"/>
              </w:rPr>
            </w:pPr>
          </w:p>
        </w:tc>
      </w:tr>
      <w:tr>
        <w:trPr>
          <w:trHeight w:val="513"/>
        </w:trPr>
        <w:tc>
          <w:tcPr>
            <w:tcW w:w="87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445"/>
        </w:trPr>
        <w:tc>
          <w:tcPr>
            <w:tcW w:w="870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Industry and Market Data</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Trademarks, Tradenames, Service Marks and Copyrights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Basis of Presentation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Non-GAAP Financial Measures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Summary</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Forward-Looking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Use of Proceeds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Dividend Policy</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Capitalization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Selected Historical Consolidated Financial Data</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Management’s Discussion and Analysis of Financial Condition and Results of Operations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Business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Management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Executive Compensation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Certain Relationships and Related Party Transactions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Principal and Selling Stockholders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Description of Capital Stock</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Description of Certain Indebtedness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19">
              <w:r>
                <w:rPr>
                  <w:rFonts w:ascii="Arial" w:cs="Arial" w:eastAsia="Arial" w:hAnsi="Arial"/>
                  <w:sz w:val="18"/>
                  <w:szCs w:val="18"/>
                  <w:u w:val="single" w:color="auto"/>
                  <w:color w:val="0000EE"/>
                </w:rPr>
                <w:t>Shares Eligible for Future Sale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Material U.S. Federal Income and Estate Tax Consequences to Non-U.S. Holders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Underwriting (Conflicts of Interest)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Legal Matters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Experts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Where You Can Find More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870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Index to Financial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231140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You should rely only on the information contained in this prospectus or in any free writing prospectus we may authorize to be delivered or made available to you. None of us, the selling stockholders or the underwriters have authorized anyone to provide you with different information. The information contained in this prospectus or any free writing prospectus prepared by us or on our behalf is accurate only as of their respective dates, regardless of the time of delivery of this prospectus, or any free writing prospectus, as the case may be, or any sale of shares of our common stock.</w:t>
      </w:r>
    </w:p>
    <w:p>
      <w:pPr>
        <w:spacing w:after="0" w:line="15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Within this prospectus,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None of us, the selling stockholders and the underwriters can guarantee the accuracy or completeness of any such information contained in this prospectus.</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 TRADENAMES, SERVICE MARKS AND COPYRIGHTS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own and license a number of registered and common law trademarks and pending applications for trademark registrations in the United States, primarily through our subsidiaries, including, for example: Academy Sports + Outdoors</w:t>
      </w:r>
      <w:r>
        <w:rPr>
          <w:rFonts w:ascii="Arial" w:cs="Arial" w:eastAsia="Arial" w:hAnsi="Arial"/>
          <w:sz w:val="14"/>
          <w:szCs w:val="14"/>
          <w:color w:val="auto"/>
        </w:rPr>
        <w:t>®</w:t>
      </w:r>
      <w:r>
        <w:rPr>
          <w:rFonts w:ascii="Arial" w:cs="Arial" w:eastAsia="Arial" w:hAnsi="Arial"/>
          <w:sz w:val="17"/>
          <w:szCs w:val="17"/>
          <w:color w:val="auto"/>
        </w:rPr>
        <w:t>, Magellan Outdoors</w:t>
      </w:r>
      <w:r>
        <w:rPr>
          <w:rFonts w:ascii="Arial" w:cs="Arial" w:eastAsia="Arial" w:hAnsi="Arial"/>
          <w:sz w:val="14"/>
          <w:szCs w:val="14"/>
          <w:color w:val="auto"/>
        </w:rPr>
        <w:t>®</w:t>
      </w:r>
      <w:r>
        <w:rPr>
          <w:rFonts w:ascii="Arial" w:cs="Arial" w:eastAsia="Arial" w:hAnsi="Arial"/>
          <w:sz w:val="17"/>
          <w:szCs w:val="17"/>
          <w:color w:val="auto"/>
        </w:rPr>
        <w:t>, BCG</w:t>
      </w:r>
      <w:r>
        <w:rPr>
          <w:rFonts w:ascii="Arial" w:cs="Arial" w:eastAsia="Arial" w:hAnsi="Arial"/>
          <w:sz w:val="14"/>
          <w:szCs w:val="14"/>
          <w:color w:val="auto"/>
        </w:rPr>
        <w:t>®</w:t>
      </w:r>
      <w:r>
        <w:rPr>
          <w:rFonts w:ascii="Arial" w:cs="Arial" w:eastAsia="Arial" w:hAnsi="Arial"/>
          <w:sz w:val="17"/>
          <w:szCs w:val="17"/>
          <w:color w:val="auto"/>
        </w:rPr>
        <w:t>, O’rageous</w:t>
      </w:r>
      <w:r>
        <w:rPr>
          <w:rFonts w:ascii="Arial" w:cs="Arial" w:eastAsia="Arial" w:hAnsi="Arial"/>
          <w:sz w:val="14"/>
          <w:szCs w:val="14"/>
          <w:color w:val="auto"/>
        </w:rPr>
        <w:t>®</w:t>
      </w:r>
      <w:r>
        <w:rPr>
          <w:rFonts w:ascii="Arial" w:cs="Arial" w:eastAsia="Arial" w:hAnsi="Arial"/>
          <w:sz w:val="17"/>
          <w:szCs w:val="17"/>
          <w:color w:val="auto"/>
        </w:rPr>
        <w:t xml:space="preserve"> and Outdoor Gourmet</w:t>
      </w:r>
      <w:r>
        <w:rPr>
          <w:rFonts w:ascii="Arial" w:cs="Arial" w:eastAsia="Arial" w:hAnsi="Arial"/>
          <w:sz w:val="14"/>
          <w:szCs w:val="14"/>
          <w:color w:val="auto"/>
        </w:rPr>
        <w:t>®</w:t>
      </w:r>
      <w:r>
        <w:rPr>
          <w:rFonts w:ascii="Arial" w:cs="Arial" w:eastAsia="Arial" w:hAnsi="Arial"/>
          <w:sz w:val="17"/>
          <w:szCs w:val="17"/>
          <w:color w:val="auto"/>
        </w:rPr>
        <w:t xml:space="preserve">. Unless otherwise indicated, all trademarks appearing in this prospectus are proprietary to us, our affiliates and/or licensors. This prospectus also contains trademarks, tradenames, service marks and copyrights of other companies, which are the property of their respective owners. Solely for convenience, certain trademarks, tradenames, service marks and copyrights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terms are used in this prospectus unless otherwise noted or indicated by the context:</w:t>
      </w:r>
    </w:p>
    <w:p>
      <w:pPr>
        <w:spacing w:after="0" w:line="131" w:lineRule="exact"/>
        <w:rPr>
          <w:sz w:val="20"/>
          <w:szCs w:val="20"/>
          <w:color w:val="auto"/>
        </w:rPr>
      </w:pPr>
    </w:p>
    <w:p>
      <w:pPr>
        <w:ind w:left="1080" w:right="1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“2015 Term Loan Facility” means our senior secured term loans facility due July 2, 2022, which was repaid in full on November 6, 2020 with the net proceeds from the 2027 Notes and the Term Loan Facility, together with cash on hand;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“2027 Notes” means our 6.00% senior secured notes due November 15, 2027, as described under “Description of Certain Indebtedness;”</w:t>
      </w:r>
    </w:p>
    <w:p>
      <w:pPr>
        <w:spacing w:after="0" w:line="153" w:lineRule="exact"/>
        <w:rPr>
          <w:rFonts w:ascii="Arial" w:cs="Arial" w:eastAsia="Arial" w:hAnsi="Arial"/>
          <w:sz w:val="16"/>
          <w:szCs w:val="16"/>
          <w:color w:val="auto"/>
        </w:rPr>
      </w:pPr>
    </w:p>
    <w:p>
      <w:pPr>
        <w:ind w:left="5580" w:right="160" w:hanging="4924"/>
        <w:spacing w:after="0" w:line="449" w:lineRule="auto"/>
        <w:tabs>
          <w:tab w:leader="none" w:pos="1094" w:val="left"/>
        </w:tabs>
        <w:numPr>
          <w:ilvl w:val="0"/>
          <w:numId w:val="2"/>
        </w:numPr>
        <w:rPr>
          <w:rFonts w:ascii="Arial" w:cs="Arial" w:eastAsia="Arial" w:hAnsi="Arial"/>
          <w:sz w:val="18"/>
          <w:szCs w:val="18"/>
          <w:color w:val="auto"/>
        </w:rPr>
      </w:pPr>
      <w:r>
        <w:rPr>
          <w:rFonts w:ascii="Arial" w:cs="Arial" w:eastAsia="Arial" w:hAnsi="Arial"/>
          <w:sz w:val="18"/>
          <w:szCs w:val="18"/>
          <w:color w:val="auto"/>
        </w:rPr>
        <w:t>“ABL Facility” means our senior secured asset-based revolving credit facility, as described under “Description of Certain Indebtedness;” 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“Academy,” “Academy Sports + Outdoors,” the “Company,” “we,” “us” and “our”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for our operations, and its consolidated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“Adviser” has the meaning set forth under “Certain Relationships and Related Party Transactions—Monitoring Agreement;”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“Allstar Managers” means Allstar Managers, LLC, an entity owned by certain current and former executives and directors of the Company, which was dissolved in December 2020;</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“Average order value” means in-store and e-commerce merchandise sales divided by the number of sales transactions, which indicates the average amount of a sales receipt;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“BOPIS” means our buy-online-pickup-in-store program;</w:t>
      </w:r>
    </w:p>
    <w:p>
      <w:pPr>
        <w:spacing w:after="0" w:line="130" w:lineRule="exact"/>
        <w:rPr>
          <w:rFonts w:ascii="Arial" w:cs="Arial" w:eastAsia="Arial" w:hAnsi="Arial"/>
          <w:sz w:val="18"/>
          <w:szCs w:val="18"/>
          <w:color w:val="auto"/>
        </w:rPr>
      </w:pPr>
    </w:p>
    <w:p>
      <w:pPr>
        <w:ind w:left="1080" w:right="240" w:hanging="424"/>
        <w:spacing w:after="0" w:line="275"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There may be variations in the way in which some of our competitors and other retailers calculate comparable sales. As a result, data included in this prospectus regarding our comparable sales may not be comparable to similar data made available by other retailers;</w:t>
      </w:r>
    </w:p>
    <w:p>
      <w:pPr>
        <w:spacing w:after="0" w:line="8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89" w:lineRule="exact"/>
        <w:rPr>
          <w:rFonts w:ascii="Arial" w:cs="Arial" w:eastAsia="Arial" w:hAnsi="Arial"/>
          <w:sz w:val="18"/>
          <w:szCs w:val="18"/>
          <w:color w:val="auto"/>
        </w:rPr>
      </w:pPr>
    </w:p>
    <w:p>
      <w:pPr>
        <w:ind w:left="1080" w:right="180" w:hanging="424"/>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2019 is the second highest;</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“Gochman Investors” means, collectively, certain investors who are family descendants of our founder, Max Gochman;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“IPO” means the initial public offering of our common stock, which closed on October 6, 2020;</w:t>
      </w:r>
    </w:p>
    <w:p>
      <w:pPr>
        <w:spacing w:after="0" w:line="130" w:lineRule="exact"/>
        <w:rPr>
          <w:rFonts w:ascii="Arial" w:cs="Arial" w:eastAsia="Arial" w:hAnsi="Arial"/>
          <w:sz w:val="18"/>
          <w:szCs w:val="18"/>
          <w:color w:val="auto"/>
        </w:rPr>
      </w:pPr>
    </w:p>
    <w:p>
      <w:pPr>
        <w:ind w:left="1080" w:right="60" w:hanging="424"/>
        <w:spacing w:after="0" w:line="286" w:lineRule="auto"/>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“IPO Option Exercise” means the issuance and sale by us of 1,807,495 shares of our common stock on November 3, 2020 to the underwriters of the IPO pursuant to the partial exercise by the underwriters of their option to purchase up to 2,343,750 additional shares to cover over-allotments, if any, in connection with the IPO, which option has expired with respect to the remaining shares;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means, collectively, investment funds and other entities affiliated with Kohlberg Kravis Roberts &amp; Co.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Stockholders” means, collectively, investment entities owned by KKR;</w:t>
      </w:r>
    </w:p>
    <w:p>
      <w:pPr>
        <w:spacing w:after="0" w:line="130"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four years;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sales transactions” means total quantity of sales transactions generated, whether in-store or online;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“owned brands” means our private label brands, which include both our own brands, as well as brands we license under exclusive license contracts;</w:t>
      </w:r>
    </w:p>
    <w:p>
      <w:pPr>
        <w:spacing w:after="0" w:line="75" w:lineRule="exact"/>
        <w:rPr>
          <w:rFonts w:ascii="Arial" w:cs="Arial" w:eastAsia="Arial" w:hAnsi="Arial"/>
          <w:sz w:val="18"/>
          <w:szCs w:val="18"/>
          <w:color w:val="auto"/>
        </w:rPr>
      </w:pPr>
    </w:p>
    <w:p>
      <w:pPr>
        <w:jc w:val="both"/>
        <w:ind w:left="1080" w:right="20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“Refinancing Transactions” means, collectively, the refinancing transactions, which occurred on November 6, 2020, consisting of (i) the issuance of the 2027 Notes; (ii) the entry into the Term Loan Facility; (iii) our use of the net proceeds from the 2027 Notes and the Term Loan Facility, together with cash on hand, to repay the 2015 Term Loan Facility; and (iv) the amendment of the ABL Facility to, among other things, extend its maturity to November 6, 2025;</w:t>
      </w:r>
    </w:p>
    <w:p>
      <w:pPr>
        <w:spacing w:after="0" w:line="92"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“Reorganization Transactions” means the series of reorganization transactions that took place on October 1, 2020 in connection with the IPO and resulted in, among other things, New Academy Holding Company, LLC, the prior holding company for the business described in this prospectus, being contributed to Academy Sports and Outdoors, Inc. by its unitholders and becoming a wholly owned subsidiary of Academy Sports and Outdoors, Inc.;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“Term Loan Facility” means our senior secured term loan facility, as described under “Description of Certain Indebtedness.”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Presentation of Financial Information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Academy Sports and Outdoors, Inc. conducts its operations through its subsidiaries, including its indirect subsidiary, Academy, Ltd., an operating company which is doing business as “Academy Sports + Outdoors.”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“2015,” “2016,” “2017,” “2018” and “2019” relate to our fiscal years ended January 30, 2016, January 28, 2017, February 3, 2018, February 2, 2019 and February 1, 2020, respectively, unless the context requires otherwise. References to “2020” relate to our fiscal year ending January 30, 2021, unless the context requires otherwise.</w:t>
      </w:r>
    </w:p>
    <w:p>
      <w:pPr>
        <w:spacing w:after="0" w:line="16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Any reference to the “2020 third quarter” or similar reference refers to the thirteen week period ended October 31, 2020, and any reference to the “2019 third quarter” or similar reference refers to the thirteen week period ended November 2, 2019. Any reference to “current year-to-date”, “year-to-date 2020” or similar reference represents the thirty-nine week period ended October 31, 2020, and any reference to “prior year-to-date”, “year-to-date 2019” or similar reference represents the thirty-nine week period ended November 2, 2019.</w:t>
      </w:r>
    </w:p>
    <w:p>
      <w:pPr>
        <w:spacing w:after="0" w:line="17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This prospectus contains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(Loss),” “Pro Forma Adjusted Net Income (Loss),” “Pro Forma Adjusted Earnings per Share” and “Adjusted Free Cash Flow.”</w:t>
      </w:r>
    </w:p>
    <w:p>
      <w:pPr>
        <w:spacing w:after="0" w:line="17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Adjusted EBITDA, Adjusted Net Income (Loss), Pro Forma Adjusted Net Income (Loss), Pro Forma Adjusted Earnings per Share and Adjusted Free Cash Flow have been presented in this prospectus as supplemental measures of financial performance that are not required by, or presented in accordance with, GAAP. We believe Adjusted EBITDA, Adjusted Net Income (Loss), Pro Forma Adjusted Net Income (Loss)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(Loss), Pro Forma Adjusted Net Income (Loss)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7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w:t>
      </w:r>
    </w:p>
    <w:p>
      <w:pPr>
        <w:spacing w:after="0" w:line="16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also present adjusted comparable sales, which is a non-GAAP measure, in this prospectus. For a discussion of adjusted comparable sales and a reconciliation to comparable sales, see “Management’s Discussion and Analysis of Financial Condition and Results of Operations—Non-GAAP Measures—Adjusted comparable sales.”</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related notes included elsewhere in this prospectus, before making an investment decision. This summary contains forward-looking statements that involve risks and uncertainties.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31"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Value-based assortment that enables our customers to participate and have fun, no matter their budget.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Emerging, rapidly growing and profitable omnichannel strategy that leverages our strong BOPIS and shipping fulfillment capabilities.</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30"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metropolitan statistical areas, or MSAs.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225"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76"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0"/>
        <w:spacing w:after="0" w:line="263" w:lineRule="auto"/>
        <w:rPr>
          <w:sz w:val="20"/>
          <w:szCs w:val="20"/>
          <w:color w:val="auto"/>
        </w:rPr>
      </w:pPr>
      <w:r>
        <w:rPr>
          <w:rFonts w:ascii="Arial" w:cs="Arial" w:eastAsia="Arial" w:hAnsi="Arial"/>
          <w:sz w:val="18"/>
          <w:szCs w:val="18"/>
          <w:color w:val="auto"/>
        </w:rPr>
        <w:t>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184"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211" w:lineRule="exact"/>
        <w:rPr>
          <w:sz w:val="20"/>
          <w:szCs w:val="20"/>
          <w:color w:val="auto"/>
        </w:rPr>
      </w:pPr>
    </w:p>
    <w:p>
      <w:pPr>
        <w:ind w:left="300" w:right="4400" w:firstLine="360"/>
        <w:spacing w:after="0" w:line="288" w:lineRule="auto"/>
        <w:rPr>
          <w:sz w:val="20"/>
          <w:szCs w:val="20"/>
          <w:color w:val="auto"/>
        </w:rPr>
      </w:pPr>
      <w:r>
        <w:rPr>
          <w:rFonts w:ascii="Arial" w:cs="Arial" w:eastAsia="Arial" w:hAnsi="Arial"/>
          <w:sz w:val="16"/>
          <w:szCs w:val="16"/>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195" w:lineRule="exact"/>
        <w:rPr>
          <w:sz w:val="20"/>
          <w:szCs w:val="20"/>
          <w:color w:val="auto"/>
        </w:rPr>
      </w:pPr>
    </w:p>
    <w:p>
      <w:pPr>
        <w:ind w:left="300" w:right="4380" w:firstLine="360"/>
        <w:spacing w:after="0" w:line="279" w:lineRule="auto"/>
        <w:rPr>
          <w:sz w:val="20"/>
          <w:szCs w:val="20"/>
          <w:color w:val="auto"/>
        </w:rPr>
      </w:pPr>
      <w:r>
        <w:rPr>
          <w:rFonts w:ascii="Arial" w:cs="Arial" w:eastAsia="Arial" w:hAnsi="Arial"/>
          <w:sz w:val="17"/>
          <w:szCs w:val="17"/>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right="20"/>
        <w:spacing w:after="0" w:line="254" w:lineRule="auto"/>
        <w:rPr>
          <w:sz w:val="20"/>
          <w:szCs w:val="20"/>
          <w:color w:val="auto"/>
        </w:rPr>
      </w:pPr>
      <w:r>
        <w:rPr>
          <w:rFonts w:ascii="Arial" w:cs="Arial" w:eastAsia="Arial" w:hAnsi="Arial"/>
          <w:sz w:val="18"/>
          <w:szCs w:val="18"/>
          <w:color w:val="auto"/>
        </w:rPr>
        <w:t>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95"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78" w:lineRule="exact"/>
        <w:rPr>
          <w:sz w:val="20"/>
          <w:szCs w:val="20"/>
          <w:color w:val="auto"/>
        </w:rPr>
      </w:pPr>
    </w:p>
    <w:p>
      <w:pPr>
        <w:ind w:left="300" w:right="40" w:firstLine="426"/>
        <w:spacing w:after="0" w:line="311" w:lineRule="auto"/>
        <w:rPr>
          <w:sz w:val="20"/>
          <w:szCs w:val="20"/>
          <w:color w:val="auto"/>
        </w:rPr>
      </w:pPr>
      <w:r>
        <w:rPr>
          <w:rFonts w:ascii="Arial" w:cs="Arial" w:eastAsia="Arial" w:hAnsi="Arial"/>
          <w:sz w:val="16"/>
          <w:szCs w:val="16"/>
          <w:color w:val="auto"/>
        </w:rPr>
        <w:t>Our emerging, profitable e-commerce platform that leverages our strong BOPIS and shipping fulfillment capabilities has achieved year-over-year sales growth of 8% and 209% during 2019 and the year-to-date 2020, respectively. Our e-commerce sales represented 5% and 10% of our merchandise sales in 2019 and the year-to-date 2020, respectively. We are deepening our customer relationships, further integrating our</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24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e-commerce platform with our stores and driving operating efficiencies by developing our omnichannel capabilities. Our BOPIS program, launched in 2019, accounted for approximately 24% and 50% of our e-commerce sales during 2019 and the year-to-date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25% of our e-commerce sales during first half 2020 coming from new households.</w:t>
      </w:r>
    </w:p>
    <w:p>
      <w:pPr>
        <w:spacing w:after="0" w:line="16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188"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finished the twelve months ended October 31, 2020 with approximately $5.5 billion in sales, $235 million of net income and $506 million in Adjusted EBITDA. Although comparable sales have been negative for the past three fiscal years, we have seen five consecutive quarters of positive comparable sales as of 2020 third quarter. In addition, 2020 third quarter reflected our fifth consecutive quarter of Adjusted EBITDA growth and our sixth consecutive quarter of Adjusted Free Cash Flow growth. We earned net income of $21 million, $120 million and $235 million and Pro Forma Adjusted Net Income of $41 million, $76 million and $226 million in 2018, 2019 and the twelve months ended October 31, 2020, respectively, which included $217 million of net income and $209 million of Pro Forma Adjusted Net Income for year-to-date 2020. See “— 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08" w:lineRule="exact"/>
        <w:rPr>
          <w:sz w:val="20"/>
          <w:szCs w:val="20"/>
          <w:color w:val="auto"/>
        </w:rPr>
      </w:pPr>
    </w:p>
    <w:p>
      <w:pPr>
        <w:ind w:left="1280"/>
        <w:spacing w:after="0"/>
        <w:tabs>
          <w:tab w:leader="none" w:pos="4880" w:val="left"/>
          <w:tab w:leader="none" w:pos="8120" w:val="left"/>
        </w:tabs>
        <w:rPr>
          <w:sz w:val="20"/>
          <w:szCs w:val="20"/>
          <w:color w:val="auto"/>
        </w:rPr>
      </w:pPr>
      <w:r>
        <w:rPr>
          <w:rFonts w:ascii="Arial" w:cs="Arial" w:eastAsia="Arial" w:hAnsi="Arial"/>
          <w:sz w:val="18"/>
          <w:szCs w:val="18"/>
          <w:color w:val="auto"/>
        </w:rPr>
        <w:t>Net Sales ($ in millions)</w:t>
      </w:r>
      <w:r>
        <w:rPr>
          <w:sz w:val="20"/>
          <w:szCs w:val="20"/>
          <w:color w:val="auto"/>
        </w:rPr>
        <w:tab/>
      </w:r>
      <w:r>
        <w:rPr>
          <w:rFonts w:ascii="Arial" w:cs="Arial" w:eastAsia="Arial" w:hAnsi="Arial"/>
          <w:sz w:val="18"/>
          <w:szCs w:val="18"/>
          <w:color w:val="auto"/>
        </w:rPr>
        <w:t>Adj. EBITDA ($ in millions)</w:t>
      </w:r>
      <w:r>
        <w:rPr>
          <w:sz w:val="20"/>
          <w:szCs w:val="20"/>
          <w:color w:val="auto"/>
        </w:rPr>
        <w:tab/>
      </w:r>
      <w:r>
        <w:rPr>
          <w:rFonts w:ascii="Arial" w:cs="Arial" w:eastAsia="Arial" w:hAnsi="Arial"/>
          <w:sz w:val="16"/>
          <w:szCs w:val="16"/>
          <w:color w:val="auto"/>
        </w:rPr>
        <w:t>Cum. Adjusted FCF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five consecutive quarters ended October 31, 2020, and created a foundation for our future growth. These key initiatives include:</w:t>
      </w:r>
    </w:p>
    <w:p>
      <w:pPr>
        <w:spacing w:after="0" w:line="89" w:lineRule="exact"/>
        <w:rPr>
          <w:sz w:val="20"/>
          <w:szCs w:val="20"/>
          <w:color w:val="auto"/>
        </w:rPr>
      </w:pPr>
    </w:p>
    <w:p>
      <w:pPr>
        <w:ind w:left="1240" w:right="200" w:hanging="415"/>
        <w:spacing w:after="0" w:line="273"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Strengthened leadership team </w:t>
      </w:r>
      <w:r>
        <w:rPr>
          <w:rFonts w:ascii="Arial" w:cs="Arial" w:eastAsia="Arial" w:hAnsi="Arial"/>
          <w:sz w:val="17"/>
          <w:szCs w:val="17"/>
          <w:color w:val="auto"/>
        </w:rPr>
        <w:t>– Our leadership team comprises nine highly experienced and proven individuals, six of whom joined</w:t>
      </w:r>
      <w:r>
        <w:rPr>
          <w:rFonts w:ascii="Arial" w:cs="Arial" w:eastAsia="Arial" w:hAnsi="Arial"/>
          <w:sz w:val="17"/>
          <w:szCs w:val="17"/>
          <w:i w:val="1"/>
          <w:iCs w:val="1"/>
          <w:color w:val="auto"/>
        </w:rPr>
        <w:t xml:space="preserve"> </w:t>
      </w:r>
      <w:r>
        <w:rPr>
          <w:rFonts w:ascii="Arial" w:cs="Arial" w:eastAsia="Arial" w:hAnsi="Arial"/>
          <w:sz w:val="17"/>
          <w:szCs w:val="17"/>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64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59"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over the last three years in our omnichannel capabilities, we launched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92"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Localized merchandising </w:t>
      </w:r>
      <w:r>
        <w:rPr>
          <w:rFonts w:ascii="Arial" w:cs="Arial" w:eastAsia="Arial" w:hAnsi="Arial"/>
          <w:sz w:val="18"/>
          <w:szCs w:val="18"/>
          <w:color w:val="auto"/>
        </w:rPr>
        <w:t>– Since 2018, we improved the localization of our assortment across selected inventory offerings.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 resulted in an improved customer shopping experience and increased sales.</w:t>
      </w:r>
    </w:p>
    <w:p>
      <w:pPr>
        <w:spacing w:after="0" w:line="75" w:lineRule="exact"/>
        <w:rPr>
          <w:rFonts w:ascii="Arial" w:cs="Arial" w:eastAsia="Arial" w:hAnsi="Arial"/>
          <w:sz w:val="18"/>
          <w:szCs w:val="18"/>
          <w:color w:val="auto"/>
        </w:rPr>
      </w:pPr>
    </w:p>
    <w:p>
      <w:pPr>
        <w:ind w:left="1240" w:right="18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we improved and focused our assortments in priority product categories, such as team sports, fishing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89" w:lineRule="exact"/>
        <w:rPr>
          <w:rFonts w:ascii="Arial" w:cs="Arial" w:eastAsia="Arial" w:hAnsi="Arial"/>
          <w:sz w:val="18"/>
          <w:szCs w:val="18"/>
          <w:color w:val="auto"/>
        </w:rPr>
      </w:pPr>
    </w:p>
    <w:p>
      <w:pPr>
        <w:ind w:left="1240" w:right="60" w:hanging="415"/>
        <w:spacing w:after="0" w:line="308"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Enhance store optimization </w:t>
      </w:r>
      <w:r>
        <w:rPr>
          <w:rFonts w:ascii="Arial" w:cs="Arial" w:eastAsia="Arial" w:hAnsi="Arial"/>
          <w:sz w:val="17"/>
          <w:szCs w:val="17"/>
          <w:color w:val="auto"/>
        </w:rPr>
        <w:t>– We leverage technology to enable our store team members to better manage, prioritize and reduce tasks</w:t>
      </w:r>
      <w:r>
        <w:rPr>
          <w:rFonts w:ascii="Arial" w:cs="Arial" w:eastAsia="Arial" w:hAnsi="Arial"/>
          <w:sz w:val="17"/>
          <w:szCs w:val="17"/>
          <w:i w:val="1"/>
          <w:iCs w:val="1"/>
          <w:color w:val="auto"/>
        </w:rPr>
        <w:t xml:space="preserve"> </w:t>
      </w:r>
      <w:r>
        <w:rPr>
          <w:rFonts w:ascii="Arial" w:cs="Arial" w:eastAsia="Arial" w:hAnsi="Arial"/>
          <w:sz w:val="17"/>
          <w:szCs w:val="17"/>
          <w:color w:val="auto"/>
        </w:rPr>
        <w:t>to give them more time to engage in customer service, thereby increasing our productivity and sales conversion.</w:t>
      </w:r>
    </w:p>
    <w:p>
      <w:pPr>
        <w:spacing w:after="0" w:line="51" w:lineRule="exact"/>
        <w:rPr>
          <w:rFonts w:ascii="Arial" w:cs="Arial" w:eastAsia="Arial" w:hAnsi="Arial"/>
          <w:sz w:val="17"/>
          <w:szCs w:val="17"/>
          <w:color w:val="auto"/>
        </w:rPr>
      </w:pPr>
    </w:p>
    <w:p>
      <w:pPr>
        <w:ind w:left="1240" w:right="16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Digital marketing program </w:t>
      </w:r>
      <w:r>
        <w:rPr>
          <w:rFonts w:ascii="Arial" w:cs="Arial" w:eastAsia="Arial" w:hAnsi="Arial"/>
          <w:sz w:val="18"/>
          <w:szCs w:val="18"/>
          <w:color w:val="auto"/>
        </w:rPr>
        <w:t>– During the last two years, we shifted our primary marketing focus from print to digital marketing.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website also supports our stores with digital marketing and our BOPIS program. Each of these initiatives has given us a closer connection with our customers.</w:t>
      </w:r>
    </w:p>
    <w:p>
      <w:pPr>
        <w:spacing w:after="0" w:line="89" w:lineRule="exact"/>
        <w:rPr>
          <w:rFonts w:ascii="Arial" w:cs="Arial" w:eastAsia="Arial" w:hAnsi="Arial"/>
          <w:sz w:val="18"/>
          <w:szCs w:val="18"/>
          <w:color w:val="auto"/>
        </w:rPr>
      </w:pPr>
    </w:p>
    <w:p>
      <w:pPr>
        <w:jc w:val="both"/>
        <w:ind w:left="1240" w:right="12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 constituted approximately 4% of</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2020 net sales. Academy Credit Card represents a significant opportunity to build customer loyalty, as our Academy Credit Card customers both spend more per trip and visit our stores more often.</w:t>
      </w:r>
    </w:p>
    <w:p>
      <w:pPr>
        <w:spacing w:after="0" w:line="89" w:lineRule="exact"/>
        <w:rPr>
          <w:rFonts w:ascii="Arial" w:cs="Arial" w:eastAsia="Arial" w:hAnsi="Arial"/>
          <w:sz w:val="18"/>
          <w:szCs w:val="18"/>
          <w:color w:val="auto"/>
        </w:rPr>
      </w:pPr>
    </w:p>
    <w:p>
      <w:pPr>
        <w:ind w:left="1240" w:hanging="415"/>
        <w:spacing w:after="0" w:line="301"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Programmatic inventory management </w:t>
      </w:r>
      <w:r>
        <w:rPr>
          <w:rFonts w:ascii="Arial" w:cs="Arial" w:eastAsia="Arial" w:hAnsi="Arial"/>
          <w:sz w:val="16"/>
          <w:szCs w:val="16"/>
          <w:color w:val="auto"/>
        </w:rPr>
        <w:t>– We implemented a new disciplined price markdown strategy that has improved our margins</w:t>
      </w:r>
      <w:r>
        <w:rPr>
          <w:rFonts w:ascii="Arial" w:cs="Arial" w:eastAsia="Arial" w:hAnsi="Arial"/>
          <w:sz w:val="16"/>
          <w:szCs w:val="16"/>
          <w:i w:val="1"/>
          <w:iCs w:val="1"/>
          <w:color w:val="auto"/>
        </w:rPr>
        <w:t xml:space="preserve"> </w:t>
      </w:r>
      <w:r>
        <w:rPr>
          <w:rFonts w:ascii="Arial" w:cs="Arial" w:eastAsia="Arial" w:hAnsi="Arial"/>
          <w:sz w:val="16"/>
          <w:szCs w:val="16"/>
          <w:color w:val="auto"/>
        </w:rPr>
        <w:t>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3.55x for the twelve months ended October 31, 2020.</w:t>
      </w:r>
    </w:p>
    <w:p>
      <w:pPr>
        <w:spacing w:after="0" w:line="62" w:lineRule="exact"/>
        <w:rPr>
          <w:rFonts w:ascii="Arial" w:cs="Arial" w:eastAsia="Arial" w:hAnsi="Arial"/>
          <w:sz w:val="16"/>
          <w:szCs w:val="16"/>
          <w:color w:val="auto"/>
        </w:rPr>
      </w:pPr>
    </w:p>
    <w:p>
      <w:pPr>
        <w:ind w:left="1240" w:right="140" w:hanging="415"/>
        <w:spacing w:after="0" w:line="275"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Develop small box format </w:t>
      </w:r>
      <w:r>
        <w:rPr>
          <w:rFonts w:ascii="Arial" w:cs="Arial" w:eastAsia="Arial" w:hAnsi="Arial"/>
          <w:sz w:val="17"/>
          <w:szCs w:val="17"/>
          <w:color w:val="auto"/>
        </w:rPr>
        <w:t>– We opened our first small format store (approximately 40,000 square feet) in Dallas, Texas in 2019.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76" w:lineRule="exact"/>
        <w:rPr>
          <w:sz w:val="20"/>
          <w:szCs w:val="20"/>
          <w:color w:val="auto"/>
        </w:rPr>
      </w:pPr>
    </w:p>
    <w:p>
      <w:pPr>
        <w:ind w:left="300" w:right="80" w:firstLine="426"/>
        <w:spacing w:after="0" w:line="270" w:lineRule="auto"/>
        <w:rPr>
          <w:sz w:val="20"/>
          <w:szCs w:val="20"/>
          <w:color w:val="auto"/>
        </w:rPr>
      </w:pPr>
      <w:r>
        <w:rPr>
          <w:rFonts w:ascii="Arial" w:cs="Arial" w:eastAsia="Arial" w:hAnsi="Arial"/>
          <w:sz w:val="17"/>
          <w:szCs w:val="17"/>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9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311" w:lineRule="auto"/>
        <w:rPr>
          <w:sz w:val="20"/>
          <w:szCs w:val="20"/>
          <w:color w:val="auto"/>
        </w:rPr>
      </w:pPr>
      <w:r>
        <w:rPr>
          <w:rFonts w:ascii="Arial" w:cs="Arial" w:eastAsia="Arial" w:hAnsi="Arial"/>
          <w:sz w:val="16"/>
          <w:szCs w:val="16"/>
          <w:color w:val="auto"/>
        </w:rPr>
        <w:t>last several years and, coupled with our product offering and accessible stores, have laid the foundation for our 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Mass general merchants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 format sporting goods stores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Traditional sporting goods stores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Specialty outdoor retailers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Specialty footwear retailers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Catalogue &amp; Internet retailers</w:t>
      </w:r>
    </w:p>
    <w:p>
      <w:pPr>
        <w:spacing w:after="0" w:line="225"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70"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182"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8"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76" w:lineRule="exact"/>
        <w:rPr>
          <w:sz w:val="20"/>
          <w:szCs w:val="20"/>
          <w:color w:val="auto"/>
        </w:rPr>
      </w:pPr>
    </w:p>
    <w:p>
      <w:pPr>
        <w:ind w:left="300" w:right="380" w:firstLine="426"/>
        <w:spacing w:after="0" w:line="263" w:lineRule="auto"/>
        <w:rPr>
          <w:sz w:val="20"/>
          <w:szCs w:val="20"/>
          <w:color w:val="auto"/>
        </w:rPr>
      </w:pPr>
      <w:r>
        <w:rPr>
          <w:rFonts w:ascii="Arial" w:cs="Arial" w:eastAsia="Arial" w:hAnsi="Arial"/>
          <w:sz w:val="18"/>
          <w:szCs w:val="18"/>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7" w:lineRule="exact"/>
        <w:rPr>
          <w:sz w:val="20"/>
          <w:szCs w:val="20"/>
          <w:color w:val="auto"/>
        </w:rPr>
      </w:pPr>
    </w:p>
    <w:p>
      <w:pPr>
        <w:ind w:left="300" w:right="200" w:firstLine="426"/>
        <w:spacing w:after="0" w:line="271" w:lineRule="auto"/>
        <w:rPr>
          <w:sz w:val="20"/>
          <w:szCs w:val="20"/>
          <w:color w:val="auto"/>
        </w:rPr>
      </w:pPr>
      <w:r>
        <w:rPr>
          <w:rFonts w:ascii="Arial" w:cs="Arial" w:eastAsia="Arial" w:hAnsi="Arial"/>
          <w:sz w:val="17"/>
          <w:szCs w:val="17"/>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 branded chairs at a softball game, or individuals wearing Magellan Outdoors shirts around town, our owned brands are worn and used throughout our footprint.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300" w:right="60" w:firstLine="426"/>
        <w:spacing w:after="0" w:line="288"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68"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 passionate local experts who are specially recruited and trained for category-specific positions.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81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48818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jc w:val="both"/>
        <w:ind w:left="300" w:right="240" w:firstLine="426"/>
        <w:spacing w:after="0" w:line="31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4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estimate we have gained approximately two million new customers this year.</w:t>
      </w:r>
    </w:p>
    <w:p>
      <w:pPr>
        <w:spacing w:after="0" w:line="188" w:lineRule="exact"/>
        <w:rPr>
          <w:sz w:val="20"/>
          <w:szCs w:val="20"/>
          <w:color w:val="auto"/>
        </w:rPr>
      </w:pPr>
    </w:p>
    <w:p>
      <w:pPr>
        <w:ind w:left="300" w:right="60" w:firstLine="426"/>
        <w:spacing w:after="0" w:line="296" w:lineRule="auto"/>
        <w:rPr>
          <w:sz w:val="20"/>
          <w:szCs w:val="20"/>
          <w:color w:val="auto"/>
        </w:rPr>
      </w:pPr>
      <w:r>
        <w:rPr>
          <w:rFonts w:ascii="Arial" w:cs="Arial" w:eastAsia="Arial" w:hAnsi="Arial"/>
          <w:sz w:val="16"/>
          <w:szCs w:val="16"/>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61"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five consecutive quarters of positive comparable sales as of 2020 third quarter, Adjusted EBITDA growth to $323 million in 2019, or 8%, compared to 2018, and Adjusted Free Cash Flow growth of $99 million in 2018 to $197 million in 2019.</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300" w:right="160" w:firstLine="426"/>
        <w:spacing w:after="0" w:line="255" w:lineRule="auto"/>
        <w:rPr>
          <w:sz w:val="20"/>
          <w:szCs w:val="20"/>
          <w:color w:val="auto"/>
        </w:rPr>
      </w:pPr>
      <w:r>
        <w:rPr>
          <w:rFonts w:ascii="Arial" w:cs="Arial" w:eastAsia="Arial" w:hAnsi="Arial"/>
          <w:sz w:val="18"/>
          <w:szCs w:val="18"/>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9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We have consistently demonstrated steady revenue growth, expanded profit margins and disciplined capital expenditures. We generated</w:t>
      </w:r>
    </w:p>
    <w:p>
      <w:pPr>
        <w:spacing w:after="0" w:line="35" w:lineRule="exact"/>
        <w:rPr>
          <w:sz w:val="20"/>
          <w:szCs w:val="20"/>
          <w:color w:val="auto"/>
        </w:rPr>
      </w:pPr>
    </w:p>
    <w:p>
      <w:pPr>
        <w:jc w:val="both"/>
        <w:ind w:left="300" w:right="20"/>
        <w:spacing w:after="0" w:line="302" w:lineRule="auto"/>
        <w:rPr>
          <w:sz w:val="20"/>
          <w:szCs w:val="20"/>
          <w:color w:val="auto"/>
        </w:rPr>
      </w:pPr>
      <w:r>
        <w:rPr>
          <w:rFonts w:ascii="Arial" w:cs="Arial" w:eastAsia="Arial" w:hAnsi="Arial"/>
          <w:sz w:val="16"/>
          <w:szCs w:val="16"/>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1.1x as of end of 2020 third quarter compared to 5.2x as of end of both 2017 and 2018 and 4.1x as of end of 2019.</w:t>
      </w:r>
    </w:p>
    <w:p>
      <w:pPr>
        <w:spacing w:after="0" w:line="155"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217 mature stores (stores opened longer than four years) were profitable on a four-wall basis for the twelve months ended October 31, 2020 and our new stores have average payback periods of four to five years.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are focused on the following four growth drivers: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Our e-commerce sales represented 5% and 10% of our merchandise sales for 2019 and for the year-to-date 2020, respectively. E-commerce sales increased 406% from the prior quarter in first quarter 2020, 210% from the prior quarter in second quarter 2020 and 96% from the prior quarter in 2020 third quarter.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95" w:lineRule="exact"/>
        <w:rPr>
          <w:sz w:val="20"/>
          <w:szCs w:val="20"/>
          <w:color w:val="auto"/>
        </w:rPr>
      </w:pPr>
    </w:p>
    <w:p>
      <w:pPr>
        <w:ind w:left="300" w:right="100" w:firstLine="426"/>
        <w:spacing w:after="0" w:line="271" w:lineRule="auto"/>
        <w:rPr>
          <w:sz w:val="20"/>
          <w:szCs w:val="20"/>
          <w:color w:val="auto"/>
        </w:rPr>
      </w:pPr>
      <w:r>
        <w:rPr>
          <w:rFonts w:ascii="Arial" w:cs="Arial" w:eastAsia="Arial" w:hAnsi="Arial"/>
          <w:sz w:val="17"/>
          <w:szCs w:val="17"/>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the year-to-date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2020 third quarter, which will continue to give our customers more options on how to shop Academy.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7"/>
          <w:szCs w:val="17"/>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65" w:lineRule="exact"/>
        <w:rPr>
          <w:sz w:val="20"/>
          <w:szCs w:val="20"/>
          <w:color w:val="auto"/>
        </w:rPr>
      </w:pPr>
    </w:p>
    <w:p>
      <w:pPr>
        <w:ind w:left="300" w:right="140" w:firstLine="426"/>
        <w:spacing w:after="0" w:line="255" w:lineRule="auto"/>
        <w:rPr>
          <w:sz w:val="20"/>
          <w:szCs w:val="20"/>
          <w:color w:val="auto"/>
        </w:rPr>
      </w:pPr>
      <w:r>
        <w:rPr>
          <w:rFonts w:ascii="Arial" w:cs="Arial" w:eastAsia="Arial" w:hAnsi="Arial"/>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92"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66"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84"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This implementation, along with other factors, has allowed us to improve our inventory management in stores, increasing the average inventory turns from 2.68x in 2017 to 3.55x for the twelve months ended October 31, 2020, and has helped us to identify and exit certain product categories, such as luggage and toys.</w:t>
      </w:r>
    </w:p>
    <w:p>
      <w:pPr>
        <w:spacing w:after="0" w:line="184"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84"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95"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300" w:right="220" w:firstLine="426"/>
        <w:spacing w:after="0" w:line="296" w:lineRule="auto"/>
        <w:rPr>
          <w:sz w:val="20"/>
          <w:szCs w:val="20"/>
          <w:color w:val="auto"/>
        </w:rPr>
      </w:pPr>
      <w:r>
        <w:rPr>
          <w:rFonts w:ascii="Arial" w:cs="Arial" w:eastAsia="Arial" w:hAnsi="Arial"/>
          <w:sz w:val="16"/>
          <w:szCs w:val="16"/>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October 31, 2020, we had 217 mature stores, and all but one were profitable on a four-wall basis for the twelve months ended October 31, 2020. We expect to open eight to 10 new stores per year starting in 2022, which is similar to our growth rates from 2018 to 2019.</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421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70421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300" w:right="140" w:firstLine="426"/>
        <w:spacing w:after="0" w:line="263" w:lineRule="auto"/>
        <w:rPr>
          <w:sz w:val="20"/>
          <w:szCs w:val="20"/>
          <w:color w:val="auto"/>
        </w:rPr>
      </w:pPr>
      <w:r>
        <w:rPr>
          <w:rFonts w:ascii="Arial" w:cs="Arial" w:eastAsia="Arial" w:hAnsi="Arial"/>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84" w:lineRule="exact"/>
        <w:rPr>
          <w:sz w:val="20"/>
          <w:szCs w:val="20"/>
          <w:color w:val="auto"/>
        </w:rPr>
      </w:pPr>
    </w:p>
    <w:p>
      <w:pPr>
        <w:jc w:val="both"/>
        <w:ind w:left="300" w:right="360" w:firstLine="426"/>
        <w:spacing w:after="0" w:line="263"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Preliminary, Unaudited Estimates for the Nine-Week Period Ended January 2, 2021</w:t>
      </w:r>
    </w:p>
    <w:p>
      <w:pPr>
        <w:spacing w:after="0" w:line="117"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We estimate that our comparable sales grew approximately 16.6% during the first nine weeks of the fourth quarter 2020 (from November 1, 2020 to January 2, 2021). This comparable sales increase was driven primarily by double digit sales growth in all of our merchandise categories. Additionally, our number of transactions, average ticket, units per transaction and average unit retails also increased during the period and contributed to this comparable sales increase. As of January 2, 2021, we operated 259 retail locations in 16 states.</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90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This preliminary financial information is for the first nine weeks of our fourth quarter 2020 and the fourth quarter 2020 has not ended. The unaudited, estimated results for this nine-week period represent only a portion of our fourth quarter 2020, are preliminary, based upon our estimates and currently available information, and are subject to revision based upon, among other things, quarter-end closing procedures and/or adjustments, the completion of our interim consolidated financial statements and other operational procedures. This preliminary financial information should not be viewed as a substitute for full interim financial statements prepared in accordance with GAAP and reviewed by our auditors. These preliminary results are not necessarily indicative of the results to be achieved for the thirteen-week period ending January 30, 2021 or any future period. Our actual results may be materially different from our estimates, which should not be regarded as a representation by us, our management, the selling stockholders or the underwriters as to our actual results for the thirteen-week period ending January 30, 2021. You should not place undue reliance on these estimates. This preliminary financial data has been prepared by, and is the responsibility of, our management. Deloitte &amp; Touche LLP has not audited, reviewed, compiled or performed any procedures with respect to the accompanying preliminary financial data. Accordingly, Deloitte &amp; Touche LLP does not express an opinion or any other form of assurance with respect thereto.</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described in “Risk Factors”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92"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30"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75" w:lineRule="exact"/>
        <w:rPr>
          <w:rFonts w:ascii="Arial" w:cs="Arial" w:eastAsia="Arial" w:hAnsi="Arial"/>
          <w:sz w:val="18"/>
          <w:szCs w:val="18"/>
          <w:color w:val="auto"/>
        </w:rPr>
      </w:pPr>
    </w:p>
    <w:p>
      <w:pPr>
        <w:ind w:left="1240" w:right="64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30" w:lineRule="exact"/>
        <w:rPr>
          <w:rFonts w:ascii="Arial" w:cs="Arial" w:eastAsia="Arial" w:hAnsi="Arial"/>
          <w:sz w:val="18"/>
          <w:szCs w:val="18"/>
          <w:color w:val="auto"/>
        </w:rPr>
      </w:pPr>
    </w:p>
    <w:p>
      <w:pPr>
        <w:ind w:left="1240" w:right="660" w:hanging="415"/>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being a “controlled company” within the meaning of Nasdaq rules and, as a result, qualifying for exemptions from certain corporate governance requirements;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KKR Stockholders controlling us and their interests conflicting with ours or yours in the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75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22758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KKR</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KKR is a leading global investment firm that manages multiple alternative asset classes, including private equity, credit and real assets, with strategic partners that manage hedge funds. KKR aims to generate attractive investment returns for its fund investors by following a patient and disciplined investment approach, employing world-class people, and driving growth and value creation with KKR portfolio companies. KKR invests its own capital alongside the capital it manages for fund investors and provides financing solutions and investment opportunities through its capital markets business.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common stock began trading on Nasdaq under the symbol “ASO” on October 2, 2020 and we consummated the IPO on October 6, 2020.</w:t>
      </w:r>
    </w:p>
    <w:p>
      <w:pPr>
        <w:spacing w:after="0" w:line="248"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Arial" w:cs="Arial" w:eastAsia="Arial" w:hAnsi="Arial"/>
          <w:sz w:val="18"/>
          <w:szCs w:val="18"/>
          <w:b w:val="1"/>
          <w:bCs w:val="1"/>
          <w:color w:val="auto"/>
        </w:rPr>
        <w:t>The information contained on, or that</w:t>
      </w:r>
      <w:r>
        <w:rPr>
          <w:rFonts w:ascii="Arial" w:cs="Arial" w:eastAsia="Arial" w:hAnsi="Arial"/>
          <w:sz w:val="18"/>
          <w:szCs w:val="18"/>
          <w:color w:val="auto"/>
        </w:rPr>
        <w:t xml:space="preserve"> </w:t>
      </w:r>
      <w:r>
        <w:rPr>
          <w:rFonts w:ascii="Arial" w:cs="Arial" w:eastAsia="Arial" w:hAnsi="Arial"/>
          <w:sz w:val="18"/>
          <w:szCs w:val="18"/>
          <w:b w:val="1"/>
          <w:bCs w:val="1"/>
          <w:color w:val="auto"/>
        </w:rPr>
        <w:t>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0"/>
              </w:rPr>
              <w:t>Common stock offered by the selling stockholders</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12,000,000 shares.</w:t>
            </w:r>
          </w:p>
        </w:tc>
      </w:tr>
      <w:tr>
        <w:trPr>
          <w:trHeight w:val="454"/>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2"/>
              </w:rPr>
              <w:t>Option to purchase additional shares of common</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The selling stockholders have granted the underwriters a 30-day option from the date of</w:t>
            </w:r>
          </w:p>
        </w:tc>
      </w:tr>
      <w:tr>
        <w:trPr>
          <w:trHeight w:val="220"/>
        </w:trPr>
        <w:tc>
          <w:tcPr>
            <w:tcW w:w="410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stock</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this prospectus to purchase up to 1,800,000 additional shares of our common stock at the</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public offering price, less underwriting discounts and commissions.</w:t>
            </w:r>
          </w:p>
        </w:tc>
      </w:tr>
      <w:tr>
        <w:trPr>
          <w:trHeight w:val="459"/>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Common stock outstanding</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90,936,907 shares (as of January 2, 2021).</w:t>
            </w:r>
          </w:p>
        </w:tc>
      </w:tr>
      <w:tr>
        <w:trPr>
          <w:trHeight w:val="458"/>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We will not receive any proceeds from the sale of shares being sold in this offering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including from any exercise by the underwriters of their option to purchase additional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shares. The selling stockholders will receive all of the net proceeds and bear all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commissions and discounts, if any, from the sale of our common stock pursuant to this</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prospectus. See “Use of Proceeds” and “Selling Stockholders.”</w:t>
            </w:r>
          </w:p>
        </w:tc>
      </w:tr>
      <w:tr>
        <w:trPr>
          <w:trHeight w:val="445"/>
        </w:trPr>
        <w:tc>
          <w:tcPr>
            <w:tcW w:w="41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The selling stockholders will bear the underwriting commissions and discounts, if any,</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attributable to their sale of our common stock, and expenses incurred by the selling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1"/>
              </w:rPr>
              <w:t>shareholders for brokerage, accounting, tax or legal services or any other expenses incurred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by the selling shareholders. We will bear all other costs, fees and expenses incurred in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effecting the registration of the shares covered by this prospectus, including, without</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limitation, all registration and filing fees, and fees and expenses of our counsel and one</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counsel for the selling stockholders and our independent registered public accountants.</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Conflicts of Interest</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The KKR Stockholders beneficially own in excess of 10% of our issued and outstanding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common stock and will be selling stockholders in this offering and, as such, will receive in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excess of 5% of the net proceeds of the offering. Because KKR Capital Markets LLC, an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7"/>
              </w:rPr>
              <w:t>affiliate of the KKR Stockholders, is an underwriter in this offering, KKR Capital Markets</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LLC is deemed to have a “conflict of interest” under Rule 5121, or Rule 5121, of the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Financial Industry Regulatory Authority, Inc., or FINRA. Accordingly, this offering is</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6"/>
              </w:rPr>
              <w:t>being made in compliance with the requirements of Rule 5121. Pursuant to that rule, the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appointment of a “qualified independent underwriter” is not required in connection with</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this offering, because a bona fide public market exists in the shares, as that term is defined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9"/>
              </w:rPr>
              <w:t>in Rule 5121. See “Principal and Selling Stockholders” and “Underwriting (Conflicts of</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Interest).”</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Controlled company</w:t>
            </w: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8"/>
              </w:rPr>
              <w:t>After the completion of this offering, KKR Stockholders will collectively beneficially own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5"/>
              </w:rPr>
              <w:t>approximately 56% of the voting power of our common stock. We currently intend to avail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3"/>
              </w:rPr>
              <w:t>ourselves of the controlled company exemption under the corporate governance standards</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of Nasdaq.</w:t>
            </w:r>
          </w:p>
        </w:tc>
      </w:tr>
      <w:tr>
        <w:trPr>
          <w:trHeight w:val="240"/>
        </w:trPr>
        <w:tc>
          <w:tcPr>
            <w:tcW w:w="4100" w:type="dxa"/>
            <w:vAlign w:val="bottom"/>
            <w:tcBorders>
              <w:left w:val="single" w:sz="8" w:color="auto"/>
              <w:bottom w:val="single" w:sz="8" w:color="auto"/>
            </w:tcBorders>
          </w:tcPr>
          <w:p>
            <w:pPr>
              <w:spacing w:after="0"/>
              <w:rPr>
                <w:sz w:val="20"/>
                <w:szCs w:val="20"/>
                <w:color w:val="auto"/>
              </w:rPr>
            </w:pPr>
          </w:p>
        </w:tc>
        <w:tc>
          <w:tcPr>
            <w:tcW w:w="6920" w:type="dxa"/>
            <w:vAlign w:val="bottom"/>
            <w:tcBorders>
              <w:bottom w:val="single" w:sz="8" w:color="auto"/>
              <w:right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6920" w:type="dxa"/>
            <w:vAlign w:val="bottom"/>
          </w:tcPr>
          <w:p>
            <w:pPr>
              <w:ind w:left="13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181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518160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Investing in shares of our common stock involves a high degree of risk. See “Risk Factors” for a discussion of factors you should carefully consider before investing in shares of our common stock.</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7" w:lineRule="exact"/>
        <w:rPr>
          <w:sz w:val="20"/>
          <w:szCs w:val="20"/>
          <w:color w:val="auto"/>
        </w:rPr>
      </w:pPr>
    </w:p>
    <w:p>
      <w:pPr>
        <w:ind w:left="380" w:hanging="78"/>
        <w:spacing w:after="0" w:line="312" w:lineRule="auto"/>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ind w:right="280"/>
        <w:spacing w:after="0" w:line="263" w:lineRule="auto"/>
        <w:rPr>
          <w:sz w:val="20"/>
          <w:szCs w:val="20"/>
          <w:color w:val="auto"/>
        </w:rPr>
      </w:pPr>
      <w:r>
        <w:rPr>
          <w:rFonts w:ascii="Arial" w:cs="Arial" w:eastAsia="Arial" w:hAnsi="Arial"/>
          <w:sz w:val="18"/>
          <w:szCs w:val="18"/>
          <w:color w:val="auto"/>
        </w:rPr>
        <w:t>For a discussion of certain U.S. federal income and estate tax consequences that may be relevant to non-U.S. stockholders, see “Material U.S. Federal Income and Estate Tax Consequences to Non-U.S. Holders.”</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“ASO.”</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Unless we indicate otherwise or the context otherwise requires, this prospectus reflects and assumes no exercise of the underwriters’ option to purchase 1,800,000 additional shares of our common stock.</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number of shares of common stock after this offering excludes:</w:t>
      </w:r>
    </w:p>
    <w:p>
      <w:pPr>
        <w:spacing w:after="0" w:line="131" w:lineRule="exact"/>
        <w:rPr>
          <w:sz w:val="20"/>
          <w:szCs w:val="20"/>
          <w:color w:val="auto"/>
        </w:rPr>
      </w:pPr>
    </w:p>
    <w:p>
      <w:pPr>
        <w:ind w:left="1240" w:right="40" w:hanging="415"/>
        <w:spacing w:after="0" w:line="287"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9,424,127 shares of common stock issuable upon exercise of outstanding options, (i) 6,381,288 of which are vested, with a weighted-average exercise price of $9.51 per share, and (ii) 3,042,839 of which are not vested, with a weighted-average exercise price of $16.87 per share, in each case, issued under the New Academy Holding Company, LLC 2011 Unit Incentive Plan, or the 2011 Equity Plan.</w:t>
      </w:r>
    </w:p>
    <w:p>
      <w:pPr>
        <w:spacing w:after="0" w:line="2"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8"/>
          <w:szCs w:val="18"/>
          <w:color w:val="auto"/>
        </w:rPr>
        <w:t>See “Executive Compensation—Equity Compensation Plans—2011 Equity Plan;”</w:t>
      </w:r>
    </w:p>
    <w:p>
      <w:pPr>
        <w:spacing w:after="0" w:line="116" w:lineRule="exact"/>
        <w:rPr>
          <w:rFonts w:ascii="Arial" w:cs="Arial" w:eastAsia="Arial" w:hAnsi="Arial"/>
          <w:sz w:val="16"/>
          <w:szCs w:val="16"/>
          <w:color w:val="auto"/>
        </w:rPr>
      </w:pPr>
    </w:p>
    <w:p>
      <w:pPr>
        <w:ind w:left="1240" w:right="180" w:hanging="415"/>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1,413,286 shares of common stock issuable upon settlement of outstanding restricted stock units, all of which are not vested, in each case, issued under the 2011 Equity Plan. See “Executive Compensation—Equity Compensation Plans—2011 Equity Plan;”</w:t>
      </w:r>
    </w:p>
    <w:p>
      <w:pPr>
        <w:spacing w:after="0" w:line="29" w:lineRule="exact"/>
        <w:rPr>
          <w:rFonts w:ascii="Arial" w:cs="Arial" w:eastAsia="Arial" w:hAnsi="Arial"/>
          <w:sz w:val="16"/>
          <w:szCs w:val="16"/>
          <w:color w:val="auto"/>
        </w:rPr>
      </w:pPr>
    </w:p>
    <w:p>
      <w:pPr>
        <w:ind w:left="1240" w:right="40" w:hanging="415"/>
        <w:spacing w:after="0" w:line="301"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172,464 shares of common stock issuable upon exercise of outstanding options, none of which are vested, with a weighted-average exercise price of $13.71, (ii) 36,813 shares of common stock issuable upon settlement of outstanding restricted stock units, none of which are vested, and (iii) 4,940,723 shares of common stock reserved for future issuance, in each case, under our new 2020 Omnibus Incentive Plan, or the 2020 Equity Plan. See “Executive Compensation—Equity Compensation Plans—2020 Equity Plan;” and</w:t>
      </w:r>
    </w:p>
    <w:p>
      <w:pPr>
        <w:spacing w:after="0" w:line="62" w:lineRule="exact"/>
        <w:rPr>
          <w:rFonts w:ascii="Arial" w:cs="Arial" w:eastAsia="Arial" w:hAnsi="Arial"/>
          <w:sz w:val="16"/>
          <w:szCs w:val="16"/>
          <w:color w:val="auto"/>
        </w:rPr>
      </w:pPr>
    </w:p>
    <w:p>
      <w:pPr>
        <w:ind w:left="1240" w:right="10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1,000,000 shares of common stock reserved for future issuance under our new 2020 Employee Stock Purchase Plan, or the ESPP. See “Executive Compensation—Equity Compensation Plans—2020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461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4615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229" w:lineRule="exact"/>
        <w:rPr>
          <w:sz w:val="20"/>
          <w:szCs w:val="20"/>
          <w:color w:val="auto"/>
        </w:rPr>
      </w:pPr>
    </w:p>
    <w:p>
      <w:pPr>
        <w:ind w:left="300" w:right="260" w:firstLine="426"/>
        <w:spacing w:after="0" w:line="293"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February 1, 2020 and February 2, 2019 and for 2019, 2018 and 2017 has been derived from our audited consolidated financial statements included elsewhere in this prospectus. The summary historical financial data as of February 3, 2018 has been derived from our consolidated financial statements not included in this prospectus. The summary historical financial data as of and for the thirty-nine weeks ended October 31, 2020 and November 2, 2019 has been derived from our unaudited condensed consolidated financial statements included elsewhere in this prospectus. The results of operations for any period are not necessarily indicative of our future financial condition or results of operations.</w:t>
      </w:r>
    </w:p>
    <w:p>
      <w:pPr>
        <w:spacing w:after="0" w:line="164"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You should read the following summary financial and other data below together with the information under “Selected Historical Consolidated Financial Data,” “Capitalization” and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7"/>
          </w:tcPr>
          <w:p>
            <w:pPr>
              <w:ind w:left="12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1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February 1,</w:t>
            </w: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February 2,</w:t>
            </w: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October 31,</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November 2,</w:t>
            </w:r>
          </w:p>
        </w:tc>
        <w:tc>
          <w:tcPr>
            <w:tcW w:w="320" w:type="dxa"/>
            <w:vAlign w:val="bottom"/>
            <w:gridSpan w:val="2"/>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Period length</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 weeks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1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18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15"/>
                <w:szCs w:val="15"/>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4,829,897</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4,783,893</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4,835,582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4,091,797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3,459,405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3,398,743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3,415,941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3,436,618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2,856,840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2,398,783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1,431,154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1,367,952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1,398,964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1,234,957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1,060,622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1,251,733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1,239,002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1,241,643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923,418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179,421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128,950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279,366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137,204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(Gain) on early retirement of debt, net</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(42,265)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(42,265)</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3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932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2,</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November 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Period length</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 weeks</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(In thousands, except store data and per share data)</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149,385</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75,691</w:t>
            </w:r>
          </w:p>
        </w:tc>
        <w:tc>
          <w:tcPr>
            <w:tcW w:w="4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31,045</w:t>
            </w:r>
          </w:p>
        </w:tc>
        <w:tc>
          <w:tcPr>
            <w:tcW w:w="4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869,725</w:t>
            </w:r>
          </w:p>
        </w:tc>
        <w:tc>
          <w:tcPr>
            <w:tcW w:w="3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43,538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inventories,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1,099,749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1,134,156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1,223,486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1,082,907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1,331,969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538,795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582,789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605,083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750,990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571,788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4,331,321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3,238,957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3,323,046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4,981,916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4,488,709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debt, net of deferred loan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1,462,658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1,625,060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1,675,356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1,427,135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1,510,859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988,219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857,039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984,564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Cash Flow Data:</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263,669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198,481</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83,355</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857,218</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(66,783)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(99,027)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(115,901)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(13,790)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(52,579)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(123,192)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(54,808)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(123,088)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62,818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107,905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132,126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(21,915)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(48,614)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 (unaudited):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Comparable sales increase (decrease)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at end of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8"/>
              </w:rPr>
              <w:t>Total square feet at end of period (in millions)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sales per square foot</w:t>
            </w:r>
            <w:r>
              <w:rPr>
                <w:rFonts w:ascii="Arial" w:cs="Arial" w:eastAsia="Arial" w:hAnsi="Arial"/>
                <w:sz w:val="15"/>
                <w:szCs w:val="15"/>
                <w:color w:val="auto"/>
              </w:rPr>
              <w:t>(4)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300,259</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315,420</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428,640</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101,469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55,405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72,078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278,001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Income</w:t>
            </w:r>
            <w:r>
              <w:rPr>
                <w:rFonts w:ascii="Arial" w:cs="Arial" w:eastAsia="Arial" w:hAnsi="Arial"/>
                <w:sz w:val="15"/>
                <w:szCs w:val="15"/>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208,591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 Forma Adjusted Earnings per Share</w:t>
            </w:r>
            <w:r>
              <w:rPr>
                <w:rFonts w:ascii="Arial" w:cs="Arial" w:eastAsia="Arial" w:hAnsi="Arial"/>
                <w:sz w:val="15"/>
                <w:szCs w:val="15"/>
                <w:color w:val="auto"/>
              </w:rPr>
              <w:t>(5)</w:t>
            </w: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r>
              <w:rPr>
                <w:rFonts w:ascii="Arial" w:cs="Arial" w:eastAsia="Arial" w:hAnsi="Arial"/>
                <w:sz w:val="15"/>
                <w:szCs w:val="15"/>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843,428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422"/>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the 53rd week to 2017 net sales was $60.6 million.</w:t>
      </w:r>
    </w:p>
    <w:p>
      <w:pPr>
        <w:spacing w:after="0" w:line="23" w:lineRule="exact"/>
        <w:rPr>
          <w:rFonts w:ascii="Arial" w:cs="Arial" w:eastAsia="Arial" w:hAnsi="Arial"/>
          <w:sz w:val="18"/>
          <w:szCs w:val="18"/>
          <w:color w:val="auto"/>
        </w:rPr>
      </w:pPr>
    </w:p>
    <w:p>
      <w:pPr>
        <w:ind w:left="720" w:right="40" w:hanging="422"/>
        <w:spacing w:after="0" w:line="265"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first half 2020 and in 2019 and 2017, we repurchased principal on our 2015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 $19.7 million and recognized a related net gain of $6.3 million.</w:t>
      </w:r>
    </w:p>
    <w:p>
      <w:pPr>
        <w:ind w:left="720" w:right="60" w:hanging="422"/>
        <w:spacing w:after="0" w:line="250"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 w:lineRule="exact"/>
        <w:rPr>
          <w:rFonts w:ascii="Arial" w:cs="Arial" w:eastAsia="Arial" w:hAnsi="Arial"/>
          <w:sz w:val="18"/>
          <w:szCs w:val="18"/>
          <w:color w:val="auto"/>
        </w:rPr>
      </w:pPr>
    </w:p>
    <w:p>
      <w:pPr>
        <w:ind w:left="720" w:right="520" w:hanging="422"/>
        <w:spacing w:after="0" w:line="290" w:lineRule="auto"/>
        <w:tabs>
          <w:tab w:leader="none" w:pos="7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line="285" w:lineRule="auto"/>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less the retrospective tax effect of Adjusted Net Income (Loss)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68" w:lineRule="exact"/>
        <w:rPr>
          <w:rFonts w:ascii="Arial" w:cs="Arial" w:eastAsia="Arial" w:hAnsi="Arial"/>
          <w:sz w:val="16"/>
          <w:szCs w:val="16"/>
          <w:color w:val="auto"/>
        </w:rPr>
      </w:pPr>
    </w:p>
    <w:p>
      <w:pPr>
        <w:ind w:left="720"/>
        <w:spacing w:after="0" w:line="287" w:lineRule="auto"/>
        <w:rPr>
          <w:rFonts w:ascii="Arial" w:cs="Arial" w:eastAsia="Arial" w:hAnsi="Arial"/>
          <w:sz w:val="16"/>
          <w:szCs w:val="16"/>
          <w:color w:val="auto"/>
        </w:rPr>
      </w:pPr>
      <w:r>
        <w:rPr>
          <w:rFonts w:ascii="Arial" w:cs="Arial" w:eastAsia="Arial" w:hAnsi="Arial"/>
          <w:sz w:val="16"/>
          <w:szCs w:val="16"/>
          <w:color w:val="auto"/>
        </w:rPr>
        <w:t>Adjusted EBITDA, Adjusted Net Income (Loss), Pro Forma Adjusted Net Income (Loss), Pro Forma Adjusted Earnings per Share and Adjusted Free Cash Flow have been presented in this prospectus as supplemental measures of financial performance that are not required by, or presented in accordance with, GAAP. We believe Adjusted EBITDA, Adjusted Net Income (Loss), Pro Forma Adjusted Net Income (Loss)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(Loss), Pro Forma Adjusted Net Income (Loss)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59" w:lineRule="exact"/>
        <w:rPr>
          <w:rFonts w:ascii="Arial" w:cs="Arial" w:eastAsia="Arial" w:hAnsi="Arial"/>
          <w:sz w:val="16"/>
          <w:szCs w:val="16"/>
          <w:color w:val="auto"/>
        </w:rPr>
      </w:pPr>
    </w:p>
    <w:p>
      <w:pPr>
        <w:ind w:left="720" w:right="100"/>
        <w:spacing w:after="0" w:line="269" w:lineRule="auto"/>
        <w:rPr>
          <w:rFonts w:ascii="Arial" w:cs="Arial" w:eastAsia="Arial" w:hAnsi="Arial"/>
          <w:sz w:val="16"/>
          <w:szCs w:val="16"/>
          <w:color w:val="auto"/>
        </w:rPr>
      </w:pPr>
      <w:r>
        <w:rPr>
          <w:rFonts w:ascii="Arial" w:cs="Arial" w:eastAsia="Arial" w:hAnsi="Arial"/>
          <w:sz w:val="17"/>
          <w:szCs w:val="17"/>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Pro Forma Adjusted Net Income (Loss) and Pro Forma Adjusted Earnings per Share should not be construed to imply that our future results will be unaffected by unusual or non-recurring items. In evaluating Adjusted EBITDA, Adjusted Net Income (Loss), Pro Forma Adjusted Net Income (Loss), Pro Forma Adjusted Earnings per Share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98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4598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40"/>
        <w:spacing w:after="0" w:line="255" w:lineRule="auto"/>
        <w:rPr>
          <w:sz w:val="20"/>
          <w:szCs w:val="20"/>
          <w:color w:val="auto"/>
        </w:rPr>
      </w:pPr>
      <w:r>
        <w:rPr>
          <w:rFonts w:ascii="Arial" w:cs="Arial" w:eastAsia="Arial" w:hAnsi="Arial"/>
          <w:sz w:val="18"/>
          <w:szCs w:val="18"/>
          <w:color w:val="auto"/>
        </w:rPr>
        <w:t>Adjusted Free Cash Flow, you should be aware that in the future we may incur expenses that are the same as or similar to some of the adjustments in this presentation. Our presentation of Adjusted EBITDA, Adjusted Net Income (Loss), Pro Forma Adjusted Net Income (Loss), Pro Forma Adjusted Earnings per Share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Pro Forma Adjusted Earnings per Share and Adjusted Free Cash Flow supplementally.</w:t>
      </w:r>
    </w:p>
    <w:p>
      <w:pPr>
        <w:spacing w:after="0" w:line="84" w:lineRule="exact"/>
        <w:rPr>
          <w:sz w:val="20"/>
          <w:szCs w:val="20"/>
          <w:color w:val="auto"/>
        </w:rPr>
      </w:pPr>
    </w:p>
    <w:p>
      <w:pPr>
        <w:jc w:val="both"/>
        <w:ind w:left="720" w:right="160"/>
        <w:spacing w:after="0" w:line="263" w:lineRule="auto"/>
        <w:rPr>
          <w:sz w:val="20"/>
          <w:szCs w:val="20"/>
          <w:color w:val="auto"/>
        </w:rPr>
      </w:pPr>
      <w:r>
        <w:rPr>
          <w:rFonts w:ascii="Arial" w:cs="Arial" w:eastAsia="Arial" w:hAnsi="Arial"/>
          <w:sz w:val="18"/>
          <w:szCs w:val="18"/>
          <w:color w:val="auto"/>
        </w:rPr>
        <w:t>Our Adjusted EBITDA, Adjusted Net Income (Loss), Pro Forma Adjusted Net Income (Loss),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89" w:lineRule="exact"/>
        <w:rPr>
          <w:sz w:val="20"/>
          <w:szCs w:val="20"/>
          <w:color w:val="auto"/>
        </w:rPr>
      </w:pPr>
    </w:p>
    <w:p>
      <w:pPr>
        <w:ind w:left="1240" w:right="20" w:hanging="415"/>
        <w:spacing w:after="0" w:line="277"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costs or cash outlays for capital expenditures or contractual commitments;</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changes in, or cash requirements for, our working capital needs;</w:t>
      </w:r>
    </w:p>
    <w:p>
      <w:pPr>
        <w:spacing w:after="0" w:line="75" w:lineRule="exact"/>
        <w:rPr>
          <w:rFonts w:ascii="Arial" w:cs="Arial" w:eastAsia="Arial" w:hAnsi="Arial"/>
          <w:sz w:val="18"/>
          <w:szCs w:val="18"/>
          <w:color w:val="auto"/>
        </w:rPr>
      </w:pPr>
    </w:p>
    <w:p>
      <w:pPr>
        <w:ind w:left="1240" w:right="40" w:hanging="415"/>
        <w:spacing w:after="0" w:line="342" w:lineRule="auto"/>
        <w:tabs>
          <w:tab w:leader="none" w:pos="12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Adjusted EBITDA does not reflect period to period changes in taxes, income tax expense or the cash necessary to pay income taxes;</w:t>
      </w:r>
    </w:p>
    <w:p>
      <w:pPr>
        <w:spacing w:after="0" w:line="153" w:lineRule="exact"/>
        <w:rPr>
          <w:rFonts w:ascii="Arial" w:cs="Arial" w:eastAsia="Arial" w:hAnsi="Arial"/>
          <w:sz w:val="16"/>
          <w:szCs w:val="16"/>
          <w:color w:val="auto"/>
        </w:rPr>
      </w:pPr>
    </w:p>
    <w:p>
      <w:pPr>
        <w:ind w:left="1240" w:right="20" w:hanging="523"/>
        <w:spacing w:after="0" w:line="342"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Adjusted Net Income (Loss), Pro Forma Adjusted Net Income (Loss) and Pro Forma Adjusted Earnings per Share do not reflect the impact of earnings or charges resulting from matters we consider not to be indicative of our ongoing operations;</w:t>
      </w:r>
    </w:p>
    <w:p>
      <w:pPr>
        <w:spacing w:after="0" w:line="29" w:lineRule="exact"/>
        <w:rPr>
          <w:rFonts w:ascii="Arial" w:cs="Arial" w:eastAsia="Arial" w:hAnsi="Arial"/>
          <w:sz w:val="16"/>
          <w:szCs w:val="16"/>
          <w:color w:val="auto"/>
        </w:rPr>
      </w:pPr>
    </w:p>
    <w:p>
      <w:pPr>
        <w:ind w:left="1240" w:right="180" w:hanging="523"/>
        <w:spacing w:after="0" w:line="263"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89" w:lineRule="exact"/>
        <w:rPr>
          <w:rFonts w:ascii="Arial" w:cs="Arial" w:eastAsia="Arial" w:hAnsi="Arial"/>
          <w:sz w:val="18"/>
          <w:szCs w:val="18"/>
          <w:color w:val="auto"/>
        </w:rPr>
      </w:pPr>
    </w:p>
    <w:p>
      <w:pPr>
        <w:ind w:left="1240" w:right="62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170"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Because of these limitations, Adjusted EBITDA, Adjusted Net Income (Loss), Pro Forma Adjusted Net Income (Loss), Pro Forma Adjusted Earnings per Share and Adjusted Free Cash Flow should not be considered as measures of discretionary cash available to invest in business growth or to reduce indebtedness.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320" w:top="459" w:right="6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The following tables provide reconciliations of net income (loss) to Adjusted EBITDA, Adjusted Net Income (Loss), Pro Forma Adjusted Net Income (Loss) and Pro Forma Adjusted Earnings per Share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rPr>
              <w:t>Thirty-Nine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$ 120,043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$ 217,242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102,305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101,307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108,652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104,857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70,487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117,254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134,190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135,680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79,718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 (a)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Adviser monitoring fee (b)</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14,793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Gain on early extinguishment of debt,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(42,265)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(7,831)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executive transition costs (d)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Costs related to the COVID-19 pandemic (e)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17,632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merchandising initiative (f)</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7,111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(10,144)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$ 322,814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$ 300,259</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$ 315,420</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$ 428,640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245,596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rPr>
              <w:t>Thirty-Nine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 except per share data)</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$ 120,043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$ 217,242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102,305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Consulting fees (a)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10,263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Adviser monitoring fee (b)</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Equity compensation (c)</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27,049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Severance and executive transition costs (d)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the COVID-19 pandemic (e)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merchandising initiative (f)</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(10,144)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Tax effects of these adjustments (h)</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Net Income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$ 101,469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55,405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Estimated tax effect of change to C-Corporation status (i)</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(25,542)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(14,067)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(18,346)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(69,410)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Adjusted Net Income</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75,927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41,338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53,732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$ 208,591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 Forma Adjusted Earnings per Share: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83,013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73,908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72,480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80" w:type="dxa"/>
            <w:vAlign w:val="bottom"/>
            <w:gridSpan w:val="3"/>
          </w:tcPr>
          <w:p>
            <w:pPr>
              <w:ind w:left="4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044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480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20" w:hanging="42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720" w:right="380" w:hanging="422"/>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our contractual payments under our Monitoring Agreement with the Adviser, which was terminated in connection with the IPO. See “Certain Relationships and Related Party Transactions—Monitoring Agreement.”</w:t>
      </w:r>
    </w:p>
    <w:p>
      <w:pPr>
        <w:ind w:left="720" w:right="500" w:hanging="422"/>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ind w:left="720" w:hanging="42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9" w:lineRule="exact"/>
        <w:rPr>
          <w:rFonts w:ascii="Arial" w:cs="Arial" w:eastAsia="Arial" w:hAnsi="Arial"/>
          <w:sz w:val="18"/>
          <w:szCs w:val="18"/>
          <w:color w:val="auto"/>
        </w:rPr>
      </w:pPr>
    </w:p>
    <w:p>
      <w:pPr>
        <w:ind w:left="720" w:right="260" w:hanging="422"/>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Arial" w:cs="Arial" w:eastAsia="Arial" w:hAnsi="Arial"/>
          <w:sz w:val="18"/>
          <w:szCs w:val="18"/>
          <w:color w:val="auto"/>
        </w:rPr>
      </w:pPr>
    </w:p>
    <w:p>
      <w:pPr>
        <w:ind w:left="720" w:right="1120" w:hanging="422"/>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inventory write-down adjustments in connection with our new merchandising strategy adopted as part of our strategic transformation, including exiting certain categories of products.</w:t>
      </w:r>
    </w:p>
    <w:p>
      <w:pPr>
        <w:ind w:left="720" w:right="220" w:hanging="422"/>
        <w:spacing w:after="0" w:line="265"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ind w:left="720" w:hanging="422"/>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made to arrive at Adjusted Net Income (Loss) at our historical tax rate.</w:t>
      </w:r>
    </w:p>
    <w:p>
      <w:pPr>
        <w:spacing w:after="0" w:line="9" w:lineRule="exact"/>
        <w:rPr>
          <w:rFonts w:ascii="Arial" w:cs="Arial" w:eastAsia="Arial" w:hAnsi="Arial"/>
          <w:sz w:val="18"/>
          <w:szCs w:val="18"/>
          <w:color w:val="auto"/>
        </w:rPr>
      </w:pPr>
    </w:p>
    <w:p>
      <w:pPr>
        <w:ind w:left="720" w:right="980" w:hanging="422"/>
        <w:spacing w:after="0" w:line="323" w:lineRule="auto"/>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(Loss) at our estimated effective tax rate of 25% for periods prior to October 1, 2020, the effective date of our conversion to a C-Corporation, upon which we became subject to federal income taxes.</w:t>
      </w:r>
    </w:p>
    <w:p>
      <w:pPr>
        <w:spacing w:after="0" w:line="138" w:lineRule="exact"/>
        <w:rPr>
          <w:sz w:val="20"/>
          <w:szCs w:val="20"/>
          <w:color w:val="auto"/>
        </w:rPr>
      </w:pPr>
    </w:p>
    <w:p>
      <w:pPr>
        <w:ind w:left="300" w:right="860" w:firstLine="426"/>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9"/>
              </w:rPr>
              <w:t>Fiscal 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4"/>
              </w:rPr>
              <w:t>Thirty-Nine Weeks</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4"/>
                <w:szCs w:val="14"/>
                <w:b w:val="1"/>
                <w:bCs w:val="1"/>
                <w:color w:val="auto"/>
                <w:w w:val="93"/>
              </w:rPr>
              <w:t>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February 1,</w:t>
            </w:r>
          </w:p>
        </w:tc>
        <w:tc>
          <w:tcPr>
            <w:tcW w:w="26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w w:val="97"/>
              </w:rPr>
              <w:t>October 31,</w:t>
            </w:r>
          </w:p>
        </w:tc>
        <w:tc>
          <w:tcPr>
            <w:tcW w:w="18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w:t>
            </w:r>
          </w:p>
        </w:tc>
        <w:tc>
          <w:tcPr>
            <w:tcW w:w="14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90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$ 263,669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198,481</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$ 857,218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(66,783)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(99,027)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(115,901)</w:t>
            </w:r>
          </w:p>
        </w:tc>
        <w:tc>
          <w:tcPr>
            <w:tcW w:w="1120" w:type="dxa"/>
            <w:vAlign w:val="bottom"/>
            <w:gridSpan w:val="3"/>
          </w:tcPr>
          <w:p>
            <w:pPr>
              <w:jc w:val="right"/>
              <w:ind w:right="88"/>
              <w:spacing w:after="0"/>
              <w:rPr>
                <w:sz w:val="20"/>
                <w:szCs w:val="20"/>
                <w:color w:val="auto"/>
              </w:rPr>
            </w:pPr>
            <w:r>
              <w:rPr>
                <w:rFonts w:ascii="Arial" w:cs="Arial" w:eastAsia="Arial" w:hAnsi="Arial"/>
                <w:sz w:val="18"/>
                <w:szCs w:val="18"/>
                <w:color w:val="auto"/>
              </w:rPr>
              <w:t>(13,790)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(52,579)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Free Cash Flow</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$ 196,886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99,454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$ 843,428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40" w:type="dxa"/>
            <w:vAlign w:val="bottom"/>
            <w:gridSpan w:val="2"/>
          </w:tcPr>
          <w:p>
            <w:pPr>
              <w:jc w:val="right"/>
              <w:ind w:right="48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general conditions that affect U.S. consumer discretionary spending in our markets include:</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 of the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market volatility;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wages, jobs and unemployment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housing market, including real estate prices and mortgage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credit availability;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debt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gasoline and fuel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rates and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rates and tax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immigration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import and customs duties/tariffs and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natural or man-made disasters;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legislation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unrest, trade disputes, labor shortages, and other disruptions to the supply chain;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raw material and commodity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national and international security and safety concerns;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public health pandemics on team members and the economy.</w:t>
      </w:r>
    </w:p>
    <w:p>
      <w:pPr>
        <w:spacing w:after="0" w:line="22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Increasing volatility in financial markets may cause some of the aforementioned conditions to change with even greater degree of frequency and magnitude. In addition, the COVID-19 pandemic, or fear of such an event, could evolve into a worldwide crisis that could adversely affect the economies and financial markets of many countries, including the United States, resulting in an economic downturn that could affect demand for our</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9" w:right="5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124"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comparable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92"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shifts in behavior away from team sports and outdoor activities in favor of media and electronics-driven leisure activities;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 local and federal government budget cuts on facilities and activities, such as school athletic budgets, parks, ball fields, recreational sports leagues, hunting and fishing services, etc.;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legal and regulatory changes in federal and state hunting and fishing seasons, bag limits and firearm and ammunition restrictions;</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escalating costs of sporting and outdoor activities due to adverse changes in economic conditions, including rising fuel prices, rising participation fees and rising sporting license fees;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brand name merchandise, we may not be able to meet the demand of our customers for their brand names.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Intense competition in the sporting goods and outdoor recreation retail industries could limit our growth and reduce our profitability.</w:t>
      </w:r>
    </w:p>
    <w:p>
      <w:pPr>
        <w:spacing w:after="0" w:line="12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89"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mass general merchants;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 format sporting goods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traditional sporting goods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specialty outdoor retailers;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specialty footwear retailers;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catalogue and internet retailers.</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impact of COVID-19 may adversely affect our business and financial results.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team members, facilities, partners, suppliers, distributors or customers, decreases demand for our products, creates delays and inefficiencies in our supply chain,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which are uncertain and cannot be predicted.</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may adversely impact our business and results. During the first quarter 2020, we closed our corporate headquarters, temporarily furloughed a significant portion of our corporate team members, and most of our active corporate team members worked from home due to local shutdown orders, and any need to take these actions again in the future may negatively impact productivity and cause other disruptions to our business. We began partially reopening our corporate headquarters during May 2020 to a limited number of team members and the remainder of our corporate team members returned to our corporate headquarters on June 8, 2020, in accordance with local guidelines. Our information technology systems and cybersecurity could also be adversely affected due to any significant increase in remote working of our team members due to any future closing of our corporate headquarters and in online orders due to a significant increase in online transactions. The operations of our stores, distribution centers, and corporate office could be further restricted, if we deem necessary or if recommended or mandated by authorities and these measures could have an adverse impact on our sales and profits.</w:t>
      </w:r>
    </w:p>
    <w:p>
      <w:pPr>
        <w:spacing w:after="0" w:line="17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a result of the COVID-19 pandemic, we may have fewer resources to operate our business and we could also see deterioration in macroeconomic factors that typically affect us. In addition, consumer fears about becoming ill with the disease may continue, which will adversely affect traffic to our stores.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18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COVID-19 pandemic also has the potential to significantly impact our supply chain if the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w:t>
      </w:r>
    </w:p>
    <w:p>
      <w:pPr>
        <w:spacing w:after="0" w:line="176"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A significant amount of our merchandise is produced in China and the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is a “second wave” caused by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94" w:lineRule="exact"/>
        <w:rPr>
          <w:sz w:val="20"/>
          <w:szCs w:val="20"/>
          <w:color w:val="auto"/>
        </w:rPr>
      </w:pPr>
    </w:p>
    <w:p>
      <w:pPr>
        <w:ind w:left="120" w:right="160"/>
        <w:spacing w:after="0" w:line="340" w:lineRule="auto"/>
        <w:rPr>
          <w:sz w:val="20"/>
          <w:szCs w:val="20"/>
          <w:color w:val="auto"/>
        </w:rPr>
      </w:pPr>
      <w:r>
        <w:rPr>
          <w:rFonts w:ascii="Arial" w:cs="Arial" w:eastAsia="Arial" w:hAnsi="Arial"/>
          <w:sz w:val="15"/>
          <w:szCs w:val="15"/>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23"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16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195"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289" w:lineRule="exact"/>
        <w:rPr>
          <w:sz w:val="20"/>
          <w:szCs w:val="20"/>
          <w:color w:val="auto"/>
        </w:rPr>
      </w:pPr>
    </w:p>
    <w:p>
      <w:pPr>
        <w:ind w:left="120" w:right="900"/>
        <w:spacing w:after="0" w:line="308" w:lineRule="auto"/>
        <w:rPr>
          <w:sz w:val="20"/>
          <w:szCs w:val="20"/>
          <w:color w:val="auto"/>
        </w:rPr>
      </w:pPr>
      <w:r>
        <w:rPr>
          <w:rFonts w:ascii="Arial" w:cs="Arial" w:eastAsia="Arial" w:hAnsi="Arial"/>
          <w:sz w:val="17"/>
          <w:szCs w:val="17"/>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3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18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General trade tensions between the United States and China began escalating in 2018, with multiple rounds of U.S. tariffs on Chinese goods taking effect. The Trump administration has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could have an adverse or material adverse effect on our business, financial condition and results of operations. If any of these events continue as described, we may need to seek alternative suppliers or vendors, raise prices, or make changes to our operations, any of which could have a material adverse effect on our sales and profitability, results of operations and financial condition. On January 15, 2020, President Trump signed Phase I of a new trade agreement with China, signaling potential cooperation and resolution between the two countries in 2020 to the ongoing trade war. However, as of our report date, no significant modifications have been enacted relative to the escalated tariffs which impact our business.</w:t>
      </w:r>
    </w:p>
    <w:p>
      <w:pPr>
        <w:spacing w:after="0" w:line="28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consumer product safety, product liability or consumer protection laws;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related to advertising, marketing, pricing and selling our products, including but not limited to firearms, ammunition, and related accessories;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Americans with Disabilities Act, or ADA, and similar state and local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website design and content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22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19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Another significant risk relating to our operations is compliance with the U.S. Foreign Corrupt Practices Act, or FCPA, the U.K. Bribery Act, or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62"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29" w:lineRule="exact"/>
        <w:rPr>
          <w:sz w:val="20"/>
          <w:szCs w:val="20"/>
          <w:color w:val="auto"/>
        </w:rPr>
      </w:pPr>
    </w:p>
    <w:p>
      <w:pPr>
        <w:ind w:left="1080" w:right="10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 purchase, manufacture, import, distribution and sale of our owned brand products;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municipalities or other organizations attempting to recover costs from firearm manufacturers and retailers, relating to the use of firearms and ammunition;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operations of a fleet of trucks for distribution purposes, including transportation of hazardous materials by such fleet;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procurement and ownership, leasing or operation of property for retail stores, distribution centers and other corporate needs;</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alleged infringement upon intellectual property rights to merchandise we sell or technology or services we use, including information technology, marketing and advertising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global sourcing, including international, customs and trade issues;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real estate issues, including construction, leasing, zoning and environmental issues;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disputes, including contractual and business disputes with vendors, landlords, or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tort, personal injury and property damage claims related to our stores, e-commerce, distribution centers or corporate headquarters; and</w:t>
      </w:r>
    </w:p>
    <w:p>
      <w:pPr>
        <w:spacing w:after="0" w:line="153" w:lineRule="exact"/>
        <w:rPr>
          <w:rFonts w:ascii="Arial" w:cs="Arial" w:eastAsia="Arial" w:hAnsi="Arial"/>
          <w:sz w:val="16"/>
          <w:szCs w:val="16"/>
          <w:color w:val="auto"/>
        </w:rPr>
      </w:pPr>
    </w:p>
    <w:p>
      <w:pPr>
        <w:jc w:val="both"/>
        <w:ind w:left="1080" w:right="240" w:hanging="424"/>
        <w:spacing w:after="0" w:line="31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may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16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 Due to the inherent uncertainties of litigation and other claims, we cannot accurately predict the ultimate outcome of any such matters.</w:t>
      </w:r>
    </w:p>
    <w:p>
      <w:pPr>
        <w:spacing w:after="0" w:line="176"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Any insurance we carry, including the aforementioned insurance coverage, reflects deductibles, self-insured retentions, limits of liability and similar provisions that we believe are prudent based on our operations. With all claims and lawsuits, however, there is a risk that liabilities, fines and losses may not be covered by insurance or may exceed insurance coverage. We also may be unable to procure insurance in the future at the coverage levels, terms or rates available to us today, and we cannot be guaranteed that our insurance at the time will be adequate for any particular claim or lawsuit.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Harm to our reputation could adversely impact our ability to attract and retain customers, team members, vendors and/or other partners.</w:t>
      </w:r>
    </w:p>
    <w:p>
      <w:pPr>
        <w:spacing w:after="0" w:line="14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product liability and product recalls, our social media activity, failure to comply with applicable laws and regulations, our policies related to the sale of firearms, ammunition and accessories,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8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62"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15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18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Updating our existing information technology systems subjects us to numerous risks, including:</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 of normal operations;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or other operating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or general computer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maintaining accuracy of historical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allocation and dedication of key business resources to the updating of existing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ability to attract and retain adequate experienced technical resources and third-party contractors for the updating of existing systems;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unknown impact on remaining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adequacy of training and change management to address critical changes in business processes and job functions;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updated information technology system ultimately does not meet the needs of the business.</w:t>
      </w:r>
    </w:p>
    <w:p>
      <w:pPr>
        <w:spacing w:after="0" w:line="225" w:lineRule="exact"/>
        <w:rPr>
          <w:sz w:val="20"/>
          <w:szCs w:val="20"/>
          <w:color w:val="auto"/>
        </w:rPr>
      </w:pPr>
    </w:p>
    <w:p>
      <w:pPr>
        <w:jc w:val="both"/>
        <w:ind w:left="120" w:right="580" w:firstLine="440"/>
        <w:spacing w:after="0" w:line="311" w:lineRule="auto"/>
        <w:rPr>
          <w:sz w:val="20"/>
          <w:szCs w:val="20"/>
          <w:color w:val="auto"/>
        </w:rPr>
      </w:pPr>
      <w:r>
        <w:rPr>
          <w:rFonts w:ascii="Arial" w:cs="Arial" w:eastAsia="Arial" w:hAnsi="Arial"/>
          <w:sz w:val="16"/>
          <w:szCs w:val="16"/>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14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From time to time, we may undertake initiatives involving numerous information technology systems, including our merchandise management, warehouse management, point of sale, e-commerce, data security, and credit card fraud detection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86"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We depend on approximately 1,300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depend on approximately 1,300 suppliers to supply us in a timely and efficient manner with the merchandise we purchase for resale. Our significant dependence on these suppliers exposes us to various risks that could have a material adverse effect on our business and results of operations.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in response to the COVID-19 coronavirus outbreak), we may experience merchandise out-of-stocks, delivery delays or increased delivery costs, or otherwise be unable to obtain the same merchandise from other suppliers in a timely and efficient manner and on acceptable terms, or at all, which could have a material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7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6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If we fail to properly manage these vendors or if they fail to meet, or are prevented from meeting, our performance standards and expectations, then our reputation, sales, and results of operations could be adversely affected. In addition, we could face increased costs associated with finding replacement service vendors or hiring new team members to provide these business services and solutions in-house.</w:t>
      </w:r>
    </w:p>
    <w:p>
      <w:pPr>
        <w:spacing w:after="0" w:line="303"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16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18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 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e-commerce activities expose us to various risks that could have a material adverse impact on our overall results of operations.</w:t>
      </w:r>
    </w:p>
    <w:p>
      <w:pPr>
        <w:spacing w:after="0" w:line="1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7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expansion of our sales across the United States, thereby, subjecting us to the regulatory and other requirements of the 50 states;</w:t>
      </w:r>
    </w:p>
    <w:p>
      <w:pPr>
        <w:spacing w:after="0" w:line="142"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keep pace with rapid technological change and maintain investments necessary for our e-commerce operation;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legal compliance issues related to the online sale of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intellectual property litigation related to the enforcement of patent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privacy and personal data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protection against credit card and gift card fraud;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fulfillment, inventory control and shipping issues for e-commerce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issues, including state sales tax collection for e-commerce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hiring, retention and training of personnel qualified to conduct our e-commerce operation;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ability to procure adequate computer hardware and software and technology services and solutions from third-party providers;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 in visits to, diversion and/or cannibalization of sales from, existing retail stores.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27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6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to national brand merchandise, we offer customers owned brand merchandise that is not available in other stores. The sale of owned brand merchandise subjects us to certain risks, including:</w:t>
      </w:r>
    </w:p>
    <w:p>
      <w:pPr>
        <w:spacing w:after="0" w:line="76" w:lineRule="exact"/>
        <w:rPr>
          <w:sz w:val="20"/>
          <w:szCs w:val="20"/>
          <w:color w:val="auto"/>
        </w:rPr>
      </w:pPr>
    </w:p>
    <w:p>
      <w:pPr>
        <w:ind w:left="1080" w:right="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and profitably conduct sourcing and manufacturing activities internally or with third-party agents, manufacturers and distributors;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mandatory or voluntary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claims and lawsuits resulting from injuries associated with the use of our owned brand merchandise;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protect our intellectual property or other proprietary rights (e.g., defending against counterfeit, knock-offs, grey-market, infringing or otherwise unauthorized goods);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successfully navigate and avoid claims related to the intellectual property or other proprietary rights of third parties;</w:t>
      </w:r>
    </w:p>
    <w:p>
      <w:pPr>
        <w:spacing w:after="0" w:line="142" w:lineRule="exact"/>
        <w:rPr>
          <w:rFonts w:ascii="Arial" w:cs="Arial" w:eastAsia="Arial" w:hAnsi="Arial"/>
          <w:sz w:val="17"/>
          <w:szCs w:val="17"/>
          <w:color w:val="auto"/>
        </w:rPr>
      </w:pPr>
    </w:p>
    <w:p>
      <w:pPr>
        <w:ind w:left="1080" w:right="120" w:hanging="424"/>
        <w:spacing w:after="0" w:line="34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29"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failure to adequately address some or all of these risks could have a material adverse effect on our business, results of operations and financial condition.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operate three distribution centers located in Katy, Texas, Twiggs County, Georgia, and Cookeville, Tennessee. We receive and ship substantially all of our merchandise through our distribution centers. Any natural or man-made disaster in the areas or regions of these facilities (for example, hurricanes, tornadoes, floods, explosions, or fires) could damage a portion of our inventory and any serious disruption to these facilities or their staffs (including due to any widespread health emergencies) could impair our ability to adequately stock our stores, process returns of products to vendors and ship product to our e-commerce customers, thereby adversely 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quarterly operating results and comparable sales may fluctuate due to seasonality and other factors outside of our control.</w:t>
      </w:r>
    </w:p>
    <w:p>
      <w:pPr>
        <w:spacing w:after="0" w:line="1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quarterly results of operations and comparable sales have historically fluctuated, and may continue to fluctuate, as a result of factors outside our control, including:</w:t>
      </w:r>
    </w:p>
    <w:p>
      <w:pPr>
        <w:spacing w:after="0" w:line="7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unseasonal or extreme weather conditions, natural or man-made disasters (such as snow storms, hurricanes, tornadoes, and floods);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catastrophic or tragic events (such as tragedies involving firearms or public health pandemics) in or affecting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demand for the products that we offer in our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new product introduction;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lockouts or strikes involving professional sports teams;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retirement of sports superstars used in marketing various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sports scandals, including those involving leagues, associations, teams or athletes with ties to us or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the closure of existing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or failure of college and professional sports teams in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expansion of existing or entry of new competitors into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consolidation of competitors in our markets;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320" w:top="459" w:right="5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shift in consumer tastes and fashion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calendar shifts or holiday or seasonal periods;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income tax refunds to customers;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and regulations, politics or consumer advocacy affecting our business, including sentiment relating to the sale of firearms and ammunition;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cancellations of tax-free holidays in certain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pricing, promotions or other actions taken by us or our existing or possible new competitors;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other tenants or landlords or surrounding geographic circumstances in the shopping centers in which we are located.</w:t>
      </w:r>
    </w:p>
    <w:p>
      <w:pPr>
        <w:spacing w:after="0" w:line="23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57" w:lineRule="exact"/>
        <w:rPr>
          <w:sz w:val="20"/>
          <w:szCs w:val="20"/>
          <w:color w:val="auto"/>
        </w:rPr>
      </w:pPr>
    </w:p>
    <w:p>
      <w:pPr>
        <w:jc w:val="both"/>
        <w:ind w:left="120" w:right="140"/>
        <w:spacing w:after="0" w:line="340" w:lineRule="auto"/>
        <w:rPr>
          <w:sz w:val="20"/>
          <w:szCs w:val="20"/>
          <w:color w:val="auto"/>
        </w:rPr>
      </w:pPr>
      <w:r>
        <w:rPr>
          <w:rFonts w:ascii="Arial" w:cs="Arial" w:eastAsia="Arial" w:hAnsi="Arial"/>
          <w:sz w:val="15"/>
          <w:szCs w:val="15"/>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23"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that began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27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6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names, slogans, images and trade dress associated with these brands, are valuable assets that are critical to our success.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significantly dependent on our ability to meet our labor needs.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The success of our business depends significantly on our ability to hire and retain quality team members, including store managers,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7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stores are located primarily in the southern United States which could subject us to regional risks.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62"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 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16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16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18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we are unable to manage the growth of our business, our revenues may not increase as anticipated, our cost of operations may rise and our results of operations may decline.</w:t>
      </w:r>
    </w:p>
    <w:p>
      <w:pPr>
        <w:spacing w:after="0" w:line="6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As our business grows, we will face many risks associated with growing companies, including the risk that our management, financial controls, staff levels, and information systems will be inadequate to support our expansion in the future. Our growth will require our management to expend significant time and effort and additional resources to ensure the continuing adequacy of our associate staff levels, financial controls, operating procedures, information systems, product purchasing, warehousing and distribution systems and team member training programs. We cannot predict whether we will be able to effectively manage these increased demands or respond on a timely basis to the changing demands that our expansion will impose on our management, financial controls and information systems. If we fail to manage successfully the challenges of growth, do not continue to improve these systems and controls or encounter unexpected difficulties during expansion, our business, financial condition, results of operations or cash flows could be materially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loss of our key executives could have a material adverse effect on our business.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future success depends on the continued services of our senior executive management. Any loss or interruptions of the services of our senior executive management could significantly reduce our ability to effectively manage our operations and implement our key initiatives because we may not be able to timely recruit appropriate replacements for our senior executive management should the need arise. If we were to lose any key senior executive management, our business could be materially adversely affected.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We may pursue strategic acquisitions, which could have an adverse impact on our business, as could assimilation of companies following acquisition.</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and advertising programs.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1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October 31, 2020, after giving effect to the Refinancing Transactions, we would have had approximately $800.0 million of outstanding indebtedness, all of which would be secured, with $844.7 million of unused availability under the ABL Facility (which is subject to customary borrowing conditions, including a borrowing base), and outstanding letters of credit of $30.8 million, $21.1 million of which were issued under the ABL Facility.</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overall level of indebtedness requires that we dedicate a substantial portion of our cash flows to debt service payments. Our substantial indebtedness reduces the funds that would otherwise be available for operations, future business opportunities and payments of our debt obligations and limits our ability to:</w:t>
      </w:r>
    </w:p>
    <w:p>
      <w:pPr>
        <w:spacing w:after="0" w:line="8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 additional financing, if necessary, for working capital and operations, or such financing may not be available on favorable terms;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react to changes or withstand a future downturn in our business, the industry or the economy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meet store growth, distribution center expansion, e-commerce growth, budget targets and forecasts of future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react to competitive pressures or compete with competitors with less debt.</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and/or holders of the 2027 Notes could foreclose against the assets securing their borrowings, and we could be forced into bankruptcy or liquidation.</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6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Despite our high level of indebtedness, we may be able to incur significant additional indebtedness in the future, including off-balance sheet financings, trade credit, contractual obligations and general and commercial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liabilities. Although the credit agreements governing the Term Loan Facility and the ABL Facility and the indenture governing the 2027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October 31, 2020, after giving effect to the Refinancing Transactions, we would have had no borrowings outstanding under the ABL Facility, and an available borrowing capacity under the ABL Facility of approximately $844.7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the greater of (x) $480.0 million and (y) 100% of Consolidated EBITDA (as defined in the Term Loan Facility),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Facility and the ABL Facility and the indenture governing the 2027 Notes will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8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cannot generate sufficient cash flow to permit us to make scheduled payments on our debt, then we will be in default and holders of that debt could declare all outstanding principal and interest to be due and payable. If our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and/or holders of the 2027 Notes could foreclose against the assets securing their borrowings and we could be forced into bankruptcy or liquidation.</w:t>
      </w:r>
    </w:p>
    <w:p>
      <w:pPr>
        <w:spacing w:after="0" w:line="53"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credit agreements governing the Term Loan Facility and the ABL Facility and the indenture governing the 2027 Notes contain restrictive covenants that impose significant operating and financial restrictions on us and may limit our ability to engage in acts that may be in our best interest, including restrictions on our ability to:</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loans, investments and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Additionally, at certain times, the ABL Facility requires maintenance of a certain minimum adjusted fixed charge coverage ratio. Our ability to comply with the covenants and restrictions contained in the credit agreements and the indenture may be affected by events beyond our control. If market or other economic conditions deteriorate, our ability to comply with these covenants and restrictions may be impaired.</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indebtedness were to be accelerated, there can be no assurance that we would have, or be able to obtain, sufficient funds to repay such indebtedness in full. In addition, an event of default under the credit agreement governing the ABL Facility would permit the lenders under our ABL Facility to terminate all commitments to extend further credit under that facility. Furthermore, if we were unable to repay the amounts due and payable under our secured indebtedness, the lenders/holders of such indebtedness could proceed against the collateral granted to them to secure that indebtedness, and we could be forced into bankruptcy or liquidation.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variable rate indebtedness subjects us to interest rate risk, which could cause our debt service obligations to increase significantly.</w:t>
      </w:r>
    </w:p>
    <w:p>
      <w:pPr>
        <w:spacing w:after="0" w:line="14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Borrowings under the Term Loan Facility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17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One of our sources of liquidity is the ABL Facility. Each financial institution that is a lender under the ABL Facility is responsible on a several but not joint basis for providing a portion of the loans to be made under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29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18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the rules of the SEC and, as a result, qualify for, and rely on, exemptions from certain corporate governance requirements. You will not have the same protections afforded to stockholders of other companies that are subject to such requirements.</w:t>
      </w:r>
    </w:p>
    <w:p>
      <w:pPr>
        <w:spacing w:after="0" w:line="7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After completion of this offering, KKR Stockholders will collectively beneficially own approximately 56% of the voting power of common stock (or approximately 55% if the underwriters exercise in full their option to purchase additional shares). As a result, we will continue to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93"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director nominees be selected, or recommended for our board of directors’ selection by a nominating/governance committee comprised solely of independent directors;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compensation of our executive officers be determined, or recommended to our board of directors for determination, by a compensation committee comprised solely of independent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Because we utilize these exemptions, we do not have a majority of independent directors, our compensation committee and nominating and governance committee do not consist entirely of independent directors. Accordingly, you will not have the same protections afforded to stockholders of companies that are subject to all of the corporate governance requirements of Nasdaq.</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KKR Stockholders control us and their interests may conflict with yours in the future.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Immediately following this offering, KKR Stockholders will collectively beneficially own approximately 56% of the voting power of our common stock (or approximately 55% if the underwriters exercise in full their option to purchase additional shares). KKR Stockholders will be able to continue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 collectively own at least 5% of all outstanding shares of our stock entitled to vote generally in the election of directors, KKR Stockholders will be able to appoint individuals to our board of directors under the stockholders agreement. See “Certain Relationships and Related Party Transactions—Stockholders Agreement.” The interests of KKR Stockholders may not coincide with the interests of other holders of our common stock.</w:t>
      </w:r>
    </w:p>
    <w:p>
      <w:pPr>
        <w:spacing w:after="0" w:line="17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ordinary course of their business activities, KKR Stockholders and their affiliates may engage in activities where their interests conflict with our interests or those of our stockholders. Our certificate of incorporation provides that any of KKR Stockholders, any of their affiliates or any director who is not employed by us (including any non-employee director who serves as one of our officers in both his or her director and officer capacities) or his or her affiliates does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192"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In addition, KKR Stockholders and their affiliates are able to determine the outcome of all matters requiring stockholder approval and are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9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incur additional costs associated with the requirements of being a public company, and our management will be required to devote substantial time to compliance, adding complexity to running to our business.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 public company, we incur significant legal, regulatory, finance, accounting, investor relations, insurance and other expenses that we did not incur as a private company, including costs associated with public company governance and reporting requirements and costs of recruiting and retaining non-executive directors. We also have incurred and will continue to incur costs associated with the Sarbanes-Oxley Act, and the Dodd-Frank Wall Street Reform and Consumer Protection Act, or the Dodd-Frank Act, and related rules implemented by the SEC, and costs in connection with continued listing on Nasdaq. The expenses incurred by public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companies generally for reporting and corporate governance purposes have been increasing. Our efforts to comply with these rules and regulations have significantly increased our legal and financial compliance costs, and have made some activities more time-consuming and/or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73"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w:t>
      </w:r>
    </w:p>
    <w:p>
      <w:pPr>
        <w:spacing w:after="0" w:line="12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404(a) of the Sarbanes-Oxley Act, or Section 404, to furnish a report by management on, among other things, the effectiveness of our internal control over financial reporting in the annual report for the fiscal year ended January 29, 2022.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7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142"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You may be diluted by the future issuance of additional common stock in connection with our incentive plans, acquisitions or otherwise.</w:t>
      </w:r>
    </w:p>
    <w:p>
      <w:pPr>
        <w:spacing w:after="0" w:line="14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After this offering, we will have approximately 209 million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ESPP. See “Executive Compensation—Equity Compensation Plans.”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30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2"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49"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Upon the completion of this offering, we will have a total of 90,936,907 shares of our common stock outstanding. Of the outstanding shares, the 29,432,495 shares sold in the IPO and this offering (or 31,232,495 shares if the underwriters exercise in full their option to purchase additional shares) 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existing stockholders), may be sold only in compliance with the limitations described in “Shares Eligible for Future Sale.”</w:t>
      </w:r>
    </w:p>
    <w:p>
      <w:pPr>
        <w:spacing w:after="0" w:line="1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remaining outstanding 61,504,412 shares of common stock held by our existing stockholders after this offering (or approximately 59,704,412 shares if the underwriters exercise in full their option to purchase additional shares), representing approximately 68% of the total outstanding shares of our common stock following this offering (or approximately 66% if the underwriters exercise in full their option to purchase additional shares),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92"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We, our executive officers, directors and the selling stockholders will sign lock-up agreements with the underwriters that will, subject to certain customary exceptions, restrict the sale of the shares of our common stock and certain other securities held by them for 90 days (or in the case of the executive officers other than our chief executive officer and our chief financial officer, 60 days) following the date of this prospectus. Credit Suisse Securities (USA) LLC and J.P. Morgan Securities LLC may, in their sole discretion and at any time without notice, release all or any portion of the shares or securities subject to any such lock-up agreements. See “Underwriting (Conflicts of Interest)” for a description of these lock-up agreements. In addition, holders of all of our common stock outstanding prior to the IPO agreed to not transfer shares of their common stock, except in certain circumstances, until the date that is 180 days from the date of the final prospectus for the IPO. The representatives of the underwriters of the IPO have waived certain of such IPO lock-up agreements to permit the filing of this registration statement and are expected to waive certain of the IPO lock-up agreements to permit the sale of our common stock in this offering by the selling stockholders.</w:t>
      </w:r>
    </w:p>
    <w:p>
      <w:pPr>
        <w:spacing w:after="0" w:line="16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Upon the expiration of the lock-up agreements described above, all of such shares will be eligible for resale in a public market pursuant to Rule 144, subject to our compliance with the public information requirement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the case of shares held by our affiliates, to volume, manner of sale and other limitations under Rule 144. We expect that certain of our existing stockholders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6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pursuant to a registration rights agreement, KKR Stockholders and the Gochman Investors will each have the right, subject to certain conditions, to require us to register the sale of their shares of our common stock under the Securities Act. See “Certain Relationships and Related Party Transactions—Registration Rights Agreement.” By exercising their registration rights and selling a large number of shares, KKR Stockholders and/or the Gochman Investors could cause the prevailing market price of our common stock to decline. Certain of our existing stockholders have “piggyback” registration rights with respect to future registered offerings of our common stock. Following completion of this offering, the shares covered by registration rights would represent approximately 67% of our total common stock outstanding (or approximately 65%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165"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statements are available for sale in the open market. The initial registration statement on Form S-8 covered 15,983,311 shares of our common stock.</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provide for, among other things:</w:t>
      </w:r>
    </w:p>
    <w:p>
      <w:pPr>
        <w:spacing w:after="0" w:line="131" w:lineRule="exact"/>
        <w:rPr>
          <w:sz w:val="20"/>
          <w:szCs w:val="20"/>
          <w:color w:val="auto"/>
        </w:rPr>
      </w:pPr>
    </w:p>
    <w:p>
      <w:pPr>
        <w:ind w:left="1080" w:right="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184"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99"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63"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w:t>
      </w:r>
    </w:p>
    <w:p>
      <w:pPr>
        <w:ind w:left="120" w:hanging="4"/>
        <w:spacing w:after="0" w:line="251"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will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320" w:top="459" w:right="5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9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70"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disruptions in our supply chain and losses of merchandise purchasing incentives;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occurrence of severe weather events, catastrophic health events, natural or man-made disasters, social and political conditions or civil unrest;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merchandise costs and availability;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manage the growth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expenses incurred by the selling shareholders for brokerage, accounting, tax or legal services or any other expenses incurred by the selling shareholders.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See “Selling Stockholders.”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320" w:top="459" w:right="5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the indenture governing the 2027 Notes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indenture governing the 2027 Notes and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“Description of Certain Indebtedness.”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sets forth our cash and cash equivalents and capitalization as of October 31, 2020 on an actual basis and on an as adjusted basis to reflect the IPO Option Exercise and the Refinancing Transactions.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read this table in conjunction with the information contained in “Use of Proceeds,” “Selected Historical Consolidated Financial Data,” “Management’s Discussion and Analysis of Financial Condition and Results of Operations” and “Description of Certain Indebtedness” as well as our audited consolidated financial statements and related notes and our unaudited condensed consolidated financial statements and related notes, each included elsewhere in this prospectus.</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As of October 31, 2020</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Actual</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00" w:type="dxa"/>
            <w:vAlign w:val="bottom"/>
            <w:vMerge w:val="restart"/>
          </w:tcPr>
          <w:p>
            <w:pPr>
              <w:spacing w:after="0"/>
              <w:rPr>
                <w:sz w:val="20"/>
                <w:szCs w:val="20"/>
                <w:color w:val="auto"/>
              </w:rPr>
            </w:pPr>
            <w:r>
              <w:rPr>
                <w:rFonts w:ascii="Arial" w:cs="Arial" w:eastAsia="Arial" w:hAnsi="Arial"/>
                <w:sz w:val="14"/>
                <w:szCs w:val="14"/>
                <w:color w:val="auto"/>
              </w:rPr>
              <w:t>(In thousands, except par value)</w:t>
            </w:r>
          </w:p>
        </w:tc>
        <w:tc>
          <w:tcPr>
            <w:tcW w:w="3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unaudited</w:t>
            </w: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(unaudited</w:t>
            </w: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869,725</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245,456</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2027 Notes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394,870</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ABL Facility</w:t>
            </w:r>
            <w:r>
              <w:rPr>
                <w:rFonts w:ascii="Arial" w:cs="Arial" w:eastAsia="Arial" w:hAnsi="Arial"/>
                <w:sz w:val="15"/>
                <w:szCs w:val="15"/>
                <w:color w:val="auto"/>
              </w:rPr>
              <w:t>(1)</w:t>
            </w: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2015 Term Loan Facility</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1,427,135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Term Loan Facility</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390,181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1,427,135</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785,051</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Preferred stock, $0.01 par value per share, 50,000 shares authorized,</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 issued and outstanding</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0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$0.01 par value per share, 300,000 shares authorized,</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540"/>
              <w:spacing w:after="0"/>
              <w:rPr>
                <w:sz w:val="20"/>
                <w:szCs w:val="20"/>
                <w:color w:val="auto"/>
              </w:rPr>
            </w:pPr>
            <w:r>
              <w:rPr>
                <w:rFonts w:ascii="Arial" w:cs="Arial" w:eastAsia="Arial" w:hAnsi="Arial"/>
                <w:sz w:val="18"/>
                <w:szCs w:val="18"/>
                <w:color w:val="auto"/>
              </w:rPr>
              <w:t>88,104 shares issued and outstanding</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881</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93,064</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115,147</w:t>
            </w:r>
          </w:p>
        </w:tc>
        <w:tc>
          <w:tcPr>
            <w:tcW w:w="0" w:type="dxa"/>
            <w:vAlign w:val="bottom"/>
          </w:tcPr>
          <w:p>
            <w:pPr>
              <w:spacing w:after="0"/>
              <w:rPr>
                <w:sz w:val="1"/>
                <w:szCs w:val="1"/>
                <w:color w:val="auto"/>
              </w:rPr>
            </w:pPr>
          </w:p>
        </w:tc>
      </w:tr>
      <w:tr>
        <w:trPr>
          <w:trHeight w:val="324"/>
        </w:trPr>
        <w:tc>
          <w:tcPr>
            <w:tcW w:w="57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895,646</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891,360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and other comprehensive income (loss)</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(5,027)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30"/>
        </w:trPr>
        <w:tc>
          <w:tcPr>
            <w:tcW w:w="57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984,564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1,002,379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capitalization</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2,411,699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1,787,430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60" w:hanging="424"/>
        <w:spacing w:after="0" w:line="277"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October 31, 2020, there were $30.8 million letters of credit outstanding, $21.1 million of which were issued under the ABL Facility. For a further description of our ABL Facility, see “Description of Certain Indebtedness.”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Set forth below is our selected historical consolidated financial data as of the dates and for the periods indicated. The selected historical financial data as of February 1, 2020 and February 2, 2019 and for 2019, 2018 and 2017 has been derived from our audited consolidated financial statements included elsewhere in this prospectus. The selected historical financial data as of February 3, 2018, January 28, 2017 and January 30, 2016 and for 2016 and 2015 has been derived from our consolidated financial statements not included in this prospectus. The selected historical financial data as of and for the thirty-nine weeks ended October 31, 2020 and November 2, 2019 have been derived from our unaudited condensed consolidated financial statements and related notes thereto included elsewhere in this prospectus. The results of operations for any period are not necessarily indicative of the results to be expected for any future period.</w:t>
      </w:r>
    </w:p>
    <w:p>
      <w:pPr>
        <w:spacing w:after="0" w:line="19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You should read the following selected financial data below together with the information under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February 1,</w:t>
            </w:r>
          </w:p>
        </w:tc>
        <w:tc>
          <w:tcPr>
            <w:tcW w:w="92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February 3,</w:t>
            </w: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January 28,</w:t>
            </w: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30,</w:t>
            </w:r>
          </w:p>
        </w:tc>
        <w:tc>
          <w:tcPr>
            <w:tcW w:w="22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October 31,</w:t>
            </w: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November 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52 weeks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3"/>
              <w:spacing w:after="0" w:line="123" w:lineRule="exact"/>
              <w:rPr>
                <w:sz w:val="20"/>
                <w:szCs w:val="20"/>
                <w:color w:val="auto"/>
              </w:rPr>
            </w:pPr>
            <w:r>
              <w:rPr>
                <w:rFonts w:ascii="Arial" w:cs="Arial" w:eastAsia="Arial" w:hAnsi="Arial"/>
                <w:sz w:val="14"/>
                <w:szCs w:val="14"/>
                <w:color w:val="auto"/>
                <w:w w:val="91"/>
              </w:rPr>
              <w:t>53 weeks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52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3"/>
              <w:spacing w:after="0" w:line="123" w:lineRule="exact"/>
              <w:rPr>
                <w:sz w:val="20"/>
                <w:szCs w:val="20"/>
                <w:color w:val="auto"/>
              </w:rPr>
            </w:pPr>
            <w:r>
              <w:rPr>
                <w:rFonts w:ascii="Arial" w:cs="Arial" w:eastAsia="Arial" w:hAnsi="Arial"/>
                <w:sz w:val="14"/>
                <w:szCs w:val="14"/>
                <w:color w:val="auto"/>
                <w:w w:val="91"/>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4"/>
              <w:spacing w:after="0" w:line="123" w:lineRule="exact"/>
              <w:rPr>
                <w:sz w:val="20"/>
                <w:szCs w:val="20"/>
                <w:color w:val="auto"/>
              </w:rPr>
            </w:pPr>
            <w:r>
              <w:rPr>
                <w:rFonts w:ascii="Arial" w:cs="Arial" w:eastAsia="Arial" w:hAnsi="Arial"/>
                <w:sz w:val="14"/>
                <w:szCs w:val="14"/>
                <w:color w:val="auto"/>
                <w:w w:val="91"/>
              </w:rPr>
              <w:t>39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73"/>
              <w:spacing w:after="0" w:line="123" w:lineRule="exact"/>
              <w:rPr>
                <w:sz w:val="20"/>
                <w:szCs w:val="20"/>
                <w:color w:val="auto"/>
              </w:rPr>
            </w:pPr>
            <w:r>
              <w:rPr>
                <w:rFonts w:ascii="Arial" w:cs="Arial" w:eastAsia="Arial" w:hAnsi="Arial"/>
                <w:sz w:val="14"/>
                <w:szCs w:val="14"/>
                <w:color w:val="auto"/>
                <w:w w:val="91"/>
              </w:rPr>
              <w:t>39 weeks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15"/>
                <w:szCs w:val="15"/>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4,829,897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4,783,893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4,835,582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4,738,474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4,646,686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4,091,797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3,459,405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3,398,743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3,415,941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3,436,618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3,419,784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3,299,972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2,856,840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2,398,783</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1,431,154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1,367,952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1,398,964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1,318,690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1,346,714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1,234,957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1,060,622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4"/>
              </w:rPr>
              <w:t>Selling, general and administrative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1,251,733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1,239,002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1,241,643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1,171,411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1,094,500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955,591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923,418</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179,421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147,279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279,366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104,857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96,610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114,821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70,487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5"/>
              </w:rPr>
              <w:t>(Gain) loss on early retirement of debt, net</w:t>
            </w:r>
            <w:r>
              <w:rPr>
                <w:rFonts w:ascii="Arial" w:cs="Arial" w:eastAsia="Arial" w:hAnsi="Arial"/>
                <w:sz w:val="15"/>
                <w:szCs w:val="15"/>
                <w:color w:val="auto"/>
                <w:w w:val="95"/>
              </w:rPr>
              <w:t>(2)</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(42,265)</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55,498</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(7,831)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61,282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55,870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82,699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217,567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120,043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217,242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61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10"/>
          </w:tcPr>
          <w:p>
            <w:pPr>
              <w:jc w:val="center"/>
              <w:ind w:right="44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3"/>
              </w:rPr>
              <w:t>Thirty-Nine Weeks Ended</w:t>
            </w: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6"/>
          </w:tcPr>
          <w:p>
            <w:pPr>
              <w:jc w:val="center"/>
              <w:ind w:right="80"/>
              <w:spacing w:after="0" w:line="119" w:lineRule="exact"/>
              <w:rPr>
                <w:sz w:val="20"/>
                <w:szCs w:val="20"/>
                <w:color w:val="auto"/>
              </w:rPr>
            </w:pPr>
            <w:r>
              <w:rPr>
                <w:rFonts w:ascii="Arial" w:cs="Arial" w:eastAsia="Arial" w:hAnsi="Arial"/>
                <w:sz w:val="13"/>
                <w:szCs w:val="13"/>
                <w:b w:val="1"/>
                <w:bCs w:val="1"/>
                <w:color w:val="auto"/>
              </w:rPr>
              <w:t>February 3,</w:t>
            </w:r>
          </w:p>
        </w:tc>
        <w:tc>
          <w:tcPr>
            <w:tcW w:w="4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jc w:val="center"/>
              <w:ind w:right="520"/>
              <w:spacing w:after="0" w:line="119" w:lineRule="exact"/>
              <w:rPr>
                <w:sz w:val="20"/>
                <w:szCs w:val="20"/>
                <w:color w:val="auto"/>
              </w:rPr>
            </w:pPr>
            <w:r>
              <w:rPr>
                <w:rFonts w:ascii="Arial" w:cs="Arial" w:eastAsia="Arial" w:hAnsi="Arial"/>
                <w:sz w:val="13"/>
                <w:szCs w:val="13"/>
                <w:b w:val="1"/>
                <w:bCs w:val="1"/>
                <w:color w:val="auto"/>
              </w:rPr>
              <w:t>January 28,</w:t>
            </w:r>
          </w:p>
        </w:tc>
        <w:tc>
          <w:tcPr>
            <w:tcW w:w="7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30,</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Pr>
          <w:p>
            <w:pPr>
              <w:spacing w:after="0"/>
              <w:rPr>
                <w:sz w:val="14"/>
                <w:szCs w:val="14"/>
                <w:color w:val="auto"/>
              </w:rPr>
            </w:pPr>
          </w:p>
        </w:tc>
        <w:tc>
          <w:tcPr>
            <w:tcW w:w="76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00"/>
              <w:spacing w:after="0" w:line="123" w:lineRule="exact"/>
              <w:rPr>
                <w:sz w:val="20"/>
                <w:szCs w:val="20"/>
                <w:color w:val="auto"/>
              </w:rPr>
            </w:pPr>
            <w:r>
              <w:rPr>
                <w:rFonts w:ascii="Arial" w:cs="Arial" w:eastAsia="Arial" w:hAnsi="Arial"/>
                <w:sz w:val="14"/>
                <w:szCs w:val="14"/>
                <w:color w:val="auto"/>
                <w:w w:val="91"/>
              </w:rPr>
              <w:t>52 weeks</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52 weeks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4"/>
          </w:tcPr>
          <w:p>
            <w:pPr>
              <w:jc w:val="center"/>
              <w:ind w:right="28"/>
              <w:spacing w:after="0" w:line="123" w:lineRule="exact"/>
              <w:rPr>
                <w:sz w:val="20"/>
                <w:szCs w:val="20"/>
                <w:color w:val="auto"/>
              </w:rPr>
            </w:pPr>
            <w:r>
              <w:rPr>
                <w:rFonts w:ascii="Arial" w:cs="Arial" w:eastAsia="Arial" w:hAnsi="Arial"/>
                <w:sz w:val="14"/>
                <w:szCs w:val="14"/>
                <w:color w:val="auto"/>
                <w:w w:val="91"/>
              </w:rPr>
              <w:t>53 weeks</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Borders>
              <w:top w:val="single" w:sz="8" w:color="auto"/>
            </w:tcBorders>
            <w:gridSpan w:val="4"/>
          </w:tcPr>
          <w:p>
            <w:pPr>
              <w:jc w:val="center"/>
              <w:spacing w:after="0" w:line="123" w:lineRule="exact"/>
              <w:rPr>
                <w:sz w:val="20"/>
                <w:szCs w:val="20"/>
                <w:color w:val="auto"/>
              </w:rPr>
            </w:pPr>
            <w:r>
              <w:rPr>
                <w:rFonts w:ascii="Arial" w:cs="Arial" w:eastAsia="Arial" w:hAnsi="Arial"/>
                <w:sz w:val="14"/>
                <w:szCs w:val="14"/>
                <w:color w:val="auto"/>
                <w:w w:val="91"/>
              </w:rPr>
              <w:t>52 weeks</w:t>
            </w:r>
          </w:p>
        </w:tc>
        <w:tc>
          <w:tcPr>
            <w:tcW w:w="50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13"/>
              <w:spacing w:after="0" w:line="123" w:lineRule="exact"/>
              <w:rPr>
                <w:sz w:val="20"/>
                <w:szCs w:val="20"/>
                <w:color w:val="auto"/>
              </w:rPr>
            </w:pPr>
            <w:r>
              <w:rPr>
                <w:rFonts w:ascii="Arial" w:cs="Arial" w:eastAsia="Arial" w:hAnsi="Arial"/>
                <w:sz w:val="14"/>
                <w:szCs w:val="14"/>
                <w:color w:val="auto"/>
              </w:rPr>
              <w:t>52 weeks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39 weeks</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32"/>
              <w:spacing w:after="0" w:line="123" w:lineRule="exact"/>
              <w:rPr>
                <w:sz w:val="20"/>
                <w:szCs w:val="20"/>
                <w:color w:val="auto"/>
              </w:rPr>
            </w:pPr>
            <w:r>
              <w:rPr>
                <w:rFonts w:ascii="Arial" w:cs="Arial" w:eastAsia="Arial" w:hAnsi="Arial"/>
                <w:sz w:val="14"/>
                <w:szCs w:val="14"/>
                <w:color w:val="auto"/>
              </w:rPr>
              <w:t>39 weeks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3"/>
              </w:rPr>
              <w:t>Net cash provided by 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180" w:type="dxa"/>
            <w:vAlign w:val="bottom"/>
            <w:gridSpan w:val="6"/>
          </w:tcPr>
          <w:p>
            <w:pPr>
              <w:jc w:val="right"/>
              <w:ind w:right="240"/>
              <w:spacing w:after="0"/>
              <w:rPr>
                <w:sz w:val="20"/>
                <w:szCs w:val="20"/>
                <w:color w:val="auto"/>
              </w:rPr>
            </w:pPr>
            <w:r>
              <w:rPr>
                <w:rFonts w:ascii="Arial" w:cs="Arial" w:eastAsia="Arial" w:hAnsi="Arial"/>
                <w:sz w:val="18"/>
                <w:szCs w:val="18"/>
                <w:color w:val="auto"/>
              </w:rPr>
              <w:t>$ 263,669</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$ 198,481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83,355</w:t>
            </w: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$ 164,555</w:t>
            </w:r>
          </w:p>
        </w:tc>
        <w:tc>
          <w:tcPr>
            <w:tcW w:w="1060" w:type="dxa"/>
            <w:vAlign w:val="bottom"/>
            <w:gridSpan w:val="4"/>
          </w:tcPr>
          <w:p>
            <w:pPr>
              <w:jc w:val="right"/>
              <w:ind w:right="300"/>
              <w:spacing w:after="0"/>
              <w:rPr>
                <w:sz w:val="20"/>
                <w:szCs w:val="20"/>
                <w:color w:val="auto"/>
              </w:rPr>
            </w:pPr>
            <w:r>
              <w:rPr>
                <w:rFonts w:ascii="Arial" w:cs="Arial" w:eastAsia="Arial" w:hAnsi="Arial"/>
                <w:sz w:val="18"/>
                <w:szCs w:val="18"/>
                <w:color w:val="auto"/>
                <w:w w:val="92"/>
              </w:rPr>
              <w:t>$ 249,376</w:t>
            </w:r>
          </w:p>
        </w:tc>
        <w:tc>
          <w:tcPr>
            <w:tcW w:w="160" w:type="dxa"/>
            <w:vAlign w:val="bottom"/>
          </w:tcPr>
          <w:p>
            <w:pPr>
              <w:spacing w:after="0"/>
              <w:rPr>
                <w:sz w:val="20"/>
                <w:szCs w:val="20"/>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8"/>
                <w:szCs w:val="18"/>
                <w:color w:val="auto"/>
                <w:w w:val="89"/>
              </w:rPr>
              <w:t>$ 857,218</w:t>
            </w:r>
          </w:p>
        </w:tc>
        <w:tc>
          <w:tcPr>
            <w:tcW w:w="4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94,756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investing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(66,783)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(99,027)</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8"/>
              </w:rPr>
              <w:t>(115,901)</w:t>
            </w:r>
          </w:p>
        </w:tc>
        <w:tc>
          <w:tcPr>
            <w:tcW w:w="168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(153,215)</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(118,096)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(13,790)</w:t>
            </w:r>
          </w:p>
        </w:tc>
        <w:tc>
          <w:tcPr>
            <w:tcW w:w="40" w:type="dxa"/>
            <w:vAlign w:val="bottom"/>
            <w:shd w:val="clear" w:color="auto" w:fill="CCEEFF"/>
          </w:tcPr>
          <w:p>
            <w:pPr>
              <w:spacing w:after="0"/>
              <w:rPr>
                <w:sz w:val="20"/>
                <w:szCs w:val="20"/>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(52,579)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5"/>
              </w:rPr>
              <w:t>Net cash provided by (used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(123,192)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(54,808)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8,514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(8,392)</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(287,052)</w:t>
            </w:r>
          </w:p>
        </w:tc>
        <w:tc>
          <w:tcPr>
            <w:tcW w:w="160" w:type="dxa"/>
            <w:vAlign w:val="bottom"/>
          </w:tcPr>
          <w:p>
            <w:pPr>
              <w:spacing w:after="0"/>
              <w:rPr>
                <w:sz w:val="20"/>
                <w:szCs w:val="20"/>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rPr>
              <w:t>(123,088)</w:t>
            </w:r>
          </w:p>
        </w:tc>
        <w:tc>
          <w:tcPr>
            <w:tcW w:w="40" w:type="dxa"/>
            <w:vAlign w:val="bottom"/>
          </w:tcPr>
          <w:p>
            <w:pPr>
              <w:spacing w:after="0"/>
              <w:rPr>
                <w:sz w:val="20"/>
                <w:szCs w:val="20"/>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(74,330)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62,818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107,905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5"/>
              </w:rPr>
              <w:t>132,126</w:t>
            </w:r>
          </w:p>
        </w:tc>
        <w:tc>
          <w:tcPr>
            <w:tcW w:w="168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177,628</w:t>
            </w: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197,710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(21,915)</w:t>
            </w:r>
          </w:p>
        </w:tc>
        <w:tc>
          <w:tcPr>
            <w:tcW w:w="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(48,614)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Store Data (Unaudited):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Comparable sales increase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Number of stores at end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244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square feet at end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 (in millions)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17.3</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Net sales per square foot</w:t>
            </w:r>
            <w:r>
              <w:rPr>
                <w:rFonts w:ascii="Arial" w:cs="Arial" w:eastAsia="Arial" w:hAnsi="Arial"/>
                <w:sz w:val="15"/>
                <w:szCs w:val="15"/>
                <w:color w:val="auto"/>
              </w:rPr>
              <w:t>(3)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264</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279</w:t>
            </w:r>
          </w:p>
        </w:tc>
        <w:tc>
          <w:tcPr>
            <w:tcW w:w="6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w w:val="97"/>
              </w:rPr>
              <w:t>As of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5"/>
              </w:rPr>
              <w:t>February 1,</w:t>
            </w:r>
          </w:p>
        </w:tc>
        <w:tc>
          <w:tcPr>
            <w:tcW w:w="104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7"/>
              </w:rPr>
              <w:t>February 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97"/>
              </w:rPr>
              <w:t>February 3,</w:t>
            </w:r>
          </w:p>
        </w:tc>
        <w:tc>
          <w:tcPr>
            <w:tcW w:w="200" w:type="dxa"/>
            <w:vAlign w:val="bottom"/>
          </w:tcPr>
          <w:p>
            <w:pPr>
              <w:spacing w:after="0"/>
              <w:rPr>
                <w:sz w:val="10"/>
                <w:szCs w:val="10"/>
                <w:color w:val="auto"/>
              </w:rPr>
            </w:pPr>
          </w:p>
        </w:tc>
        <w:tc>
          <w:tcPr>
            <w:tcW w:w="86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98"/>
              </w:rPr>
              <w:t>January 28,</w:t>
            </w:r>
          </w:p>
        </w:tc>
        <w:tc>
          <w:tcPr>
            <w:tcW w:w="22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5"/>
              </w:rPr>
              <w:t>January 30,</w:t>
            </w:r>
          </w:p>
        </w:tc>
        <w:tc>
          <w:tcPr>
            <w:tcW w:w="240" w:type="dxa"/>
            <w:vAlign w:val="bottom"/>
          </w:tcPr>
          <w:p>
            <w:pPr>
              <w:spacing w:after="0"/>
              <w:rPr>
                <w:sz w:val="10"/>
                <w:szCs w:val="10"/>
                <w:color w:val="auto"/>
              </w:rPr>
            </w:pPr>
          </w:p>
        </w:tc>
        <w:tc>
          <w:tcPr>
            <w:tcW w:w="98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October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November 2,</w:t>
            </w: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3"/>
          </w:tcPr>
          <w:p>
            <w:pPr>
              <w:ind w:left="26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(Actual)</w:t>
            </w:r>
          </w:p>
        </w:tc>
        <w:tc>
          <w:tcPr>
            <w:tcW w:w="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 xml:space="preserve">(As Adjusted) </w:t>
            </w:r>
            <w:r>
              <w:rPr>
                <w:rFonts w:ascii="Arial" w:cs="Arial" w:eastAsia="Arial" w:hAnsi="Arial"/>
                <w:sz w:val="12"/>
                <w:szCs w:val="12"/>
                <w:b w:val="1"/>
                <w:bCs w:val="1"/>
                <w:color w:val="auto"/>
                <w:w w:val="94"/>
              </w:rPr>
              <w:t>(4)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149,385</w:t>
            </w:r>
          </w:p>
        </w:tc>
        <w:tc>
          <w:tcPr>
            <w:tcW w:w="24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   75,691</w:t>
            </w:r>
          </w:p>
        </w:tc>
        <w:tc>
          <w:tcPr>
            <w:tcW w:w="40" w:type="dxa"/>
            <w:vAlign w:val="bottom"/>
          </w:tcPr>
          <w:p>
            <w:pPr>
              <w:spacing w:after="0"/>
              <w:rPr>
                <w:sz w:val="18"/>
                <w:szCs w:val="18"/>
                <w:color w:val="auto"/>
              </w:rPr>
            </w:pPr>
          </w:p>
        </w:tc>
        <w:tc>
          <w:tcPr>
            <w:tcW w:w="220" w:type="dxa"/>
            <w:vAlign w:val="bottom"/>
            <w:gridSpan w:val="3"/>
          </w:tcPr>
          <w:p>
            <w:pPr>
              <w:jc w:val="right"/>
              <w:ind w:right="35"/>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31,045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55,077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52,129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869,725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245,456</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43,538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inventories, net</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1,099,749</w:t>
            </w: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1,134,156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7"/>
              </w:rPr>
              <w:t>1,223,486</w:t>
            </w:r>
          </w:p>
        </w:tc>
        <w:tc>
          <w:tcPr>
            <w:tcW w:w="10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1,090,899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1,028,032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1,082,907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1,082,907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1,331,969</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538,795</w:t>
            </w:r>
          </w:p>
        </w:tc>
        <w:tc>
          <w:tcPr>
            <w:tcW w:w="24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582,789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605,083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491,126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344,511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750,990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140,971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571,788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(5)</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3,238,957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7"/>
              </w:rPr>
              <w:t>3,323,046</w:t>
            </w:r>
          </w:p>
        </w:tc>
        <w:tc>
          <w:tcPr>
            <w:tcW w:w="10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3,258,354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3,257,275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4,981,916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4,357,647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4,488,709</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5"/>
              </w:rPr>
              <w:t>Total debt, net of deferred loan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costs</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1,462,658</w:t>
            </w:r>
          </w:p>
        </w:tc>
        <w:tc>
          <w:tcPr>
            <w:tcW w:w="24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1,625,060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w w:val="97"/>
              </w:rPr>
              <w:t>1,675,356</w:t>
            </w:r>
          </w:p>
        </w:tc>
        <w:tc>
          <w:tcPr>
            <w:tcW w:w="1060" w:type="dxa"/>
            <w:vAlign w:val="bottom"/>
            <w:gridSpan w:val="6"/>
          </w:tcPr>
          <w:p>
            <w:pPr>
              <w:jc w:val="right"/>
              <w:ind w:right="40"/>
              <w:spacing w:after="0"/>
              <w:rPr>
                <w:sz w:val="20"/>
                <w:szCs w:val="20"/>
                <w:color w:val="auto"/>
              </w:rPr>
            </w:pPr>
            <w:r>
              <w:rPr>
                <w:rFonts w:ascii="Arial" w:cs="Arial" w:eastAsia="Arial" w:hAnsi="Arial"/>
                <w:sz w:val="18"/>
                <w:szCs w:val="18"/>
                <w:color w:val="auto"/>
              </w:rPr>
              <w:t>1,681,264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1,699,360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1,427,135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785,051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1,510,859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988,219</w:t>
            </w: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857,039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832,687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756,262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689,106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984,564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1,002,379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969,083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the 53rd week to 2017 net sales was $60.6 million.</w:t>
      </w:r>
    </w:p>
    <w:p>
      <w:pPr>
        <w:spacing w:after="0" w:line="23" w:lineRule="exact"/>
        <w:rPr>
          <w:rFonts w:ascii="Arial" w:cs="Arial" w:eastAsia="Arial" w:hAnsi="Arial"/>
          <w:sz w:val="18"/>
          <w:szCs w:val="18"/>
          <w:color w:val="auto"/>
        </w:rPr>
      </w:pPr>
    </w:p>
    <w:p>
      <w:pPr>
        <w:ind w:left="540" w:right="120" w:hanging="424"/>
        <w:spacing w:after="0" w:line="302"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first half 2020, 2019 and 2017, we repurchased principal on our 2015 Term Loan Facility, which was trading at a discount, and recognized as a gain, net of the write-off of related deferred loan costs. In first half 2020, we repurchased a total of $23.9 million of principal in open market transactions for an aggregate purchase price of $16.0 million and recognized a related net gain of $7.8 million. In 2019, we repurchased a</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68" w:lineRule="auto"/>
        <w:rPr>
          <w:sz w:val="20"/>
          <w:szCs w:val="20"/>
          <w:color w:val="auto"/>
        </w:rPr>
      </w:pPr>
      <w:r>
        <w:rPr>
          <w:rFonts w:ascii="Arial" w:cs="Arial" w:eastAsia="Arial" w:hAnsi="Arial"/>
          <w:sz w:val="17"/>
          <w:szCs w:val="17"/>
          <w:color w:val="auto"/>
        </w:rPr>
        <w:t>total of $147.7 million of principal in open market transactions for an aggregate purchase price of $104.6 million and recognized a related net gain of $42.3 million. In 2017, we repurchased $26.2 million of principal in open market transactions for an aggregate purchase price of $19.7 million and recognized a related net gain of $6.3 million. In 2015, we entered into the 2015 Term Loan Facility and 2015 ABL Facility and used the proceeds to pay off our previous term loan facility and notes. We had a related loss on early retirement of debt of $55.5 million from the write-off of deferred loan costs and the payment of prepayment and professional fees.</w:t>
      </w:r>
    </w:p>
    <w:p>
      <w:pPr>
        <w:spacing w:after="0" w:line="3" w:lineRule="exact"/>
        <w:rPr>
          <w:sz w:val="20"/>
          <w:szCs w:val="20"/>
          <w:color w:val="auto"/>
        </w:rPr>
      </w:pPr>
    </w:p>
    <w:p>
      <w:pPr>
        <w:ind w:left="540" w:right="24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540" w:right="34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adjusted balance sheet data as of October 31, 2020 gives effect to (i) the IPO Option Exercise completed on November 3, 2020 and (ii) the Refinancing Transactions completed on November 6, 2020.</w:t>
      </w:r>
    </w:p>
    <w:p>
      <w:pPr>
        <w:ind w:left="540" w:hanging="424"/>
        <w:spacing w:after="0" w:line="295"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i w:val="1"/>
          <w:iCs w:val="1"/>
          <w:color w:val="auto"/>
        </w:rPr>
        <w:t>The following discussion analyzes our financial condition and results of operations and should be read in conjunction with our consolidated financial statements and related notes included elsewhere in this prospectus.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 All statements in this discussion and analysis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8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Our fiscal year represents the 52- or 53- week period ending on the Saturday closest to January 31. All references in this discussion and analysis to “2019,” “2018” and “2017” or like terms relate to our fiscal years as follows:</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40" w:type="dxa"/>
            <w:vAlign w:val="bottom"/>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95"/>
              </w:rPr>
              <w:t>Fiscal</w:t>
            </w: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6840" w:type="dxa"/>
            <w:vAlign w:val="bottom"/>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85"/>
              </w:rPr>
              <w:t>Year</w:t>
            </w:r>
          </w:p>
        </w:tc>
        <w:tc>
          <w:tcPr>
            <w:tcW w:w="1920" w:type="dxa"/>
            <w:vAlign w:val="bottom"/>
            <w:gridSpan w:val="2"/>
          </w:tcPr>
          <w:p>
            <w:pPr>
              <w:ind w:left="540"/>
              <w:spacing w:after="0"/>
              <w:rPr>
                <w:sz w:val="20"/>
                <w:szCs w:val="20"/>
                <w:color w:val="auto"/>
              </w:rPr>
            </w:pPr>
            <w:r>
              <w:rPr>
                <w:rFonts w:ascii="Arial" w:cs="Arial" w:eastAsia="Arial" w:hAnsi="Arial"/>
                <w:sz w:val="14"/>
                <w:szCs w:val="14"/>
                <w:b w:val="1"/>
                <w:bCs w:val="1"/>
                <w:i w:val="1"/>
                <w:iCs w:val="1"/>
                <w:color w:val="auto"/>
              </w:rPr>
              <w:t>Ended</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Weeks</w:t>
            </w:r>
          </w:p>
        </w:tc>
      </w:tr>
      <w:tr>
        <w:trPr>
          <w:trHeight w:val="209"/>
        </w:trPr>
        <w:tc>
          <w:tcPr>
            <w:tcW w:w="6480" w:type="dxa"/>
            <w:vAlign w:val="bottom"/>
            <w:tcBorders>
              <w:top w:val="single" w:sz="8" w:color="auto"/>
            </w:tcBorders>
            <w:shd w:val="clear" w:color="auto" w:fill="CCEEFF"/>
          </w:tcPr>
          <w:p>
            <w:pPr>
              <w:jc w:val="right"/>
              <w:ind w:right="6037"/>
              <w:spacing w:after="0"/>
              <w:rPr>
                <w:sz w:val="20"/>
                <w:szCs w:val="20"/>
                <w:color w:val="auto"/>
              </w:rPr>
            </w:pPr>
            <w:r>
              <w:rPr>
                <w:rFonts w:ascii="Arial" w:cs="Arial" w:eastAsia="Arial" w:hAnsi="Arial"/>
                <w:sz w:val="18"/>
                <w:szCs w:val="18"/>
                <w:i w:val="1"/>
                <w:iCs w:val="1"/>
                <w:color w:val="auto"/>
                <w:w w:val="84"/>
              </w:rPr>
              <w:t>2019</w:t>
            </w:r>
          </w:p>
        </w:tc>
        <w:tc>
          <w:tcPr>
            <w:tcW w:w="3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i w:val="1"/>
                <w:iCs w:val="1"/>
                <w:color w:val="auto"/>
                <w:w w:val="91"/>
              </w:rPr>
              <w:t>February 1, 2020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jc w:val="right"/>
              <w:ind w:right="6037"/>
              <w:spacing w:after="0"/>
              <w:rPr>
                <w:sz w:val="20"/>
                <w:szCs w:val="20"/>
                <w:color w:val="auto"/>
              </w:rPr>
            </w:pPr>
            <w:r>
              <w:rPr>
                <w:rFonts w:ascii="Arial" w:cs="Arial" w:eastAsia="Arial" w:hAnsi="Arial"/>
                <w:sz w:val="18"/>
                <w:szCs w:val="18"/>
                <w:i w:val="1"/>
                <w:iCs w:val="1"/>
                <w:color w:val="auto"/>
                <w:w w:val="84"/>
              </w:rPr>
              <w:t>2018</w:t>
            </w:r>
          </w:p>
        </w:tc>
        <w:tc>
          <w:tcPr>
            <w:tcW w:w="360" w:type="dxa"/>
            <w:vAlign w:val="bottom"/>
          </w:tcPr>
          <w:p>
            <w:pPr>
              <w:spacing w:after="0"/>
              <w:rPr>
                <w:sz w:val="18"/>
                <w:szCs w:val="18"/>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i w:val="1"/>
                <w:iCs w:val="1"/>
                <w:color w:val="auto"/>
              </w:rPr>
              <w:t>February 2, 2019</w:t>
            </w: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52</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jc w:val="right"/>
              <w:ind w:right="6037"/>
              <w:spacing w:after="0"/>
              <w:rPr>
                <w:sz w:val="20"/>
                <w:szCs w:val="20"/>
                <w:color w:val="auto"/>
              </w:rPr>
            </w:pPr>
            <w:r>
              <w:rPr>
                <w:rFonts w:ascii="Arial" w:cs="Arial" w:eastAsia="Arial" w:hAnsi="Arial"/>
                <w:sz w:val="18"/>
                <w:szCs w:val="18"/>
                <w:i w:val="1"/>
                <w:iCs w:val="1"/>
                <w:color w:val="auto"/>
                <w:w w:val="84"/>
              </w:rPr>
              <w:t>2017</w:t>
            </w: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February 3, 2018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Any reference to the “current quarter,” “2020 third quarter” or similar reference refers to the thirteen week period ended October 31, 2020, and any reference to the “prior year quarter,” “2019 third quarter” or similar reference refers to the thirteen week period ended November 2, 2019. Any reference in to “current year-to-date,” “year-to-date 2020” or similar reference represents the thirty-nine week period ended October 31, 2020, and any reference to “prior year-to-date,” “year-to-date 2019” or similar reference represents the thirty-nine week period ended November 2, 2019.</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October 31,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BOPIS program, which we launched in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Trends and Other Factors Affecting Our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2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color w:val="auto"/>
        </w:rPr>
        <w:t>Overall Economic Trends</w:t>
      </w:r>
      <w:r>
        <w:rPr>
          <w:rFonts w:ascii="Arial" w:cs="Arial" w:eastAsia="Arial" w:hAnsi="Arial"/>
          <w:sz w:val="17"/>
          <w:szCs w:val="17"/>
          <w:color w:val="auto"/>
        </w:rPr>
        <w:t>. All of our sales are generated within the United States, making our results of operations highly dependent on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“—Impact of COVID-19 on Our Business.”</w:t>
      </w:r>
    </w:p>
    <w:p>
      <w:pPr>
        <w:spacing w:after="0" w:line="17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color w:val="auto"/>
        </w:rPr>
        <w:t xml:space="preserve">Consumer Preferences and Demands. </w:t>
      </w:r>
      <w:r>
        <w:rPr>
          <w:rFonts w:ascii="Arial" w:cs="Arial" w:eastAsia="Arial" w:hAnsi="Arial"/>
          <w:sz w:val="16"/>
          <w:szCs w:val="16"/>
          <w:color w:val="auto"/>
        </w:rPr>
        <w:t>The level of success we achieve is dependent on, among other factors, how accurately and timely we</w:t>
      </w:r>
      <w:r>
        <w:rPr>
          <w:rFonts w:ascii="Arial" w:cs="Arial" w:eastAsia="Arial" w:hAnsi="Arial"/>
          <w:sz w:val="16"/>
          <w:szCs w:val="16"/>
          <w:b w:val="1"/>
          <w:bCs w:val="1"/>
          <w:color w:val="auto"/>
        </w:rPr>
        <w:t xml:space="preserve"> </w:t>
      </w:r>
      <w:r>
        <w:rPr>
          <w:rFonts w:ascii="Arial" w:cs="Arial" w:eastAsia="Arial" w:hAnsi="Arial"/>
          <w:sz w:val="16"/>
          <w:szCs w:val="16"/>
          <w:color w:val="auto"/>
        </w:rPr>
        <w:t>predict 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5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color w:val="auto"/>
        </w:rPr>
        <w:t>Strategic Inventory Management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must maintain sufficient inventory levels of merchandise that our customers desire to successfully operate</w:t>
      </w:r>
      <w:r>
        <w:rPr>
          <w:rFonts w:ascii="Arial" w:cs="Arial" w:eastAsia="Arial" w:hAnsi="Arial"/>
          <w:sz w:val="17"/>
          <w:szCs w:val="17"/>
          <w:b w:val="1"/>
          <w:bCs w:val="1"/>
          <w:color w:val="auto"/>
        </w:rPr>
        <w:t xml:space="preserve"> </w:t>
      </w:r>
      <w:r>
        <w:rPr>
          <w:rFonts w:ascii="Arial" w:cs="Arial" w:eastAsia="Arial" w:hAnsi="Arial"/>
          <w:sz w:val="17"/>
          <w:szCs w:val="17"/>
          <w:color w:val="auto"/>
        </w:rPr>
        <w:t>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increasing the average inventory turns from 2.68x in 2017 to 2.84x</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2019 and 3.55x for the twelve months ended October 31, 2020, and has helped us to identify and exit certain product categories, such as luggage and toys.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the year-to-date 2020, we experienced significant inventory reductions from high sell-through during the period. We expect to use cash to replenish such inventory throughout the rest of the current fiscal year, which we expect will impact our net cash provided by operating activities for the fourth quarter of 2020.</w:t>
      </w:r>
    </w:p>
    <w:p>
      <w:pPr>
        <w:spacing w:after="0" w:line="16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color w:val="auto"/>
        </w:rPr>
        <w:t>Value Strategy</w:t>
      </w:r>
      <w:r>
        <w:rPr>
          <w:rFonts w:ascii="Arial" w:cs="Arial" w:eastAsia="Arial" w:hAnsi="Arial"/>
          <w:sz w:val="16"/>
          <w:szCs w:val="16"/>
          <w:color w:val="auto"/>
        </w:rPr>
        <w:t>. We offer a broad assortment of products at competitive prices that offer extraordinary value. Our in-store experience includes</w:t>
      </w:r>
      <w:r>
        <w:rPr>
          <w:rFonts w:ascii="Arial" w:cs="Arial" w:eastAsia="Arial" w:hAnsi="Arial"/>
          <w:sz w:val="16"/>
          <w:szCs w:val="16"/>
          <w:b w:val="1"/>
          <w:bCs w:val="1"/>
          <w:color w:val="auto"/>
        </w:rPr>
        <w:t xml:space="preserve"> </w:t>
      </w:r>
      <w:r>
        <w:rPr>
          <w:rFonts w:ascii="Arial" w:cs="Arial" w:eastAsia="Arial" w:hAnsi="Arial"/>
          <w:sz w:val="16"/>
          <w:szCs w:val="16"/>
          <w:color w:val="auto"/>
        </w:rPr>
        <w:t>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6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color w:val="auto"/>
        </w:rPr>
        <w:t>E-commerce</w:t>
      </w:r>
      <w:r>
        <w:rPr>
          <w:rFonts w:ascii="Arial" w:cs="Arial" w:eastAsia="Arial" w:hAnsi="Arial"/>
          <w:sz w:val="16"/>
          <w:szCs w:val="16"/>
          <w:color w:val="auto"/>
        </w:rPr>
        <w:t>/</w:t>
      </w:r>
      <w:r>
        <w:rPr>
          <w:rFonts w:ascii="Arial" w:cs="Arial" w:eastAsia="Arial" w:hAnsi="Arial"/>
          <w:sz w:val="16"/>
          <w:szCs w:val="16"/>
          <w:b w:val="1"/>
          <w:bCs w:val="1"/>
          <w:color w:val="auto"/>
        </w:rPr>
        <w:t xml:space="preserve">BOPIS. </w:t>
      </w:r>
      <w:r>
        <w:rPr>
          <w:rFonts w:ascii="Arial" w:cs="Arial" w:eastAsia="Arial" w:hAnsi="Arial"/>
          <w:sz w:val="16"/>
          <w:szCs w:val="16"/>
          <w:color w:val="auto"/>
        </w:rPr>
        <w:t>We expect that the expansion and enhancement of our omnichannel capabilities will be a key driver of growth in our net</w:t>
      </w:r>
      <w:r>
        <w:rPr>
          <w:rFonts w:ascii="Arial" w:cs="Arial" w:eastAsia="Arial" w:hAnsi="Arial"/>
          <w:sz w:val="16"/>
          <w:szCs w:val="16"/>
          <w:b w:val="1"/>
          <w:bCs w:val="1"/>
          <w:color w:val="auto"/>
        </w:rPr>
        <w:t xml:space="preserve"> </w:t>
      </w:r>
      <w:r>
        <w:rPr>
          <w:rFonts w:ascii="Arial" w:cs="Arial" w:eastAsia="Arial" w:hAnsi="Arial"/>
          <w:sz w:val="16"/>
          <w:szCs w:val="16"/>
          <w:color w:val="auto"/>
        </w:rPr>
        <w:t>sales and gross margin. We continue to invest in initiatives that will increase traffic to our e-commerce website and drive increased online sales conversion. Our improved website also supports our stores with digital marketing and our BOPIS program. In 2019 and the thirty-nine weeks ended October 31, 2020, BOPIS accounted for approximately 24% and 50%, respectively, of our e-commerce sales and approximately 1% and 5%, respectively, of total merchandise sales for such periods. Our website also allows us to reach customers outside of our current store footprint and introduces new customers to the Academy brand. Our website is also a platform for marketing and product education, allowing us to connect further with our customers.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the year-to-date 2020. It is, however, difficult to ascertain with precision what portion of our increased e-commerce sales during the year-to-date 2020 was attributable to the COVID-19 pandemic as compared to such recent enhancements. During the third quarter 2020, stores facilitated over 95% of our total sales, including ship-from-store, BOPIS and in-store retail sales. We expect to continue to invest in expanding and enhancing our omnichannel capabilities, including BOPIS, will continue to require significant investments by us.</w:t>
      </w:r>
    </w:p>
    <w:p>
      <w:pPr>
        <w:spacing w:after="0" w:line="168" w:lineRule="exact"/>
        <w:rPr>
          <w:sz w:val="20"/>
          <w:szCs w:val="20"/>
          <w:color w:val="auto"/>
        </w:rPr>
      </w:pPr>
    </w:p>
    <w:p>
      <w:pPr>
        <w:ind w:left="120" w:right="40" w:firstLine="440"/>
        <w:spacing w:after="0" w:line="292" w:lineRule="auto"/>
        <w:rPr>
          <w:sz w:val="20"/>
          <w:szCs w:val="20"/>
          <w:color w:val="auto"/>
        </w:rPr>
      </w:pPr>
      <w:r>
        <w:rPr>
          <w:rFonts w:ascii="Arial" w:cs="Arial" w:eastAsia="Arial" w:hAnsi="Arial"/>
          <w:sz w:val="16"/>
          <w:szCs w:val="16"/>
          <w:b w:val="1"/>
          <w:bCs w:val="1"/>
          <w:color w:val="auto"/>
        </w:rPr>
        <w:t>Competition</w:t>
      </w:r>
      <w:r>
        <w:rPr>
          <w:rFonts w:ascii="Arial" w:cs="Arial" w:eastAsia="Arial" w:hAnsi="Arial"/>
          <w:sz w:val="16"/>
          <w:szCs w:val="16"/>
          <w:color w:val="auto"/>
        </w:rPr>
        <w:t>. The U.S. sporting goods and outdoor recreation retail industries are highly competitive and fragmented. We compete with specialty</w:t>
      </w:r>
      <w:r>
        <w:rPr>
          <w:rFonts w:ascii="Arial" w:cs="Arial" w:eastAsia="Arial" w:hAnsi="Arial"/>
          <w:sz w:val="16"/>
          <w:szCs w:val="16"/>
          <w:b w:val="1"/>
          <w:bCs w:val="1"/>
          <w:color w:val="auto"/>
        </w:rPr>
        <w:t xml:space="preserve"> </w:t>
      </w:r>
      <w:r>
        <w:rPr>
          <w:rFonts w:ascii="Arial" w:cs="Arial" w:eastAsia="Arial" w:hAnsi="Arial"/>
          <w:sz w:val="16"/>
          <w:szCs w:val="16"/>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61"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b w:val="1"/>
          <w:bCs w:val="1"/>
          <w:color w:val="auto"/>
        </w:rPr>
        <w:t>Sourcing and Supply Chain Management</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our business to be successful, our suppliers must provide us with quality products in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quantities, in compliance with regulatory requirements, at acceptable costs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color w:val="auto"/>
        </w:rPr>
        <w:t>New Store Openings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expect that new stores will be a key driver of growth in our net sales and gross margin in the future. Our results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have been and will continue to be materially affected by the timing and number of new store openings. We are continually assessing the number of locations available that could accommodate our preferred size of stores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84" w:lineRule="exact"/>
        <w:rPr>
          <w:sz w:val="20"/>
          <w:szCs w:val="20"/>
          <w:color w:val="auto"/>
        </w:rPr>
      </w:pPr>
    </w:p>
    <w:p>
      <w:pPr>
        <w:ind w:left="120" w:right="80" w:firstLine="440"/>
        <w:spacing w:after="0" w:line="314" w:lineRule="auto"/>
        <w:rPr>
          <w:sz w:val="20"/>
          <w:szCs w:val="20"/>
          <w:color w:val="auto"/>
        </w:rPr>
      </w:pPr>
      <w:r>
        <w:rPr>
          <w:rFonts w:ascii="Arial" w:cs="Arial" w:eastAsia="Arial" w:hAnsi="Arial"/>
          <w:sz w:val="16"/>
          <w:szCs w:val="16"/>
          <w:b w:val="1"/>
          <w:bCs w:val="1"/>
          <w:color w:val="auto"/>
        </w:rPr>
        <w:t>Interim Results and Seasonality</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business is subject to seasonal fluctuations. A significant portion of our net sales and profits is driven by</w:t>
      </w:r>
      <w:r>
        <w:rPr>
          <w:rFonts w:ascii="Arial" w:cs="Arial" w:eastAsia="Arial" w:hAnsi="Arial"/>
          <w:sz w:val="16"/>
          <w:szCs w:val="16"/>
          <w:b w:val="1"/>
          <w:bCs w:val="1"/>
          <w:color w:val="auto"/>
        </w:rPr>
        <w:t xml:space="preserve"> </w:t>
      </w:r>
      <w:r>
        <w:rPr>
          <w:rFonts w:ascii="Arial" w:cs="Arial" w:eastAsia="Arial" w:hAnsi="Arial"/>
          <w:sz w:val="16"/>
          <w:szCs w:val="16"/>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42"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b w:val="1"/>
          <w:bCs w:val="1"/>
          <w:color w:val="auto"/>
        </w:rPr>
        <w:t>53rd Week</w:t>
      </w:r>
      <w:r>
        <w:rPr>
          <w:rFonts w:ascii="Arial" w:cs="Arial" w:eastAsia="Arial" w:hAnsi="Arial"/>
          <w:sz w:val="18"/>
          <w:szCs w:val="18"/>
          <w:color w:val="auto"/>
        </w:rPr>
        <w:t>. We operate on the retail industry’s 4-5-4 calendar. The 4-5-4 calendar is a guide for retailers that ensures sales comparability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years by dividing the year into months based on a 4 weeks – 5 weeks – 4 weeks format. Every five to six years a week is added to the 4-5-4 fiscal calendar. This anomaly has most recently occurred in 2017, which consisted of 53 weeks. 2018 and 2019 each consisted of 52 weeks. The additional week of 2017 contributed approximately $60.6 million of incremental net sales.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outbreak of COVID-19, which has been declared a global pandemic by the World Health Organization, continues to affect our business, as well as our customers, team members and suppliers, and has resulted in federal, state and local governmental authority safety recommendations and requirements aimed at mitigating the spread of the virus, such as stay-at-home orders, prohibitions of large group gatherings, travel restrictions and closures of certain businesses. The scope and nature of these impacts continue to evolve on a daily basis, including with a potential resurgence in COVID-19 cases in the 2020 fourth quarter and beyond.</w:t>
      </w:r>
    </w:p>
    <w:p>
      <w:pPr>
        <w:spacing w:after="0" w:line="18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in March 2020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have worked with our business partners to modify vendor and landlord payments and terms, and reduced near term marketing. Our temporary furlough period ended by June 8, 2020 for all of our store, distribution center and corporate team members, and on June 25, 2020, we completed repaying the $500 million draw on the ABL Facility. All three of our distribution centers remained open during the year-to-date 2020, all of our 259 stores have been fully operational since May 20, 2020, and our corporate office has been fully open since June 8, 2020.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9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impact of the pandemic and actions taken in response to it had varying effects on our results of operations, as further discussed below, and our business has been especially unpredictable during the year-to-date 2020. However, as an essential retailer, we have been able to serve our customers as their needs evolved during the pandemic. In early March 2020, we saw the acceleration of sales in specific categories, such as outdoor cooking, 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during the first quarter 2020, we experienced decreased sales of certain of our offerings, primarily for apparel and footwear, and had to from time to time cancel certain of our purchase orders for these products.</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also saw a significant increase in customers purchasing our products through omnichannel platforms, specifically as customers increasingly take advantage of our curbside pickup service, which we launched during the first quarter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the development of vaccines to mitigate the risk of COVID-19, actions by government authorities to contain the outbreak or treat its impact, and changes in consumer behavior resulting from the outbreak and such government actions. We continue to monitor the evolving situation as there remain many uncertainties regarding the pandemic and its resurgence, including the anticipated duration. See “Risk Factors—Risks Related to Our Business—The impact of COVID-19 may adversely affect our business and financial results.”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We Assess the Performance of Our Business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Comparable Sales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define comparable sales as the percentage of period-over-period net sales increase or decrease, in the aggregate, for stores</w:t>
      </w:r>
      <w:r>
        <w:rPr>
          <w:rFonts w:ascii="Arial" w:cs="Arial" w:eastAsia="Arial" w:hAnsi="Arial"/>
          <w:sz w:val="17"/>
          <w:szCs w:val="17"/>
          <w:b w:val="1"/>
          <w:bCs w:val="1"/>
          <w:color w:val="auto"/>
        </w:rPr>
        <w:t xml:space="preserve"> </w:t>
      </w:r>
      <w:r>
        <w:rPr>
          <w:rFonts w:ascii="Arial" w:cs="Arial" w:eastAsia="Arial" w:hAnsi="Arial"/>
          <w:sz w:val="17"/>
          <w:szCs w:val="17"/>
          <w:color w:val="auto"/>
        </w:rPr>
        <w:t>open after thirteen full fiscal months, as well as for all e-commerce sales. There may be variations in the way in which some of our competitors and other retailers calculate comparable sales. As a result, data in this prospectus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 See “—Non-GAAP Measures” below for a reconciliation of adjusted comparable sales to comparable sales.</w:t>
      </w:r>
    </w:p>
    <w:p>
      <w:pPr>
        <w:spacing w:after="0" w:line="180"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Various factors affect comparable sales and adjusted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74"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Adjusted EBITDA, Adjusted Net Income (Loss), Pro Forma Adjusted Net Income (Loss), Pro Forma Adjusted Earnings per Share and Adjusted Free Cash Flow</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uses Adjusted EBITDA, Adjusted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color w:val="auto"/>
        </w:rPr>
        <w:t>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See “—Non-GAAP Measures” below.</w:t>
      </w:r>
    </w:p>
    <w:p>
      <w:pPr>
        <w:spacing w:after="0" w:line="161" w:lineRule="exact"/>
        <w:rPr>
          <w:sz w:val="20"/>
          <w:szCs w:val="20"/>
          <w:color w:val="auto"/>
        </w:rPr>
      </w:pPr>
    </w:p>
    <w:p>
      <w:pPr>
        <w:jc w:val="both"/>
        <w:ind w:left="120" w:right="240" w:firstLine="440"/>
        <w:spacing w:after="0" w:line="282" w:lineRule="auto"/>
        <w:rPr>
          <w:sz w:val="20"/>
          <w:szCs w:val="20"/>
          <w:color w:val="auto"/>
        </w:rPr>
      </w:pPr>
      <w:r>
        <w:rPr>
          <w:rFonts w:ascii="Arial" w:cs="Arial" w:eastAsia="Arial" w:hAnsi="Arial"/>
          <w:sz w:val="18"/>
          <w:szCs w:val="18"/>
          <w:b w:val="1"/>
          <w:bCs w:val="1"/>
          <w:color w:val="auto"/>
        </w:rPr>
        <w:t xml:space="preserve">E-commerce Penetration. </w:t>
      </w:r>
      <w:r>
        <w:rPr>
          <w:rFonts w:ascii="Arial" w:cs="Arial" w:eastAsia="Arial" w:hAnsi="Arial"/>
          <w:sz w:val="18"/>
          <w:szCs w:val="18"/>
          <w:color w:val="auto"/>
        </w:rPr>
        <w:t>E-commerce penetration is defined as total e-commerce merchandise sales (which includes BOPIS) divided by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merchandise sales.</w:t>
      </w:r>
    </w:p>
    <w:p>
      <w:pPr>
        <w:spacing w:after="0" w:line="166"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following table summarizes our key financial and operating metrics (with nearest GAAP measures where applicable) for the periods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rPr>
              <w:t>Thirty-Nine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14"/>
              <w:spacing w:after="0"/>
              <w:rPr>
                <w:sz w:val="20"/>
                <w:szCs w:val="20"/>
                <w:color w:val="auto"/>
              </w:rPr>
            </w:pPr>
            <w:r>
              <w:rPr>
                <w:rFonts w:ascii="Arial" w:cs="Arial" w:eastAsia="Arial" w:hAnsi="Arial"/>
                <w:sz w:val="14"/>
                <w:szCs w:val="14"/>
                <w:b w:val="1"/>
                <w:bCs w:val="1"/>
                <w:color w:val="auto"/>
                <w:w w:val="92"/>
              </w:rPr>
              <w:t>Weeks Ended</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2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2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3,</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(In thousands, except percentages and per share data)</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Adjusted comparable sales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120,043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58,501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217,242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102,305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Adjusted EBITDA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322,814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300,259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315,420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428,640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245,596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101,469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55,405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72,078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278,001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77,862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 Forma Adjusted Net Income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75,927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41,338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53,732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208,591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Earnings per Share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263,669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198,481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83,355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857,218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94,756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196,886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99,454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(32,546)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843,428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42,177</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E-commerce penetration</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profitability is primarily influenced by fluctuations in net sales, gross margin and our ability to leverage selling, general and administrative expenses.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Net Sales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Net sales are derived from in-store and e-commerce merchandise sales, net of sales tax and an allowance for merchandise returns.</w:t>
      </w:r>
    </w:p>
    <w:p>
      <w:pPr>
        <w:spacing w:after="0" w:line="252"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manage vendor relations and meet customer demand, allowances and logistics, seasonality, unseasonal or extreme weather, changes in consumer shopping preferences, consumer discretionary spending, and market and sales promotions.</w:t>
      </w:r>
    </w:p>
    <w:p>
      <w:pPr>
        <w:spacing w:after="0" w:line="145" w:lineRule="exact"/>
        <w:rPr>
          <w:sz w:val="20"/>
          <w:szCs w:val="20"/>
          <w:color w:val="auto"/>
        </w:rPr>
      </w:pPr>
    </w:p>
    <w:p>
      <w:pPr>
        <w:ind w:left="120" w:right="400" w:firstLine="440"/>
        <w:spacing w:after="0" w:line="266" w:lineRule="auto"/>
        <w:rPr>
          <w:sz w:val="20"/>
          <w:szCs w:val="20"/>
          <w:color w:val="auto"/>
        </w:rPr>
      </w:pPr>
      <w:r>
        <w:rPr>
          <w:rFonts w:ascii="Arial" w:cs="Arial" w:eastAsia="Arial" w:hAnsi="Arial"/>
          <w:sz w:val="18"/>
          <w:szCs w:val="18"/>
          <w:b w:val="1"/>
          <w:bCs w:val="1"/>
          <w:color w:val="auto"/>
        </w:rPr>
        <w:t>Gross Margin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Gross margin is our net sales less cost of goods sold. Our cost of goods sold includes the direct cost of merchandise and costs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procurement, warehousing and distribution. These costs consist primarily of payroll and benefits, occupancy costs and freight and are generally variable in nature relative to our sales volume.</w:t>
      </w:r>
    </w:p>
    <w:p>
      <w:pPr>
        <w:spacing w:after="0" w:line="18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b w:val="1"/>
          <w:bCs w:val="1"/>
          <w:color w:val="auto"/>
        </w:rPr>
        <w:t>Selling, 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Selling, general and administrative, or SG&amp;A, expenses include store and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In connection with the IPO, we incurred approximately $19.9 million of stock compensation expense associated with the vesting of certain of the outstanding restricted stock units as a result of the liquidity condition being achieved due to the IPO. We expect that our SG&amp;A expenses will increase in future periods due to our continuing growth and in part to additional legal, accounting, insurance and other expenses we expect to incur as a result of being a public company.</w:t>
      </w:r>
    </w:p>
    <w:p>
      <w:pPr>
        <w:spacing w:after="0" w:line="288" w:lineRule="exact"/>
        <w:rPr>
          <w:sz w:val="20"/>
          <w:szCs w:val="20"/>
          <w:color w:val="auto"/>
        </w:rPr>
      </w:pPr>
    </w:p>
    <w:p>
      <w:pPr>
        <w:jc w:val="both"/>
        <w:ind w:left="120" w:right="160" w:firstLine="440"/>
        <w:spacing w:after="0" w:line="289"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Academy Sports and Outdoors, Inc. is subject to U.S. federal income taxes and taxed at the prevailing corporate tax rates.</w:t>
      </w:r>
      <w:r>
        <w:rPr>
          <w:rFonts w:ascii="Arial" w:cs="Arial" w:eastAsia="Arial" w:hAnsi="Arial"/>
          <w:sz w:val="17"/>
          <w:szCs w:val="17"/>
          <w:b w:val="1"/>
          <w:bCs w:val="1"/>
          <w:color w:val="auto"/>
        </w:rPr>
        <w:t xml:space="preserve"> </w:t>
      </w:r>
      <w:r>
        <w:rPr>
          <w:rFonts w:ascii="Arial" w:cs="Arial" w:eastAsia="Arial" w:hAnsi="Arial"/>
          <w:sz w:val="17"/>
          <w:szCs w:val="17"/>
          <w:color w:val="auto"/>
        </w:rPr>
        <w:t>We are treated as a U.S. corporation for U.S. federal, state, and local income tax purposes and accordingly, a provision for income taxes is recorded for the anticipated tax consequences of our reported results of operations for federal, state and local income taxes.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Thirty-Nine Weeks Ended October 31, 2020 Compared to Thirty-Nine Weeks Ended November 2, 2019</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vMerge w:val="restart"/>
          </w:tcPr>
          <w:p>
            <w:pPr>
              <w:ind w:left="1440"/>
              <w:spacing w:after="0"/>
              <w:rPr>
                <w:sz w:val="20"/>
                <w:szCs w:val="20"/>
                <w:color w:val="auto"/>
              </w:rPr>
            </w:pPr>
            <w:r>
              <w:rPr>
                <w:rFonts w:ascii="Arial" w:cs="Arial" w:eastAsia="Arial" w:hAnsi="Arial"/>
                <w:sz w:val="14"/>
                <w:szCs w:val="14"/>
                <w:color w:val="auto"/>
              </w:rPr>
              <w:t>(In thousands, except percentages)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w w:val="99"/>
              </w:rPr>
              <w:t>Thirty-Nine Weeks Ended</w:t>
            </w: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670"/>
              <w:spacing w:after="0" w:line="142" w:lineRule="exact"/>
              <w:rPr>
                <w:sz w:val="20"/>
                <w:szCs w:val="20"/>
                <w:color w:val="auto"/>
              </w:rPr>
            </w:pPr>
            <w:r>
              <w:rPr>
                <w:rFonts w:ascii="Arial" w:cs="Arial" w:eastAsia="Arial" w:hAnsi="Arial"/>
                <w:sz w:val="14"/>
                <w:szCs w:val="14"/>
                <w:b w:val="1"/>
                <w:bCs w:val="1"/>
                <w:color w:val="auto"/>
              </w:rPr>
              <w:t>October 31, 2020</w:t>
            </w:r>
          </w:p>
        </w:tc>
        <w:tc>
          <w:tcPr>
            <w:tcW w:w="80" w:type="dxa"/>
            <w:vAlign w:val="bottom"/>
          </w:tcPr>
          <w:p>
            <w:pPr>
              <w:spacing w:after="0"/>
              <w:rPr>
                <w:sz w:val="12"/>
                <w:szCs w:val="12"/>
                <w:color w:val="auto"/>
              </w:rPr>
            </w:pPr>
          </w:p>
        </w:tc>
        <w:tc>
          <w:tcPr>
            <w:tcW w:w="1540" w:type="dxa"/>
            <w:vAlign w:val="bottom"/>
            <w:gridSpan w:val="3"/>
          </w:tcPr>
          <w:p>
            <w:pPr>
              <w:jc w:val="right"/>
              <w:ind w:right="170"/>
              <w:spacing w:after="0" w:line="142" w:lineRule="exact"/>
              <w:rPr>
                <w:sz w:val="20"/>
                <w:szCs w:val="20"/>
                <w:color w:val="auto"/>
              </w:rPr>
            </w:pPr>
            <w:r>
              <w:rPr>
                <w:rFonts w:ascii="Arial" w:cs="Arial" w:eastAsia="Arial" w:hAnsi="Arial"/>
                <w:sz w:val="14"/>
                <w:szCs w:val="14"/>
                <w:b w:val="1"/>
                <w:bCs w:val="1"/>
                <w:color w:val="auto"/>
              </w:rPr>
              <w:t>November 2, 2019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Dollars</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4,091,797</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3,459,405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$632,392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2,856,840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69.8 %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2,398,783</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69.3 %</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458,057</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1,234,957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30.2 %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1,060,622</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30.7 %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174,335</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955,591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23.4 %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923,418</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26.7 %</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32,173</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6.8 %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137,204</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142,162</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103.6 %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70,487</w:t>
            </w:r>
          </w:p>
        </w:tc>
        <w:tc>
          <w:tcPr>
            <w:tcW w:w="1120" w:type="dxa"/>
            <w:vAlign w:val="bottom"/>
            <w:gridSpan w:val="3"/>
          </w:tcPr>
          <w:p>
            <w:pPr>
              <w:jc w:val="right"/>
              <w:ind w:right="210"/>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77,171</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2.2 %</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(6,684)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(7,831)</w:t>
            </w:r>
          </w:p>
        </w:tc>
        <w:tc>
          <w:tcPr>
            <w:tcW w:w="11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(42,265)</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34,434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c>
          <w:tcPr>
            <w:tcW w:w="1120" w:type="dxa"/>
            <w:vAlign w:val="bottom"/>
            <w:gridSpan w:val="3"/>
          </w:tcPr>
          <w:p>
            <w:pPr>
              <w:jc w:val="right"/>
              <w:ind w:right="210"/>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(1,921)</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1,064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104,219</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113,348</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108.8 %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1,914</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0.1 %</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(1,589)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102,305</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$114,937</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112.3 %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Percentages in table may not sum properly due to rounding.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store activity for the periods indicated:</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5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5840" w:type="dxa"/>
            <w:vAlign w:val="bottom"/>
          </w:tcPr>
          <w:p>
            <w:pPr>
              <w:spacing w:after="0"/>
              <w:rPr>
                <w:sz w:val="10"/>
                <w:szCs w:val="10"/>
                <w:color w:val="auto"/>
              </w:rPr>
            </w:pPr>
          </w:p>
        </w:tc>
        <w:tc>
          <w:tcPr>
            <w:tcW w:w="1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r>
      <w:tr>
        <w:trPr>
          <w:trHeight w:val="171"/>
        </w:trPr>
        <w:tc>
          <w:tcPr>
            <w:tcW w:w="58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Beginning stores</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259</w:t>
            </w: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Q1 new stores</w:t>
            </w: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Q2 new stores</w:t>
            </w: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Q3 new stores</w:t>
            </w: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Ending stores</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259</w:t>
            </w:r>
          </w:p>
        </w:tc>
        <w:tc>
          <w:tcPr>
            <w:tcW w:w="9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Relocated stores</w:t>
            </w: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increased $632.4 million, or 18.3%, for the year-to-date 2020 compared to the year-to-date 2019 as a result of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sales of 16.1% and additional net sales generated by new locations. As of the end of the 2020 third quarter, we had a full benefit of a net six stores opened during the prior year-to-date. Collectively, these stores accounted for a net $73.6 million increase in net sales for the year-to-date 2020.</w:t>
      </w:r>
    </w:p>
    <w:p>
      <w:pPr>
        <w:spacing w:after="0" w:line="14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16.1% increase in comparable sales resulted from strong performances in the outdoors merchandise division and the sports and recreation merchandise division, partially offset by declines the apparel and footwear merchandise divisions, respectively. The effects of the COVID-19 pandemic during the year-to-date 2020 have caused significant increases in popularity of isolated recreation, outdoor and leisure activities that we believe have driven the increases in our outdoors and sports and recreation merchandise divisions. Likewise, we believe the decreases in our apparel and footwear merchandise divisions were predominately driven by a temporary but significant shift in customer behavior at the substantial beginning of the COVID-19 pandemic, which saw customers purchasing primarily isolated recreation, outdoor and leisure activity products in addition to “essential items.” The outdoors division increase was driven primarily by strong sales in firearms, ammunition, fishing, hunting and shooting sports products. The sports and recreation division sales increased as a result of various products such as fitness equipment and accessories, bikes, barbecues and grills, patio and watersports, trampolines, outdoor games and play sets. These increases were partially offset by declining sales in the team sports category. The apparel division decreased as a result of declines in licensed apparel resulting from the Astros World Series appearance in the prior year, outdoor apparel and seasonal apparel products, partially offset by increases in the athletic apparel products. The footwear division sales decreased due to declines in the team sports category and the work, casual and youth category, which were partially offset by an increase in athletic footwear. We believe that the substantial increase to e-commerce sales described below and the ongoing improvements to our business, such as enhancements to our merchandising planning and allocation capabilities that began in February 2019 and the launch of the Academy Credit Card in May 2019, together with our big-box store format and the implementation of a number of safety measures within our stores in response to the COVID-19 pandemic that helped facilitate our customers’ ability to obtain the products they sought in a safe manner, contributed to the increase in comparable sales this year-to-date.</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E-commerce net sales increased $270.1 million, or 208.6%, for the current year-to-date compared to the prior year-to-date and represented 9.8% of merchandise sales for the current year-to-date compared to 3.8% in the prior year-to-date. This increase was driven by a change in consumer shopping preferences and sales restrictions resulting from the COVID-19 pandemic. Additionally, enhancements to our e-commerce platform, including the introduction of BOPIS at the end of the 2019 second quarter and rapid development of curbside fulfillment to further support BOPIS in the year-to-date 2020 contributed to the increase in e-commerce sales.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$174.3 million, or 16.4%, to $1,235.0 million for the year-to-date 2020 from $1,060.6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year-to-date 2019. As a percentage of net sales, gross margin decreased 0.5% from 30.7% for the year-to-date 2019 to 30.2% in the year-to-date 2020. The decrease of 50 basis points in gross margin is primarily attributable to:</w:t>
      </w:r>
    </w:p>
    <w:p>
      <w:pPr>
        <w:spacing w:after="0" w:line="89"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43 basis points of unfavorability related to import freight as a result of increased duties on products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37 basis points of unfavorability as a result of decreased vendor allowances, including new store allowances; partially offset by</w:t>
      </w:r>
    </w:p>
    <w:p>
      <w:pPr>
        <w:spacing w:after="0" w:line="142" w:lineRule="exact"/>
        <w:rPr>
          <w:rFonts w:ascii="Arial" w:cs="Arial" w:eastAsia="Arial" w:hAnsi="Arial"/>
          <w:sz w:val="17"/>
          <w:szCs w:val="17"/>
          <w:color w:val="auto"/>
        </w:rPr>
      </w:pPr>
    </w:p>
    <w:p>
      <w:pPr>
        <w:ind w:left="1080" w:right="340" w:hanging="424"/>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30 basis points of favorability related to inventory overhead expenditures as a result of less expenses capitalized during the first half of 2020, which are primarily wage related, due to temporary workforce furloughs and wage cuts during the first half of 2020.</w:t>
      </w:r>
    </w:p>
    <w:p>
      <w:pPr>
        <w:spacing w:after="0" w:line="146"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SG&amp;A expenses increased $32.2 million, or 3.5%, to $955.6 million in the year-to-date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$923.4 million in the year-to-date 2019. As a percentage of net sales, SG&amp;A expenses were down 3.3% to 23.4% in the year-to-date 2020 compared to 26.7% in the year-to-date 2019. The decrease of 330 basis points in SG&amp;A is primarily attributable to:</w:t>
      </w:r>
    </w:p>
    <w:p>
      <w:pPr>
        <w:spacing w:after="0" w:line="71"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171 basis point decrease in property and facility fees as a result of leveraging costs on increased sales and decreased depreciation costs;</w:t>
      </w:r>
    </w:p>
    <w:p>
      <w:pPr>
        <w:spacing w:after="0" w:line="153"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96 basis point decrease in advertising due to favorable leveraging of costs on increased sales and reduced marketing and promotional activities; and</w:t>
      </w:r>
    </w:p>
    <w:p>
      <w:pPr>
        <w:spacing w:after="0" w:line="75"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78 basis point decrease in employee costs from leveraging costs on increased sales, partially offset by increased incentive compensation expense and incremental expenses resulting from the expensing of certain share-based awards in connection with the completion of the IPO.</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$6.7 million, or 8.7%, in the year-to-date 2020 when compared to the year-to-date 2019, primarily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a lower outstanding principal balance and interest rates on our 2015 Term Loan Facility from prior year and current year principal repurchases of $147.7 million and $23.9 million, respectively, partially offset by higher interest on our ABL Facility due to a higher average outstanding balance.</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Gain on early retirement of debt, net. </w:t>
      </w:r>
      <w:r>
        <w:rPr>
          <w:rFonts w:ascii="Arial" w:cs="Arial" w:eastAsia="Arial" w:hAnsi="Arial"/>
          <w:sz w:val="18"/>
          <w:szCs w:val="18"/>
          <w:color w:val="auto"/>
        </w:rPr>
        <w:t>Gain on early retirement of debt, net decreased $34.4 million, or 81.5%, to $7.8 million from $42.3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prior year-to-date. During the year-to-date 2020, we repurchased $23.9 million in principal on the 2015 Term Loan Facility, which was trading at a discount, in open market transactions for $16.0 million and recognized a net gain of $7.8 million. During the year-to-date 2019, we repurchased $147.7 million in principal on the 2015 Term Loan Facility, which was trading at a discount in open market transactions for $104.6 million and recognized a net gain of $42.3 million.</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decreased $1.1 million in the year-to-date 2020 when compared to the year-to-date 2019 caused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underlying cash flows related to $100.0 million of swap notional principal amount which were no longer probable of occurring and resulted in the immediate recognition of $1.3 million of expense.</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decreased $1.6 million to $0.3 million in the year-to-date 2020 as compared to $1.9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year-to-date 2019. As a result of the Reorganization Transactions, which occurred on October 1, 2020, we became subject to U.S. federal income taxes and are being taxed at the prevailing corporate rates. The increase in our federal income tax effective rate upon completion of the Reorganization Transactions was largely offset by a net tax benefit for the third quarter of 2020, which resulted from a pre-tax loss subsequent to the Reorganization Transactions caused by incremental costs, including equity compensation expense, in connection with the IPO and the termination of the Monitoring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(52 weeks) Compared to 2018 (52 weeks)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sets forth amounts and information derived from our consolidated statements of income for the periods indicated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vMerge w:val="restart"/>
          </w:tcPr>
          <w:p>
            <w:pPr>
              <w:ind w:left="20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Fiscal Year Ended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February 1, 2020</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February 2, 2019</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4,829,897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4,783,893</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w w:val="94"/>
              </w:rPr>
              <w:t>100.0%</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$ 46,004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3,398,743</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70.45%</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3,415,941</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71.4%</w:t>
            </w: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(17,198)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1,431,154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29.65%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1,367,952</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63,202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1,251,733</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25.95%</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1,239,002</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25.9%</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12,731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128,950</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50,471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101,307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108,652</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2.3%</w:t>
            </w: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(7,345)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(42,265)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(42,265)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(2,481)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(3,095)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614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23,393</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99,467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425.2%</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2,817</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1,951</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0.0%</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866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$ 98,601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459.8%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Percentages in table may not sum properly due to rounding.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4"/>
          </w:tcPr>
          <w:p>
            <w:pPr>
              <w:spacing w:after="0"/>
              <w:rPr>
                <w:sz w:val="20"/>
                <w:szCs w:val="20"/>
                <w:color w:val="auto"/>
              </w:rPr>
            </w:pPr>
            <w:r>
              <w:rPr>
                <w:rFonts w:ascii="Arial" w:cs="Arial" w:eastAsia="Arial" w:hAnsi="Arial"/>
                <w:sz w:val="18"/>
                <w:szCs w:val="18"/>
                <w:color w:val="auto"/>
              </w:rPr>
              <w:t>**   NM - Not meaningful</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40" w:type="dxa"/>
            <w:vAlign w:val="bottom"/>
            <w:gridSpan w:val="4"/>
          </w:tcPr>
          <w:p>
            <w:pPr>
              <w:spacing w:after="0"/>
              <w:rPr>
                <w:sz w:val="20"/>
                <w:szCs w:val="20"/>
                <w:color w:val="auto"/>
              </w:rPr>
            </w:pPr>
            <w:r>
              <w:rPr>
                <w:rFonts w:ascii="Arial" w:cs="Arial" w:eastAsia="Arial" w:hAnsi="Arial"/>
                <w:sz w:val="18"/>
                <w:szCs w:val="18"/>
                <w:color w:val="auto"/>
                <w:w w:val="93"/>
              </w:rPr>
              <w:t>The following table summarizes store activity for the periods indicated: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2,</w:t>
            </w:r>
          </w:p>
        </w:tc>
        <w:tc>
          <w:tcPr>
            <w:tcW w:w="64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Beginning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Q1 new stores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Q2 new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Q3 new stores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Q4 new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Closed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Ending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Relocated stores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Renovated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increased $46.0 million, or 1.0%, in 2019 over the prior year. The 1.0% increase was driven primarily by additional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by new locations, partially offset by a decline in comparable sales of 0.7%. As of the end of 2019, we operated a net six additional stores compared to the end of 2018, and we had the full benefit of nine stores opened during the prior year. These stores generated sales of $84.8 million, or 1.8% of net sales.</w:t>
      </w:r>
    </w:p>
    <w:p>
      <w:pPr>
        <w:spacing w:after="0" w:line="18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0.7% comparable sales decline was driven by a 6.3% decrease in comparable sales from the sports and recreation merchandise division and a 3.1% decrease in the outdoors merchandise division. Declines in each category within the sports and recreation merchandise division, which includes team sports/fitness and recreation, were partially driven by planned exits in product types (such as certain outdoor games and electronics) that did not fit within our future assortment strategies during 2019. The outdoors merchandise division decreased as a result of declines from camping and cooking sales during 2019, as well as lower demand for firearms and ammunition during the first and second quarter 2019. These decreases were largely offset by a comparable sales increase of 4.7% in apparel and 1.0% in footwear. The apparel merchandise division increased</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as a result of positive comparable sales across all categories, particularly in licensed apparel, outdoor and seasonal apparel, and athletic apparel. The increase in licensed apparel was largely attributable to sales from Major League Baseball, or MLB, which was driven by regional team playoff success. The footwear merchandise division comparable sales increased, which was the result of an increase in the work and casual footwear category, partially offset by a decrease in athletic footwear. Although we had an overall decrease in comparable sales in 2019, we had positive comparable sales in the back half of 2019. We believe that improvements to our business in the back half of 2019, such as improvements to our website and omnichannel capabilities, including the introduction of BOPIS in July 2019, continued enhancements to our merchandise planning and allocation capabilities, and the launch of the Academy Credit Card in May 2019 were key factors that saw the increase of comparable sales in the back half of 2019.</w:t>
      </w:r>
    </w:p>
    <w:p>
      <w:pPr>
        <w:spacing w:after="0" w:line="16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E-commerce sales increased $17.8 million, or 7.8%, in 2019 when compared to the prior year, and e-commerce sales represented 5.1% and 4.9% of merchandise sales for 2019 and 2018, respectively. This increase was driven by enhancements to our e-commerce platform, including the introduction of BOPIS at the end of the second quarter 2019, as well as changes in consumer shopping preferences.</w:t>
      </w:r>
    </w:p>
    <w:p>
      <w:pPr>
        <w:spacing w:after="0" w:line="161"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Gross Margin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Gross margin for 2019 increased $63.2 million, or 4.6%, when compared to 2018. Our gross margin, as a percentage of net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was 29.6% in 2019 compared to 28.6% in 2018, an increase of 100 basis points. This increase is primarily due to:</w:t>
      </w:r>
    </w:p>
    <w:p>
      <w:pPr>
        <w:spacing w:after="0" w:line="49" w:lineRule="exact"/>
        <w:rPr>
          <w:sz w:val="20"/>
          <w:szCs w:val="20"/>
          <w:color w:val="auto"/>
        </w:rPr>
      </w:pPr>
    </w:p>
    <w:p>
      <w:pPr>
        <w:ind w:left="1540" w:right="420" w:hanging="331"/>
        <w:spacing w:after="0" w:line="277"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78 basis points of favorability on merchandise margins from favorability in inventory valuation adjustments relative to the prior year;</w:t>
      </w:r>
    </w:p>
    <w:p>
      <w:pPr>
        <w:spacing w:after="0" w:line="75" w:lineRule="exact"/>
        <w:rPr>
          <w:rFonts w:ascii="Arial" w:cs="Arial" w:eastAsia="Arial" w:hAnsi="Arial"/>
          <w:sz w:val="18"/>
          <w:szCs w:val="18"/>
          <w:color w:val="auto"/>
        </w:rPr>
      </w:pPr>
    </w:p>
    <w:p>
      <w:pPr>
        <w:ind w:left="1540" w:right="480" w:hanging="331"/>
        <w:spacing w:after="0" w:line="277" w:lineRule="auto"/>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34 basis points of favorability in e-commerce shipping due to reduced shipping rates and an overall reduction in shipping costs resulting from to the 2019 deployment of BOPIS; partially offset by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24 basis points of unfavorability related to import freight as a result of increased duties during 2019.</w:t>
      </w:r>
    </w:p>
    <w:p>
      <w:pPr>
        <w:spacing w:after="0" w:line="221" w:lineRule="exact"/>
        <w:rPr>
          <w:sz w:val="20"/>
          <w:szCs w:val="20"/>
          <w:color w:val="auto"/>
        </w:rPr>
      </w:pPr>
    </w:p>
    <w:p>
      <w:pPr>
        <w:ind w:left="120" w:right="320" w:firstLine="440"/>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SG&amp;A expenses increased $12.7 million, or 1.0%, to $1,251.7 million in 2019 from</w:t>
      </w:r>
      <w:r>
        <w:rPr>
          <w:rFonts w:ascii="Arial" w:cs="Arial" w:eastAsia="Arial" w:hAnsi="Arial"/>
          <w:sz w:val="18"/>
          <w:szCs w:val="18"/>
          <w:b w:val="1"/>
          <w:bCs w:val="1"/>
          <w:color w:val="auto"/>
        </w:rPr>
        <w:t xml:space="preserve"> </w:t>
      </w:r>
      <w:r>
        <w:rPr>
          <w:rFonts w:ascii="Arial" w:cs="Arial" w:eastAsia="Arial" w:hAnsi="Arial"/>
          <w:sz w:val="18"/>
          <w:szCs w:val="18"/>
          <w:color w:val="auto"/>
        </w:rPr>
        <w:t>$1,239.0 million in 2018. As a percentage of net sales, SG&amp;A remained flat at 25.9% in 2019 compared to 2018. The notable changes within SG&amp;A were as follows:</w:t>
      </w:r>
    </w:p>
    <w:p>
      <w:pPr>
        <w:spacing w:after="0" w:line="85" w:lineRule="exact"/>
        <w:rPr>
          <w:sz w:val="20"/>
          <w:szCs w:val="20"/>
          <w:color w:val="auto"/>
        </w:rPr>
      </w:pPr>
    </w:p>
    <w:p>
      <w:pPr>
        <w:ind w:left="1540" w:right="460" w:hanging="331"/>
        <w:spacing w:after="0" w:line="277"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31 basis point increase in employee costs that are primarily driven by performance-based compensation and a net six new store openings since the end of the fourth quarter 2018; partially offset by a</w:t>
      </w:r>
    </w:p>
    <w:p>
      <w:pPr>
        <w:spacing w:after="0" w:line="75" w:lineRule="exact"/>
        <w:rPr>
          <w:rFonts w:ascii="Arial" w:cs="Arial" w:eastAsia="Arial" w:hAnsi="Arial"/>
          <w:sz w:val="18"/>
          <w:szCs w:val="18"/>
          <w:color w:val="auto"/>
        </w:rPr>
      </w:pPr>
    </w:p>
    <w:p>
      <w:pPr>
        <w:ind w:left="1540" w:right="380" w:hanging="331"/>
        <w:spacing w:after="0" w:line="277"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27 basis point decrease in property and facility expense primarily as a result of prior year implementation expenditures from our profitability and growth initiatives related to energy savings.</w:t>
      </w:r>
    </w:p>
    <w:p>
      <w:pPr>
        <w:spacing w:after="0" w:line="166" w:lineRule="exact"/>
        <w:rPr>
          <w:sz w:val="20"/>
          <w:szCs w:val="20"/>
          <w:color w:val="auto"/>
        </w:rPr>
      </w:pPr>
    </w:p>
    <w:p>
      <w:pPr>
        <w:ind w:left="120" w:right="260" w:firstLine="440"/>
        <w:spacing w:after="0" w:line="312" w:lineRule="auto"/>
        <w:rPr>
          <w:sz w:val="20"/>
          <w:szCs w:val="20"/>
          <w:color w:val="auto"/>
        </w:rPr>
      </w:pPr>
      <w:r>
        <w:rPr>
          <w:rFonts w:ascii="Arial" w:cs="Arial" w:eastAsia="Arial" w:hAnsi="Arial"/>
          <w:sz w:val="17"/>
          <w:szCs w:val="17"/>
          <w:b w:val="1"/>
          <w:bCs w:val="1"/>
          <w:color w:val="auto"/>
        </w:rPr>
        <w:t>Interest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expense decreased $7.3 million, or 6.8%, to $101.3 million in 2019 from $108.7 million in 2018, resulting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from a lower outstanding balance on our 2015 Term Loan Facility due to the principal repurchases of $147.7 million during 2019.</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(52 weeks) Compared to 2017 (53 weeks)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When a 52-week fiscal year follows a 53-week fiscal year, the comparable sales calculation is based on the prior fiscal year’s sales shifted forward one week, as we believe this best approximates current trends in our business.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Fiscal Period</w:t>
            </w:r>
          </w:p>
        </w:tc>
        <w:tc>
          <w:tcPr>
            <w:tcW w:w="2060" w:type="dxa"/>
            <w:vAlign w:val="bottom"/>
          </w:tcPr>
          <w:p>
            <w:pPr>
              <w:spacing w:after="0"/>
              <w:rPr>
                <w:sz w:val="14"/>
                <w:szCs w:val="14"/>
                <w:color w:val="auto"/>
              </w:rPr>
            </w:pPr>
          </w:p>
        </w:tc>
        <w:tc>
          <w:tcPr>
            <w:tcW w:w="17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85"/>
              </w:rPr>
              <w:t>Basis</w:t>
            </w:r>
          </w:p>
        </w:tc>
        <w:tc>
          <w:tcPr>
            <w:tcW w:w="2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9"/>
              </w:rPr>
              <w:t>Current Year</w:t>
            </w:r>
          </w:p>
        </w:tc>
        <w:tc>
          <w:tcPr>
            <w:tcW w:w="2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Prior Year Comparable</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Comparable</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20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62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3"/>
              </w:rPr>
              <w:t>Comparable Period</w:t>
            </w:r>
          </w:p>
        </w:tc>
        <w:tc>
          <w:tcPr>
            <w:tcW w:w="262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1"/>
              </w:rPr>
              <w:t>Period</w:t>
            </w:r>
          </w:p>
        </w:tc>
        <w:tc>
          <w:tcPr>
            <w:tcW w:w="11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89"/>
        </w:trPr>
        <w:tc>
          <w:tcPr>
            <w:tcW w:w="800" w:type="dxa"/>
            <w:vAlign w:val="bottom"/>
            <w:tcBorders>
              <w:top w:val="single" w:sz="8" w:color="CCEEFF"/>
            </w:tcBorders>
            <w:shd w:val="clear" w:color="auto" w:fill="CCEEFF"/>
          </w:tcPr>
          <w:p>
            <w:pPr>
              <w:jc w:val="right"/>
              <w:ind w:right="176"/>
              <w:spacing w:after="0" w:line="189" w:lineRule="exact"/>
              <w:rPr>
                <w:sz w:val="20"/>
                <w:szCs w:val="20"/>
                <w:color w:val="auto"/>
              </w:rPr>
            </w:pPr>
            <w:r>
              <w:rPr>
                <w:rFonts w:ascii="Arial" w:cs="Arial" w:eastAsia="Arial" w:hAnsi="Arial"/>
                <w:sz w:val="18"/>
                <w:szCs w:val="18"/>
                <w:color w:val="auto"/>
              </w:rPr>
              <w:t>2018</w:t>
            </w:r>
          </w:p>
        </w:tc>
        <w:tc>
          <w:tcPr>
            <w:tcW w:w="20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Comparable</w:t>
            </w:r>
          </w:p>
        </w:tc>
        <w:tc>
          <w:tcPr>
            <w:tcW w:w="7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Fifty-two weeks ended</w:t>
            </w:r>
          </w:p>
        </w:tc>
        <w:tc>
          <w:tcPr>
            <w:tcW w:w="7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Fifty-two weeks ended</w:t>
            </w:r>
          </w:p>
        </w:tc>
        <w:tc>
          <w:tcPr>
            <w:tcW w:w="7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0"/>
              </w:rPr>
              <w:t>sales</w:t>
            </w:r>
          </w:p>
        </w:tc>
        <w:tc>
          <w:tcPr>
            <w:tcW w:w="2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0"/>
              </w:rPr>
              <w:t>February 2, 2019</w:t>
            </w:r>
          </w:p>
        </w:tc>
        <w:tc>
          <w:tcPr>
            <w:tcW w:w="2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0"/>
              </w:rPr>
              <w:t>February 3, 2018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800" w:type="dxa"/>
            <w:vAlign w:val="bottom"/>
          </w:tcPr>
          <w:p>
            <w:pPr>
              <w:jc w:val="right"/>
              <w:ind w:right="176"/>
              <w:spacing w:after="0" w:line="201" w:lineRule="exact"/>
              <w:rPr>
                <w:sz w:val="20"/>
                <w:szCs w:val="20"/>
                <w:color w:val="auto"/>
              </w:rPr>
            </w:pPr>
            <w:r>
              <w:rPr>
                <w:rFonts w:ascii="Arial" w:cs="Arial" w:eastAsia="Arial" w:hAnsi="Arial"/>
                <w:sz w:val="18"/>
                <w:szCs w:val="18"/>
                <w:color w:val="auto"/>
              </w:rPr>
              <w:t>2017</w:t>
            </w:r>
          </w:p>
        </w:tc>
        <w:tc>
          <w:tcPr>
            <w:tcW w:w="2060" w:type="dxa"/>
            <w:vAlign w:val="bottom"/>
          </w:tcPr>
          <w:p>
            <w:pPr>
              <w:spacing w:after="0"/>
              <w:rPr>
                <w:sz w:val="17"/>
                <w:szCs w:val="17"/>
                <w:color w:val="auto"/>
              </w:rPr>
            </w:pPr>
          </w:p>
        </w:tc>
        <w:tc>
          <w:tcPr>
            <w:tcW w:w="176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w w:val="89"/>
              </w:rPr>
              <w:t>Comparable</w:t>
            </w:r>
          </w:p>
        </w:tc>
        <w:tc>
          <w:tcPr>
            <w:tcW w:w="262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1"/>
              </w:rPr>
              <w:t>Fifty-two weeks ended</w:t>
            </w:r>
          </w:p>
        </w:tc>
        <w:tc>
          <w:tcPr>
            <w:tcW w:w="262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1"/>
              </w:rPr>
              <w:t>Fifty-two weeks ended</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8"/>
                <w:szCs w:val="18"/>
                <w:color w:val="auto"/>
                <w:w w:val="80"/>
              </w:rPr>
              <w:t>sales</w:t>
            </w:r>
          </w:p>
        </w:tc>
        <w:tc>
          <w:tcPr>
            <w:tcW w:w="2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January 27, 2018</w:t>
            </w:r>
          </w:p>
        </w:tc>
        <w:tc>
          <w:tcPr>
            <w:tcW w:w="2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January 28, 2017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jc w:val="right"/>
              <w:ind w:right="775"/>
              <w:spacing w:after="0"/>
              <w:rPr>
                <w:sz w:val="20"/>
                <w:szCs w:val="20"/>
                <w:color w:val="auto"/>
              </w:rPr>
            </w:pPr>
            <w:r>
              <w:rPr>
                <w:rFonts w:ascii="Arial" w:cs="Arial" w:eastAsia="Arial" w:hAnsi="Arial"/>
                <w:sz w:val="18"/>
                <w:szCs w:val="18"/>
                <w:color w:val="auto"/>
              </w:rPr>
              <w:t>75</w:t>
            </w: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sets forth amounts and information derived from our consolidated statements of income for the periods indicated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Fiscal Year Ended</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February 3, 2018</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4,783,893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100.0%</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4,835,582</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w w:val="94"/>
              </w:rPr>
              <w:t>100.0%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$(51,689)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3,415,941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3,436,618</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71.1%</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(20,677)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1,367,952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1,398,964</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(31,012)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1,239,002</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1,241,643</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25.7%</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(2,641)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157,321</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(28,371)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108,652</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104,857</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2.2%</w:t>
            </w:r>
          </w:p>
        </w:tc>
        <w:tc>
          <w:tcPr>
            <w:tcW w:w="1180" w:type="dxa"/>
            <w:vAlign w:val="bottom"/>
            <w:gridSpan w:val="4"/>
          </w:tcPr>
          <w:p>
            <w:pPr>
              <w:jc w:val="right"/>
              <w:ind w:right="300"/>
              <w:spacing w:after="0"/>
              <w:rPr>
                <w:sz w:val="20"/>
                <w:szCs w:val="20"/>
                <w:color w:val="auto"/>
              </w:rPr>
            </w:pPr>
            <w:r>
              <w:rPr>
                <w:rFonts w:ascii="Arial" w:cs="Arial" w:eastAsia="Arial" w:hAnsi="Arial"/>
                <w:sz w:val="18"/>
                <w:szCs w:val="18"/>
                <w:color w:val="auto"/>
              </w:rPr>
              <w:t>3,795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(6,294)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1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6,294</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(3,095)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(2,524)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(571)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61,282</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(37,889)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2,781</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0.1%</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(830)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58,501</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4900" w:type="dxa"/>
            <w:vAlign w:val="bottom"/>
            <w:gridSpan w:val="3"/>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Percentages in table may not sum properly due to rounding.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NM - Not meaningful</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7"/>
          </w:tcPr>
          <w:p>
            <w:pPr>
              <w:ind w:left="440"/>
              <w:spacing w:after="0"/>
              <w:rPr>
                <w:sz w:val="20"/>
                <w:szCs w:val="20"/>
                <w:color w:val="auto"/>
              </w:rPr>
            </w:pPr>
            <w:r>
              <w:rPr>
                <w:rFonts w:ascii="Arial" w:cs="Arial" w:eastAsia="Arial" w:hAnsi="Arial"/>
                <w:sz w:val="18"/>
                <w:szCs w:val="18"/>
                <w:color w:val="auto"/>
              </w:rPr>
              <w:t>The following table summarizes store activity for the periods indicated: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60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Beginning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Q1 new stores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Q2 new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Q3 new stores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Q4 new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Closed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Ending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vMerge w:val="restart"/>
          </w:tcPr>
          <w:p>
            <w:pPr>
              <w:spacing w:after="0"/>
              <w:rPr>
                <w:sz w:val="20"/>
                <w:szCs w:val="20"/>
                <w:color w:val="auto"/>
              </w:rPr>
            </w:pPr>
            <w:r>
              <w:rPr>
                <w:rFonts w:ascii="Arial" w:cs="Arial" w:eastAsia="Arial" w:hAnsi="Arial"/>
                <w:sz w:val="18"/>
                <w:szCs w:val="18"/>
                <w:color w:val="auto"/>
              </w:rPr>
              <w:t>Relocated stores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Renovated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60" w:firstLine="440"/>
        <w:spacing w:after="0" w:line="261"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decreased $51.7 million, or 1.1%, in 2018 over the prior year. The 1.1% decrease was driven primarily by a decline in</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sales of 2.5% and higher sales in 2017 from the 53rd week of $60.6 million. As of the end of 2018, we operated nine additional stores compared to the end of 2017 and we had the full benefit of 16 stores opened during the prior year. These stores generated sales of $134.9 million, or 2.8% of net sales.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disclosure has been updated to reflect the new merchandise division category and product reclassification completed in 2019. See “Business.”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2.5% comparable sales decline in 2018 was driven by a comparable sales decrease of 5.4% in the sports and recreation merchandise division and a 4.1% decrease in the outdoors merchandise division. The outdoors merchandise division experienced a decline in 2018 from the market saturation of specialized drinkware and related coolers, as well as market softness in firearms and ammunition. Also contributing to the decline in the outdoors merchandise division in 2018 was our planned assortment reduction in the camping category. The decline in the sports and recreation merchandise division in 2018 was caused by declines in both the team sports/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57" w:lineRule="auto"/>
        <w:rPr>
          <w:sz w:val="20"/>
          <w:szCs w:val="20"/>
          <w:color w:val="auto"/>
        </w:rPr>
      </w:pPr>
      <w:r>
        <w:rPr>
          <w:rFonts w:ascii="Arial" w:cs="Arial" w:eastAsia="Arial" w:hAnsi="Arial"/>
          <w:sz w:val="18"/>
          <w:szCs w:val="18"/>
          <w:color w:val="auto"/>
        </w:rPr>
        <w:t>fitness and recreation categories. Both the apparel and footwear merchandise divisions comparable sales were relatively flat compared to the prior year with a decrease of 0.4% and an increase of 0.1%, respectively. Within the apparel merchandise division, licensed apparel decreased as we benefited in the prior year on MLB licensed apparel due to team playoff success within our footprint that was partially offset by an increase in outdoor and seasonal apparel. Within the footwear merchandise division, the increase was driven by an increase in work and casual footwear, partially offset by a decrease in athletic footwear.</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E-commerce sales increased $40.5 million, or 21.2%, in 2018 when compared to the prior year, and e-commerce sales represented 4.9% and 4.0% of merchandise sales for 2018 and 2017, respectively. This increase was driven by changes in consumer shopping preferences, investments in digital advertising and increased promotional activity.</w:t>
      </w:r>
    </w:p>
    <w:p>
      <w:pPr>
        <w:spacing w:after="0" w:line="180" w:lineRule="exact"/>
        <w:rPr>
          <w:sz w:val="20"/>
          <w:szCs w:val="20"/>
          <w:color w:val="auto"/>
        </w:rPr>
      </w:pPr>
    </w:p>
    <w:p>
      <w:pPr>
        <w:ind w:left="120" w:right="40" w:firstLine="440"/>
        <w:spacing w:after="0" w:line="312" w:lineRule="auto"/>
        <w:rPr>
          <w:sz w:val="20"/>
          <w:szCs w:val="20"/>
          <w:color w:val="auto"/>
        </w:rPr>
      </w:pPr>
      <w:r>
        <w:rPr>
          <w:rFonts w:ascii="Arial" w:cs="Arial" w:eastAsia="Arial" w:hAnsi="Arial"/>
          <w:sz w:val="17"/>
          <w:szCs w:val="17"/>
          <w:b w:val="1"/>
          <w:bCs w:val="1"/>
          <w:color w:val="auto"/>
        </w:rPr>
        <w:t>Gross Margin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Gross margin for 2018 decreased $31.0 million, or 2.2%, when compared to 2017. Our gross margin, as a percentage of net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was 28.6% in 2018 compared to 28.9% in 2017, a decrease of 30 basis points. This decrease is primarily due to:</w:t>
      </w:r>
    </w:p>
    <w:p>
      <w:pPr>
        <w:spacing w:after="0" w:line="49" w:lineRule="exact"/>
        <w:rPr>
          <w:sz w:val="20"/>
          <w:szCs w:val="20"/>
          <w:color w:val="auto"/>
        </w:rPr>
      </w:pPr>
    </w:p>
    <w:p>
      <w:pPr>
        <w:ind w:left="1540" w:right="440" w:hanging="331"/>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33 basis points of unfavorability related to higher inventory overhead expense due to the prior year benefiting from substantial inventory purchases that lowered the inventory turnover rate and resultant overhead expensed;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21 basis points of unfavorability on freight due to increased domestic and international freight pricing and duties;</w:t>
      </w:r>
    </w:p>
    <w:p>
      <w:pPr>
        <w:spacing w:after="0" w:line="130"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15 basis points of unfavorability on merchandise margins due to increased clearance and promotional activities, coupled with the growth of e-commerce sales; and partially offset by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34 basis points of favorability due to decreased inventory shrinkage.</w:t>
      </w:r>
    </w:p>
    <w:p>
      <w:pPr>
        <w:spacing w:after="0" w:line="221" w:lineRule="exact"/>
        <w:rPr>
          <w:sz w:val="20"/>
          <w:szCs w:val="20"/>
          <w:color w:val="auto"/>
        </w:rPr>
      </w:pPr>
    </w:p>
    <w:p>
      <w:pPr>
        <w:ind w:left="120" w:right="440" w:firstLine="440"/>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SG&amp;A expenses decreased $2.6 million, or 0.2%, to $1,239.0 million in 2018 from</w:t>
      </w:r>
      <w:r>
        <w:rPr>
          <w:rFonts w:ascii="Arial" w:cs="Arial" w:eastAsia="Arial" w:hAnsi="Arial"/>
          <w:sz w:val="18"/>
          <w:szCs w:val="18"/>
          <w:b w:val="1"/>
          <w:bCs w:val="1"/>
          <w:color w:val="auto"/>
        </w:rPr>
        <w:t xml:space="preserve"> </w:t>
      </w:r>
      <w:r>
        <w:rPr>
          <w:rFonts w:ascii="Arial" w:cs="Arial" w:eastAsia="Arial" w:hAnsi="Arial"/>
          <w:sz w:val="18"/>
          <w:szCs w:val="18"/>
          <w:color w:val="auto"/>
        </w:rPr>
        <w:t>$1,241.6 million in 2017. As a percentage of net sales, SG&amp;A was 25.9% in 2018 compared to 25.7% in 2017. SG&amp;A as a percentage of net sales increased 20 basis points primarily driven by:</w:t>
      </w:r>
    </w:p>
    <w:p>
      <w:pPr>
        <w:spacing w:after="0" w:line="85" w:lineRule="exact"/>
        <w:rPr>
          <w:sz w:val="20"/>
          <w:szCs w:val="20"/>
          <w:color w:val="auto"/>
        </w:rPr>
      </w:pPr>
    </w:p>
    <w:p>
      <w:pPr>
        <w:ind w:left="1540" w:right="340" w:hanging="331"/>
        <w:spacing w:after="0" w:line="277"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39 basis point increase in property and facility expense due to operating nine additional stores since the end of 2017 and the full impact of 16 stores opened during 2017; and partially offset by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18 basis point decrease in professional fees related to our 2017 profitability and growth initiatives.</w:t>
      </w:r>
    </w:p>
    <w:p>
      <w:pPr>
        <w:spacing w:after="0" w:line="221" w:lineRule="exact"/>
        <w:rPr>
          <w:sz w:val="20"/>
          <w:szCs w:val="20"/>
          <w:color w:val="auto"/>
        </w:rPr>
      </w:pPr>
    </w:p>
    <w:p>
      <w:pPr>
        <w:jc w:val="both"/>
        <w:ind w:left="120" w:right="200" w:firstLine="440"/>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increased $3.8 million, or 3.6%, to $108.7 million in 2018 from $104.9 million in 2017, resulting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from rising interest rates on our 2015 Term Loan Facility, which was partially offset by more favorable positions on our interest rate swaps relative to 2017.</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Adjusted comparable sales</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w:t>
      </w:r>
    </w:p>
    <w:p>
      <w:pPr>
        <w:spacing w:after="0" w:line="184"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reconciliation of our comparable sales to our adjusted comparable sales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Fiscal Year Ended</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Thirty-Nine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Weeks Ended</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February 1,</w:t>
            </w:r>
          </w:p>
        </w:tc>
        <w:tc>
          <w:tcPr>
            <w:tcW w:w="3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February 2,</w:t>
            </w: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70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Additional sales associated with Houston Astros</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World Series appearances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(0.8)%</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sales of a product driven by free</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shipping promotion</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Sales from the exited product categories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Adjusted comparable sales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(6.1)%</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16.1 %</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Adjusted EBITDA, Adjusted Net Income (Loss), Pro Forma Adjusted Net Income (Loss), Pro Forma Adjusted Earnings per Share and Adjusted Free Cash Flow</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less the retrospective tax effect of Adjusted Net Income (Loss)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16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Adjusted EBITDA, Adjusted Net Income (Loss), Pro Forma Adjusted Net Income (Loss), Pro Forma Adjusted Earnings per Share and Adjusted Free Cash Flow have been presented in this prospectus as supplemental measures of financial performance that are not required by, or presented in accordance with, GAAP. We believe Adjusted EBITDA, Adjusted Net Income (Loss), Pro Forma Adjusted Net Income (Loss)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(Loss), Pro Forma Adjusted Net Income (Loss)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Pro Forma Adjusted Net Income (Loss) and Pro Forma Adjusted Earnings per Share should not be construed to imply that our future results will be unaffected by unusual or non-recurring items. In evaluating Adjusted EBITDA, Adjusted Net Income (Loss), Pro Forma Adjusted Net Income (Loss), Pro Forma Adjusted Earnings per Share and Adjusted Free Cash Flow, you should be aware that in the future we may incur expenses that are the same as or similar to some of the adjustments in this presentation. Our presentation of Adjusted EBITDA, Adjusted Net Income (Loss), Pro Forma Adjusted Net Income (Loss), Pro Forma Adjusted Earnings per Share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Pro Forma Adjusted Earnings per Share and Adjusted Free Cash Flow supplementally.</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Adjusted EBITDA, Adjusted Net Income (Loss), Pro Forma Adjusted Net Income (Loss),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89" w:lineRule="exact"/>
        <w:rPr>
          <w:sz w:val="20"/>
          <w:szCs w:val="20"/>
          <w:color w:val="auto"/>
        </w:rPr>
      </w:pPr>
    </w:p>
    <w:p>
      <w:pPr>
        <w:ind w:left="1080" w:right="1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costs or cash outlays for capital expenditures or contractual commitments;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changes in, or cash requirements for, our working capital needs;</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Adjusted EBITDA does not reflect period to period changes in taxes, income tax expense or the cash necessary to pay income taxes;</w:t>
      </w:r>
    </w:p>
    <w:p>
      <w:pPr>
        <w:spacing w:after="0" w:line="142" w:lineRule="exact"/>
        <w:rPr>
          <w:rFonts w:ascii="Arial" w:cs="Arial" w:eastAsia="Arial" w:hAnsi="Arial"/>
          <w:sz w:val="17"/>
          <w:szCs w:val="17"/>
          <w:color w:val="auto"/>
        </w:rPr>
      </w:pPr>
    </w:p>
    <w:p>
      <w:pPr>
        <w:ind w:left="1080" w:right="16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Adjusted EBITDA, Adjusted Net Income (Loss), Pro Forma Adjusted Net Income (Loss) and Pro Forma Adjusted Earnings per Share do not reflect the impact of earnings or charges resulting from matters we consider not to be indicative of our ongoing operations;</w:t>
      </w:r>
    </w:p>
    <w:p>
      <w:pPr>
        <w:spacing w:after="0" w:line="29" w:lineRule="exact"/>
        <w:rPr>
          <w:rFonts w:ascii="Arial" w:cs="Arial" w:eastAsia="Arial" w:hAnsi="Arial"/>
          <w:sz w:val="16"/>
          <w:szCs w:val="16"/>
          <w:color w:val="auto"/>
        </w:rPr>
      </w:pPr>
    </w:p>
    <w:p>
      <w:pPr>
        <w:ind w:left="1080" w:right="14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24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Because of these limitations, Adjusted EBITDA, Adjusted Net Income (Loss), Pro Forma Adjusted Net Income (Loss), Pro Forma Adjusted Earnings per Share and Adjusted Free Cash Flow should not be considered as measures of discretionary cash available to invest in business growth or to reduce indebtedness.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tables provide reconciliations of net income (loss) to Adjusted EBITDA, Adjusted Net Income (Loss), Pro Forma Adjusted Net Income (Loss) and Pro Forma Adjusted Earnings per Share for the periods presented: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2,</w:t>
            </w: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3,</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2"/>
              <w:spacing w:after="0" w:line="123" w:lineRule="exact"/>
              <w:rPr>
                <w:sz w:val="20"/>
                <w:szCs w:val="20"/>
                <w:color w:val="auto"/>
              </w:rPr>
            </w:pPr>
            <w:r>
              <w:rPr>
                <w:rFonts w:ascii="Arial" w:cs="Arial" w:eastAsia="Arial" w:hAnsi="Arial"/>
                <w:sz w:val="14"/>
                <w:szCs w:val="14"/>
                <w:b w:val="1"/>
                <w:bCs w:val="1"/>
                <w:color w:val="auto"/>
                <w:w w:val="84"/>
              </w:rPr>
              <w:t>52 weeks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52 weeks</w:t>
            </w:r>
          </w:p>
        </w:tc>
        <w:tc>
          <w:tcPr>
            <w:tcW w:w="40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7"/>
              </w:rPr>
              <w:t>53 weeks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39 weeks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2"/>
              <w:spacing w:after="0" w:line="123" w:lineRule="exact"/>
              <w:rPr>
                <w:sz w:val="20"/>
                <w:szCs w:val="20"/>
                <w:color w:val="auto"/>
              </w:rPr>
            </w:pPr>
            <w:r>
              <w:rPr>
                <w:rFonts w:ascii="Arial" w:cs="Arial" w:eastAsia="Arial" w:hAnsi="Arial"/>
                <w:sz w:val="14"/>
                <w:szCs w:val="14"/>
                <w:b w:val="1"/>
                <w:bCs w:val="1"/>
                <w:color w:val="auto"/>
                <w:w w:val="87"/>
              </w:rPr>
              <w:t>39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$ 120,043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58,501</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$ 217,242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expense,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101,307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108,652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104,857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70,487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2,817</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117,254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134,190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135,680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79,718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88,693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 (a)</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Adviser monitoring fee (b)</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3,522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14,793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Gain on early extinguishment of debt,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(42,265)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(6,294)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Severance and executive transition costs (d)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4,350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Costs related to the COVID-19 pandemic (e)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merchandising initiative (f)</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18,225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(g)</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7,111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(10,144)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$ 322,814</w:t>
            </w:r>
          </w:p>
        </w:tc>
        <w:tc>
          <w:tcPr>
            <w:tcW w:w="14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$ 300,259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$ 315,420</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$ 428,640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245,596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Fiscal Year Ended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2,</w:t>
            </w: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3,</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2"/>
              <w:spacing w:after="0" w:line="123" w:lineRule="exact"/>
              <w:rPr>
                <w:sz w:val="20"/>
                <w:szCs w:val="20"/>
                <w:color w:val="auto"/>
              </w:rPr>
            </w:pPr>
            <w:r>
              <w:rPr>
                <w:rFonts w:ascii="Arial" w:cs="Arial" w:eastAsia="Arial" w:hAnsi="Arial"/>
                <w:sz w:val="14"/>
                <w:szCs w:val="14"/>
                <w:b w:val="1"/>
                <w:bCs w:val="1"/>
                <w:color w:val="auto"/>
                <w:w w:val="84"/>
              </w:rPr>
              <w:t>52 weeks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7"/>
              </w:rPr>
              <w:t>52 weeks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7"/>
              </w:rPr>
              <w:t>53 weeks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39 weeks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2"/>
              <w:spacing w:after="0" w:line="123" w:lineRule="exact"/>
              <w:rPr>
                <w:sz w:val="20"/>
                <w:szCs w:val="20"/>
                <w:color w:val="auto"/>
              </w:rPr>
            </w:pPr>
            <w:r>
              <w:rPr>
                <w:rFonts w:ascii="Arial" w:cs="Arial" w:eastAsia="Arial" w:hAnsi="Arial"/>
                <w:sz w:val="14"/>
                <w:szCs w:val="14"/>
                <w:b w:val="1"/>
                <w:bCs w:val="1"/>
                <w:color w:val="auto"/>
                <w:w w:val="87"/>
              </w:rPr>
              <w:t>39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$ 120,043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58,501</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$ 217,242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Consulting fees (a)</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Adviser monitoring fee (b)</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3,636</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14,793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Equity compensation (c)</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7,881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27,049</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(42,265)</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Severance and executive transition costs (d)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7,409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the COVID-19 pandemic (e)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merchandising initiative (f)</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18,225</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4,400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(g)</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effects of these adjustments (h)</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Net Income</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$ 101,469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55,405</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72,078</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$ 278,001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77,862</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Estimated tax effect of change to C-Corporation status (i)</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(25,542)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(14,067)</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(18,346)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(69,410)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(19,535)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Adjusted Net Income</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53,732</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$ 208,591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Pro Forma Adjusted Earnings per Share: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83,013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73,908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85,332</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77,171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540" w:right="2380" w:hanging="5424"/>
        <w:spacing w:after="0" w:line="449" w:lineRule="auto"/>
        <w:tabs>
          <w:tab w:leader="none" w:pos="5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 80</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258"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our contractual payments under our Monitoring Agreement with the Adviser, which was terminated in connection with the IPO. See “Certain Relationships and Related Party Transactions—Monitoring Agreement.”</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9"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inventory write-down adjustments in connection with our new merchandising strategy adopted as part of our strategic transformation, including exiting certain categories of products.</w:t>
      </w:r>
    </w:p>
    <w:p>
      <w:pPr>
        <w:ind w:left="540" w:right="10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made to arrive at Adjusted Net Income (Loss) at our historical tax rate.</w:t>
      </w:r>
    </w:p>
    <w:p>
      <w:pPr>
        <w:spacing w:after="0" w:line="9" w:lineRule="exact"/>
        <w:rPr>
          <w:rFonts w:ascii="Arial" w:cs="Arial" w:eastAsia="Arial" w:hAnsi="Arial"/>
          <w:sz w:val="18"/>
          <w:szCs w:val="18"/>
          <w:color w:val="auto"/>
        </w:rPr>
      </w:pPr>
    </w:p>
    <w:p>
      <w:pPr>
        <w:ind w:left="540" w:right="340" w:hanging="424"/>
        <w:spacing w:after="0" w:line="290"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the retrospective tax effect of Adjusted Net Income (Loss) at our estimated effective tax rate of 25% for periods prior to October 1, 2020, the effective date of our conversion to a C-Corporation, upon which we became subject to federal income taxes.</w:t>
      </w:r>
    </w:p>
    <w:p>
      <w:pPr>
        <w:spacing w:after="0" w:line="161"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6"/>
          <w:szCs w:val="16"/>
          <w:color w:val="auto"/>
        </w:rPr>
        <w:t>The following table provides a reconciliation of net cash provided by operating activities to Adjusted Free Cash Flow for the periods presented:</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Thirty-Nine Weeks</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Ended</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Pr>
          <w:p>
            <w:pPr>
              <w:spacing w:after="0"/>
              <w:rPr>
                <w:sz w:val="10"/>
                <w:szCs w:val="10"/>
                <w:color w:val="auto"/>
              </w:rPr>
            </w:pPr>
          </w:p>
        </w:tc>
        <w:tc>
          <w:tcPr>
            <w:tcW w:w="106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February 3,</w:t>
            </w:r>
          </w:p>
        </w:tc>
        <w:tc>
          <w:tcPr>
            <w:tcW w:w="440" w:type="dxa"/>
            <w:vAlign w:val="bottom"/>
          </w:tcPr>
          <w:p>
            <w:pPr>
              <w:spacing w:after="0"/>
              <w:rPr>
                <w:sz w:val="10"/>
                <w:szCs w:val="10"/>
                <w:color w:val="auto"/>
              </w:rPr>
            </w:pPr>
          </w:p>
        </w:tc>
        <w:tc>
          <w:tcPr>
            <w:tcW w:w="1160" w:type="dxa"/>
            <w:vAlign w:val="bottom"/>
            <w:gridSpan w:val="2"/>
          </w:tcPr>
          <w:p>
            <w:pPr>
              <w:jc w:val="center"/>
              <w:ind w:right="368"/>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1580" w:type="dxa"/>
            <w:vAlign w:val="bottom"/>
            <w:gridSpan w:val="2"/>
          </w:tcPr>
          <w:p>
            <w:pPr>
              <w:jc w:val="center"/>
              <w:ind w:left="775"/>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0"/>
              </w:rPr>
              <w:t>52 weeks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b w:val="1"/>
                <w:bCs w:val="1"/>
                <w:color w:val="auto"/>
                <w:w w:val="87"/>
              </w:rPr>
              <w:t>52 weeks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0"/>
              </w:rPr>
              <w:t>53 weeks</w:t>
            </w:r>
          </w:p>
        </w:tc>
        <w:tc>
          <w:tcPr>
            <w:tcW w:w="44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7"/>
              </w:rPr>
              <w:t>39 weeks</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b w:val="1"/>
                <w:bCs w:val="1"/>
                <w:color w:val="auto"/>
                <w:w w:val="87"/>
              </w:rPr>
              <w:t>39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$ 263,669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198,481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83,355</w:t>
            </w:r>
          </w:p>
        </w:tc>
        <w:tc>
          <w:tcPr>
            <w:tcW w:w="11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87"/>
              </w:rPr>
              <w:t>$ 857,218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94,756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(99,027)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(115,901)</w:t>
            </w: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(52,579)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Free Cash Flow</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$ 196,886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99,454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(32,546)</w:t>
            </w:r>
          </w:p>
        </w:tc>
        <w:tc>
          <w:tcPr>
            <w:tcW w:w="11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87"/>
              </w:rPr>
              <w:t>$ 843,428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580" w:type="dxa"/>
            <w:vAlign w:val="bottom"/>
            <w:gridSpan w:val="2"/>
          </w:tcPr>
          <w:p>
            <w:pPr>
              <w:jc w:val="right"/>
              <w:ind w:right="524"/>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 following table sets forth our historical quarterly results of operations as well as certain key metrics for each of our most recent nine fiscal quarters. This information should be read in conjunction with the audited consolidated financial statements and related notes thereto and unaudited condensed consolidated financial statements and related notes thereto, each included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89"/>
              </w:rPr>
              <w:t>Thirteen Weeks Ended</w:t>
            </w:r>
          </w:p>
        </w:tc>
        <w:tc>
          <w:tcPr>
            <w:tcW w:w="5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60" w:type="dxa"/>
            <w:vAlign w:val="bottom"/>
            <w:vMerge w:val="restart"/>
          </w:tcPr>
          <w:p>
            <w:pPr>
              <w:spacing w:after="0"/>
              <w:rPr>
                <w:sz w:val="20"/>
                <w:szCs w:val="20"/>
                <w:color w:val="auto"/>
              </w:rPr>
            </w:pPr>
            <w:r>
              <w:rPr>
                <w:rFonts w:ascii="Arial" w:cs="Arial" w:eastAsia="Arial" w:hAnsi="Arial"/>
                <w:sz w:val="13"/>
                <w:szCs w:val="13"/>
                <w:color w:val="auto"/>
              </w:rPr>
              <w:t>(In thousands)</w:t>
            </w:r>
          </w:p>
        </w:tc>
        <w:tc>
          <w:tcPr>
            <w:tcW w:w="20" w:type="dxa"/>
            <w:vAlign w:val="bottom"/>
          </w:tcPr>
          <w:p>
            <w:pPr>
              <w:spacing w:after="0"/>
              <w:rPr>
                <w:sz w:val="8"/>
                <w:szCs w:val="8"/>
                <w:color w:val="auto"/>
              </w:rPr>
            </w:pPr>
          </w:p>
        </w:tc>
        <w:tc>
          <w:tcPr>
            <w:tcW w:w="880" w:type="dxa"/>
            <w:vAlign w:val="bottom"/>
            <w:gridSpan w:val="3"/>
          </w:tcPr>
          <w:p>
            <w:pPr>
              <w:jc w:val="right"/>
              <w:ind w:right="280"/>
              <w:spacing w:after="0" w:line="102" w:lineRule="exact"/>
              <w:rPr>
                <w:sz w:val="20"/>
                <w:szCs w:val="20"/>
                <w:color w:val="auto"/>
              </w:rPr>
            </w:pPr>
            <w:r>
              <w:rPr>
                <w:rFonts w:ascii="Arial" w:cs="Arial" w:eastAsia="Arial" w:hAnsi="Arial"/>
                <w:sz w:val="11"/>
                <w:szCs w:val="11"/>
                <w:b w:val="1"/>
                <w:bCs w:val="1"/>
                <w:color w:val="auto"/>
                <w:w w:val="95"/>
              </w:rPr>
              <w:t>October 31,</w:t>
            </w:r>
          </w:p>
        </w:tc>
        <w:tc>
          <w:tcPr>
            <w:tcW w:w="80" w:type="dxa"/>
            <w:vAlign w:val="bottom"/>
          </w:tcPr>
          <w:p>
            <w:pPr>
              <w:spacing w:after="0"/>
              <w:rPr>
                <w:sz w:val="8"/>
                <w:szCs w:val="8"/>
                <w:color w:val="auto"/>
              </w:rPr>
            </w:pPr>
          </w:p>
        </w:tc>
        <w:tc>
          <w:tcPr>
            <w:tcW w:w="76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7"/>
              </w:rPr>
              <w:t>August 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80"/>
              <w:spacing w:after="0" w:line="102" w:lineRule="exact"/>
              <w:rPr>
                <w:sz w:val="20"/>
                <w:szCs w:val="20"/>
                <w:color w:val="auto"/>
              </w:rPr>
            </w:pPr>
            <w:r>
              <w:rPr>
                <w:rFonts w:ascii="Arial" w:cs="Arial" w:eastAsia="Arial" w:hAnsi="Arial"/>
                <w:sz w:val="11"/>
                <w:szCs w:val="11"/>
                <w:b w:val="1"/>
                <w:bCs w:val="1"/>
                <w:color w:val="auto"/>
              </w:rPr>
              <w:t>May 2,</w:t>
            </w:r>
          </w:p>
        </w:tc>
        <w:tc>
          <w:tcPr>
            <w:tcW w:w="840" w:type="dxa"/>
            <w:vAlign w:val="bottom"/>
            <w:gridSpan w:val="3"/>
          </w:tcPr>
          <w:p>
            <w:pPr>
              <w:jc w:val="right"/>
              <w:ind w:right="240"/>
              <w:spacing w:after="0" w:line="102" w:lineRule="exact"/>
              <w:rPr>
                <w:sz w:val="20"/>
                <w:szCs w:val="20"/>
                <w:color w:val="auto"/>
              </w:rPr>
            </w:pPr>
            <w:r>
              <w:rPr>
                <w:rFonts w:ascii="Arial" w:cs="Arial" w:eastAsia="Arial" w:hAnsi="Arial"/>
                <w:sz w:val="11"/>
                <w:szCs w:val="11"/>
                <w:b w:val="1"/>
                <w:bCs w:val="1"/>
                <w:color w:val="auto"/>
                <w:w w:val="97"/>
              </w:rPr>
              <w:t>February 1,</w:t>
            </w:r>
          </w:p>
        </w:tc>
        <w:tc>
          <w:tcPr>
            <w:tcW w:w="40" w:type="dxa"/>
            <w:vAlign w:val="bottom"/>
          </w:tcPr>
          <w:p>
            <w:pPr>
              <w:spacing w:after="0"/>
              <w:rPr>
                <w:sz w:val="8"/>
                <w:szCs w:val="8"/>
                <w:color w:val="auto"/>
              </w:rPr>
            </w:pPr>
          </w:p>
        </w:tc>
        <w:tc>
          <w:tcPr>
            <w:tcW w:w="800" w:type="dxa"/>
            <w:vAlign w:val="bottom"/>
            <w:gridSpan w:val="3"/>
          </w:tcPr>
          <w:p>
            <w:pPr>
              <w:jc w:val="right"/>
              <w:ind w:right="180"/>
              <w:spacing w:after="0" w:line="102" w:lineRule="exact"/>
              <w:rPr>
                <w:sz w:val="20"/>
                <w:szCs w:val="20"/>
                <w:color w:val="auto"/>
              </w:rPr>
            </w:pPr>
            <w:r>
              <w:rPr>
                <w:rFonts w:ascii="Arial" w:cs="Arial" w:eastAsia="Arial" w:hAnsi="Arial"/>
                <w:sz w:val="11"/>
                <w:szCs w:val="11"/>
                <w:b w:val="1"/>
                <w:bCs w:val="1"/>
                <w:color w:val="auto"/>
                <w:w w:val="90"/>
              </w:rPr>
              <w:t>November 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40"/>
              <w:spacing w:after="0" w:line="102" w:lineRule="exact"/>
              <w:rPr>
                <w:sz w:val="20"/>
                <w:szCs w:val="20"/>
                <w:color w:val="auto"/>
              </w:rPr>
            </w:pPr>
            <w:r>
              <w:rPr>
                <w:rFonts w:ascii="Arial" w:cs="Arial" w:eastAsia="Arial" w:hAnsi="Arial"/>
                <w:sz w:val="11"/>
                <w:szCs w:val="11"/>
                <w:b w:val="1"/>
                <w:bCs w:val="1"/>
                <w:color w:val="auto"/>
                <w:w w:val="87"/>
              </w:rPr>
              <w:t>August 3,</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w w:val="95"/>
              </w:rPr>
              <w:t>May 4,</w:t>
            </w:r>
          </w:p>
        </w:tc>
        <w:tc>
          <w:tcPr>
            <w:tcW w:w="880" w:type="dxa"/>
            <w:vAlign w:val="bottom"/>
            <w:gridSpan w:val="3"/>
          </w:tcPr>
          <w:p>
            <w:pPr>
              <w:jc w:val="right"/>
              <w:ind w:right="280"/>
              <w:spacing w:after="0" w:line="102" w:lineRule="exact"/>
              <w:rPr>
                <w:sz w:val="20"/>
                <w:szCs w:val="20"/>
                <w:color w:val="auto"/>
              </w:rPr>
            </w:pPr>
            <w:r>
              <w:rPr>
                <w:rFonts w:ascii="Arial" w:cs="Arial" w:eastAsia="Arial" w:hAnsi="Arial"/>
                <w:sz w:val="11"/>
                <w:szCs w:val="11"/>
                <w:b w:val="1"/>
                <w:bCs w:val="1"/>
                <w:color w:val="auto"/>
                <w:w w:val="97"/>
              </w:rPr>
              <w:t>February 2,</w:t>
            </w:r>
          </w:p>
        </w:tc>
        <w:tc>
          <w:tcPr>
            <w:tcW w:w="60" w:type="dxa"/>
            <w:vAlign w:val="bottom"/>
          </w:tcPr>
          <w:p>
            <w:pPr>
              <w:spacing w:after="0"/>
              <w:rPr>
                <w:sz w:val="8"/>
                <w:szCs w:val="8"/>
                <w:color w:val="auto"/>
              </w:rPr>
            </w:pPr>
          </w:p>
        </w:tc>
        <w:tc>
          <w:tcPr>
            <w:tcW w:w="920" w:type="dxa"/>
            <w:vAlign w:val="bottom"/>
            <w:gridSpan w:val="3"/>
          </w:tcPr>
          <w:p>
            <w:pPr>
              <w:jc w:val="right"/>
              <w:ind w:right="300"/>
              <w:spacing w:after="0" w:line="102" w:lineRule="exact"/>
              <w:rPr>
                <w:sz w:val="20"/>
                <w:szCs w:val="20"/>
                <w:color w:val="auto"/>
              </w:rPr>
            </w:pPr>
            <w:r>
              <w:rPr>
                <w:rFonts w:ascii="Arial" w:cs="Arial" w:eastAsia="Arial" w:hAnsi="Arial"/>
                <w:sz w:val="11"/>
                <w:szCs w:val="11"/>
                <w:b w:val="1"/>
                <w:bCs w:val="1"/>
                <w:color w:val="auto"/>
                <w:w w:val="90"/>
              </w:rPr>
              <w:t>November 3,</w:t>
            </w:r>
          </w:p>
        </w:tc>
        <w:tc>
          <w:tcPr>
            <w:tcW w:w="80" w:type="dxa"/>
            <w:vAlign w:val="bottom"/>
          </w:tcPr>
          <w:p>
            <w:pPr>
              <w:spacing w:after="0"/>
              <w:rPr>
                <w:sz w:val="8"/>
                <w:szCs w:val="8"/>
                <w:color w:val="auto"/>
              </w:rPr>
            </w:pPr>
          </w:p>
        </w:tc>
        <w:tc>
          <w:tcPr>
            <w:tcW w:w="800" w:type="dxa"/>
            <w:vAlign w:val="bottom"/>
            <w:gridSpan w:val="2"/>
          </w:tcPr>
          <w:p>
            <w:pPr>
              <w:jc w:val="right"/>
              <w:ind w:right="320"/>
              <w:spacing w:after="0" w:line="102" w:lineRule="exact"/>
              <w:rPr>
                <w:sz w:val="20"/>
                <w:szCs w:val="20"/>
                <w:color w:val="auto"/>
              </w:rPr>
            </w:pPr>
            <w:r>
              <w:rPr>
                <w:rFonts w:ascii="Arial" w:cs="Arial" w:eastAsia="Arial" w:hAnsi="Arial"/>
                <w:sz w:val="11"/>
                <w:szCs w:val="11"/>
                <w:b w:val="1"/>
                <w:bCs w:val="1"/>
                <w:color w:val="auto"/>
                <w:w w:val="91"/>
              </w:rPr>
              <w:t>August 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110"/>
              <w:spacing w:after="0" w:line="102" w:lineRule="exact"/>
              <w:rPr>
                <w:sz w:val="20"/>
                <w:szCs w:val="20"/>
                <w:color w:val="auto"/>
              </w:rPr>
            </w:pPr>
            <w:r>
              <w:rPr>
                <w:rFonts w:ascii="Arial" w:cs="Arial" w:eastAsia="Arial" w:hAnsi="Arial"/>
                <w:sz w:val="11"/>
                <w:szCs w:val="11"/>
                <w:b w:val="1"/>
                <w:bCs w:val="1"/>
                <w:color w:val="auto"/>
              </w:rPr>
              <w:t>May 5,</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6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2020</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2018</w:t>
            </w: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sales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1,349,076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1,606,420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1,136,301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1,370,492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1,145,203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1,237,410</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1,076,792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1,342,018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1,060,188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1,262,207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1,119,480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4"/>
                <w:szCs w:val="14"/>
                <w:color w:val="auto"/>
              </w:rPr>
              <w:t>Gross margin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440,511</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496,501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297,945</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370,532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362,422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385,204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312,996</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332,133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328,833</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387,130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320,356</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Selling, general</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and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administrative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358,955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312,713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283,923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328,315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309,246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312,570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301,602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326,365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300,195</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317,164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295,278</w:t>
            </w: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4"/>
                <w:szCs w:val="14"/>
                <w:color w:val="auto"/>
                <w:w w:val="94"/>
              </w:rPr>
              <w:t>Operating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81,556</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183,788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14,022</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42,217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53,176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72,634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11,394</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28,138</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69,966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25,078</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Interest expense,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22,399</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23,566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24,522</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24,136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25,549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27,037</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27,608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27,076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27,173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26,795</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Gain on early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Pr>
          <w:p>
            <w:pPr>
              <w:ind w:left="140"/>
              <w:spacing w:after="0" w:line="149" w:lineRule="exact"/>
              <w:rPr>
                <w:sz w:val="20"/>
                <w:szCs w:val="20"/>
                <w:color w:val="auto"/>
              </w:rPr>
            </w:pPr>
            <w:r>
              <w:rPr>
                <w:rFonts w:ascii="Arial" w:cs="Arial" w:eastAsia="Arial" w:hAnsi="Arial"/>
                <w:sz w:val="14"/>
                <w:szCs w:val="14"/>
                <w:color w:val="auto"/>
              </w:rPr>
              <w:t>retirement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140"/>
              <w:spacing w:after="0"/>
              <w:rPr>
                <w:sz w:val="20"/>
                <w:szCs w:val="20"/>
                <w:color w:val="auto"/>
              </w:rPr>
            </w:pPr>
            <w:r>
              <w:rPr>
                <w:rFonts w:ascii="Arial" w:cs="Arial" w:eastAsia="Arial" w:hAnsi="Arial"/>
                <w:sz w:val="14"/>
                <w:szCs w:val="14"/>
                <w:color w:val="auto"/>
              </w:rPr>
              <w:t>debt, 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(7,831)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(1,127)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(41,138)</w:t>
            </w: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Net income (loss) $</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59,586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167,676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17,738</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28,552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48,347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25,406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(21,458)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1,773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42,103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9"/>
        </w:trPr>
        <w:tc>
          <w:tcPr>
            <w:tcW w:w="1060" w:type="dxa"/>
            <w:vAlign w:val="bottom"/>
          </w:tcPr>
          <w:p>
            <w:pPr>
              <w:spacing w:after="0" w:line="149" w:lineRule="exact"/>
              <w:rPr>
                <w:sz w:val="20"/>
                <w:szCs w:val="20"/>
                <w:color w:val="auto"/>
              </w:rPr>
            </w:pPr>
            <w:r>
              <w:rPr>
                <w:rFonts w:ascii="Arial" w:cs="Arial" w:eastAsia="Arial" w:hAnsi="Arial"/>
                <w:sz w:val="14"/>
                <w:szCs w:val="14"/>
                <w:color w:val="auto"/>
                <w:w w:val="92"/>
              </w:rPr>
              <w:t>Comparable 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comparable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Adjusted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140"/>
              <w:spacing w:after="0"/>
              <w:rPr>
                <w:sz w:val="20"/>
                <w:szCs w:val="20"/>
                <w:color w:val="auto"/>
              </w:rPr>
            </w:pPr>
            <w:r>
              <w:rPr>
                <w:rFonts w:ascii="Arial" w:cs="Arial" w:eastAsia="Arial" w:hAnsi="Arial"/>
                <w:sz w:val="14"/>
                <w:szCs w:val="14"/>
                <w:color w:val="auto"/>
              </w:rPr>
              <w:t>EBITDA</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145,738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229,645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53,257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77,218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88,759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107,249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49,588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62,172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64,567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109,087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64,433</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Net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98,894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178,351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23,607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34,062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51,503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(7,703)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4,845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46,472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4,812</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Pro Forma</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Pr>
          <w:p>
            <w:pPr>
              <w:ind w:left="140"/>
              <w:spacing w:after="0" w:line="149" w:lineRule="exact"/>
              <w:rPr>
                <w:sz w:val="20"/>
                <w:szCs w:val="20"/>
                <w:color w:val="auto"/>
              </w:rPr>
            </w:pPr>
            <w:r>
              <w:rPr>
                <w:rFonts w:ascii="Arial" w:cs="Arial" w:eastAsia="Arial" w:hAnsi="Arial"/>
                <w:sz w:val="14"/>
                <w:szCs w:val="14"/>
                <w:color w:val="auto"/>
              </w:rPr>
              <w:t>Adjusted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140"/>
              <w:spacing w:after="0"/>
              <w:rPr>
                <w:sz w:val="20"/>
                <w:szCs w:val="20"/>
                <w:color w:val="auto"/>
              </w:rPr>
            </w:pPr>
            <w:r>
              <w:rPr>
                <w:rFonts w:ascii="Arial" w:cs="Arial" w:eastAsia="Arial" w:hAnsi="Arial"/>
                <w:sz w:val="14"/>
                <w:szCs w:val="14"/>
                <w:color w:val="auto"/>
              </w:rPr>
              <w:t>Income (Loss)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73,747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134,404</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440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17,599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25,590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38,668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(5,931)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3,663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34,760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3,635</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Free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Flow</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83,657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678,941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80,830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154,709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122,680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(50,486)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139,551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(108,232)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45,878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reconciliation of comparable sales to adjusted comparable sales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9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3"/>
                <w:szCs w:val="13"/>
                <w:b w:val="1"/>
                <w:bCs w:val="1"/>
                <w:color w:val="auto"/>
                <w:w w:val="88"/>
              </w:rPr>
              <w:t>Thirteen Weeks Ended</w:t>
            </w: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10"/>
        </w:trPr>
        <w:tc>
          <w:tcPr>
            <w:tcW w:w="1920" w:type="dxa"/>
            <w:vAlign w:val="bottom"/>
          </w:tcPr>
          <w:p>
            <w:pPr>
              <w:spacing w:after="0"/>
              <w:rPr>
                <w:sz w:val="9"/>
                <w:szCs w:val="9"/>
                <w:color w:val="auto"/>
              </w:rPr>
            </w:pPr>
          </w:p>
        </w:tc>
        <w:tc>
          <w:tcPr>
            <w:tcW w:w="9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October 31,</w:t>
            </w:r>
          </w:p>
        </w:tc>
        <w:tc>
          <w:tcPr>
            <w:tcW w:w="76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1"/>
              </w:rPr>
              <w:t>August 1,</w:t>
            </w:r>
          </w:p>
        </w:tc>
        <w:tc>
          <w:tcPr>
            <w:tcW w:w="64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7"/>
              </w:rPr>
              <w:t>May 2,</w:t>
            </w:r>
          </w:p>
        </w:tc>
        <w:tc>
          <w:tcPr>
            <w:tcW w:w="90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5"/>
              </w:rPr>
              <w:t>February 1,</w:t>
            </w:r>
          </w:p>
        </w:tc>
        <w:tc>
          <w:tcPr>
            <w:tcW w:w="1000" w:type="dxa"/>
            <w:vAlign w:val="bottom"/>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w w:val="94"/>
              </w:rPr>
              <w:t>November 2,</w:t>
            </w:r>
          </w:p>
        </w:tc>
        <w:tc>
          <w:tcPr>
            <w:tcW w:w="82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5"/>
              </w:rPr>
              <w:t>August 3,</w:t>
            </w:r>
          </w:p>
        </w:tc>
        <w:tc>
          <w:tcPr>
            <w:tcW w:w="70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7"/>
              </w:rPr>
              <w:t>May 4,</w:t>
            </w:r>
          </w:p>
        </w:tc>
        <w:tc>
          <w:tcPr>
            <w:tcW w:w="96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5"/>
              </w:rPr>
              <w:t>February 2,</w:t>
            </w:r>
          </w:p>
        </w:tc>
        <w:tc>
          <w:tcPr>
            <w:tcW w:w="100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1"/>
              </w:rPr>
              <w:t>November 3,</w:t>
            </w:r>
          </w:p>
        </w:tc>
        <w:tc>
          <w:tcPr>
            <w:tcW w:w="8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August 4,</w:t>
            </w:r>
          </w:p>
        </w:tc>
        <w:tc>
          <w:tcPr>
            <w:tcW w:w="380" w:type="dxa"/>
            <w:vAlign w:val="bottom"/>
          </w:tcPr>
          <w:p>
            <w:pPr>
              <w:spacing w:after="0" w:line="110" w:lineRule="exact"/>
              <w:rPr>
                <w:sz w:val="20"/>
                <w:szCs w:val="20"/>
                <w:color w:val="auto"/>
              </w:rPr>
            </w:pPr>
            <w:r>
              <w:rPr>
                <w:rFonts w:ascii="Arial" w:cs="Arial" w:eastAsia="Arial" w:hAnsi="Arial"/>
                <w:sz w:val="12"/>
                <w:szCs w:val="12"/>
                <w:b w:val="1"/>
                <w:bCs w:val="1"/>
                <w:color w:val="auto"/>
                <w:w w:val="97"/>
              </w:rPr>
              <w:t>May 5,</w:t>
            </w:r>
          </w:p>
        </w:tc>
        <w:tc>
          <w:tcPr>
            <w:tcW w:w="220" w:type="dxa"/>
            <w:vAlign w:val="bottom"/>
          </w:tcPr>
          <w:p>
            <w:pPr>
              <w:spacing w:after="0"/>
              <w:rPr>
                <w:sz w:val="9"/>
                <w:szCs w:val="9"/>
                <w:color w:val="auto"/>
              </w:rPr>
            </w:pPr>
          </w:p>
        </w:tc>
      </w:tr>
      <w:tr>
        <w:trPr>
          <w:trHeight w:val="153"/>
        </w:trPr>
        <w:tc>
          <w:tcPr>
            <w:tcW w:w="19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2019</w:t>
            </w:r>
          </w:p>
        </w:tc>
        <w:tc>
          <w:tcPr>
            <w:tcW w:w="3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13"/>
                <w:szCs w:val="13"/>
                <w:color w:val="auto"/>
              </w:rPr>
            </w:pPr>
          </w:p>
        </w:tc>
      </w:tr>
      <w:tr>
        <w:trPr>
          <w:trHeight w:val="142"/>
        </w:trPr>
        <w:tc>
          <w:tcPr>
            <w:tcW w:w="1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Comparable sales</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16.5%</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27.0%</w:t>
            </w:r>
          </w:p>
        </w:tc>
        <w:tc>
          <w:tcPr>
            <w:tcW w:w="6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3.1%</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0.3%</w:t>
            </w: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6.2%</w:t>
            </w:r>
          </w:p>
        </w:tc>
        <w:tc>
          <w:tcPr>
            <w:tcW w:w="8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(3.3)%</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w:t>
            </w:r>
          </w:p>
        </w:tc>
        <w:tc>
          <w:tcPr>
            <w:tcW w:w="9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(2.8)%</w:t>
            </w:r>
          </w:p>
        </w:tc>
        <w:tc>
          <w:tcPr>
            <w:tcW w:w="10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(6.0)%</w:t>
            </w:r>
          </w:p>
        </w:tc>
        <w:tc>
          <w:tcPr>
            <w:tcW w:w="82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(0.6)%</w:t>
            </w:r>
          </w:p>
        </w:tc>
        <w:tc>
          <w:tcPr>
            <w:tcW w:w="60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(0.9)%</w:t>
            </w: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Additional sales associated</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8"/>
        </w:trPr>
        <w:tc>
          <w:tcPr>
            <w:tcW w:w="1920" w:type="dxa"/>
            <w:vAlign w:val="bottom"/>
          </w:tcPr>
          <w:p>
            <w:pPr>
              <w:ind w:left="140"/>
              <w:spacing w:after="0" w:line="149" w:lineRule="exact"/>
              <w:rPr>
                <w:sz w:val="20"/>
                <w:szCs w:val="20"/>
                <w:color w:val="auto"/>
              </w:rPr>
            </w:pPr>
            <w:r>
              <w:rPr>
                <w:rFonts w:ascii="Arial" w:cs="Arial" w:eastAsia="Arial" w:hAnsi="Arial"/>
                <w:sz w:val="14"/>
                <w:szCs w:val="14"/>
                <w:color w:val="auto"/>
              </w:rPr>
              <w:t>with Houston Astros World</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Series appearances</w:t>
            </w:r>
          </w:p>
        </w:tc>
        <w:tc>
          <w:tcPr>
            <w:tcW w:w="9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w:t>
            </w: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Additional sales of a product</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8"/>
        </w:trPr>
        <w:tc>
          <w:tcPr>
            <w:tcW w:w="19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driven by free shipping</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1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promotion</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Sales from the exited product</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categories</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0.7%</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0.3%</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0.4%</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0.4%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w:t>
            </w:r>
          </w:p>
        </w:tc>
      </w:tr>
      <w:tr>
        <w:trPr>
          <w:trHeight w:val="27"/>
        </w:trPr>
        <w:tc>
          <w:tcPr>
            <w:tcW w:w="19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comparable sales</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(0.6)%</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(0.9)%</w:t>
            </w:r>
          </w:p>
        </w:tc>
      </w:tr>
      <w:tr>
        <w:trPr>
          <w:trHeight w:val="20"/>
        </w:trPr>
        <w:tc>
          <w:tcPr>
            <w:tcW w:w="1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tables provide reconciliation of net income (loss) to Adjusted EBITDA, Adjusted Net Income (Loss) and Pro Forma Adjusted Net Income (Loss) for the periods presented: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11"/>
          </w:tcPr>
          <w:p>
            <w:pPr>
              <w:jc w:val="right"/>
              <w:ind w:right="600"/>
              <w:spacing w:after="0"/>
              <w:rPr>
                <w:sz w:val="20"/>
                <w:szCs w:val="20"/>
                <w:color w:val="auto"/>
              </w:rPr>
            </w:pPr>
            <w:r>
              <w:rPr>
                <w:rFonts w:ascii="Arial" w:cs="Arial" w:eastAsia="Arial" w:hAnsi="Arial"/>
                <w:sz w:val="13"/>
                <w:szCs w:val="13"/>
                <w:b w:val="1"/>
                <w:bCs w:val="1"/>
                <w:color w:val="auto"/>
              </w:rPr>
              <w:t>Thirteen Weeks Ended</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680" w:type="dxa"/>
            <w:vAlign w:val="bottom"/>
          </w:tcPr>
          <w:p>
            <w:pPr>
              <w:spacing w:after="0"/>
              <w:rPr>
                <w:sz w:val="9"/>
                <w:szCs w:val="9"/>
                <w:color w:val="auto"/>
              </w:rPr>
            </w:pPr>
          </w:p>
        </w:tc>
        <w:tc>
          <w:tcPr>
            <w:tcW w:w="88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October 31,</w:t>
            </w:r>
          </w:p>
        </w:tc>
        <w:tc>
          <w:tcPr>
            <w:tcW w:w="68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w w:val="84"/>
              </w:rPr>
              <w:t>August 1,</w:t>
            </w:r>
          </w:p>
        </w:tc>
        <w:tc>
          <w:tcPr>
            <w:tcW w:w="720" w:type="dxa"/>
            <w:vAlign w:val="bottom"/>
            <w:gridSpan w:val="4"/>
          </w:tcPr>
          <w:p>
            <w:pPr>
              <w:jc w:val="right"/>
              <w:ind w:right="260"/>
              <w:spacing w:after="0" w:line="110" w:lineRule="exact"/>
              <w:rPr>
                <w:sz w:val="20"/>
                <w:szCs w:val="20"/>
                <w:color w:val="auto"/>
              </w:rPr>
            </w:pPr>
            <w:r>
              <w:rPr>
                <w:rFonts w:ascii="Arial" w:cs="Arial" w:eastAsia="Arial" w:hAnsi="Arial"/>
                <w:sz w:val="12"/>
                <w:szCs w:val="12"/>
                <w:b w:val="1"/>
                <w:bCs w:val="1"/>
                <w:color w:val="auto"/>
              </w:rPr>
              <w:t>May 2,</w:t>
            </w:r>
          </w:p>
        </w:tc>
        <w:tc>
          <w:tcPr>
            <w:tcW w:w="82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February 1,</w:t>
            </w:r>
          </w:p>
        </w:tc>
        <w:tc>
          <w:tcPr>
            <w:tcW w:w="76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November 2,</w:t>
            </w:r>
          </w:p>
        </w:tc>
        <w:tc>
          <w:tcPr>
            <w:tcW w:w="60" w:type="dxa"/>
            <w:vAlign w:val="bottom"/>
          </w:tcPr>
          <w:p>
            <w:pPr>
              <w:spacing w:after="0"/>
              <w:rPr>
                <w:sz w:val="9"/>
                <w:szCs w:val="9"/>
                <w:color w:val="auto"/>
              </w:rPr>
            </w:pPr>
          </w:p>
        </w:tc>
        <w:tc>
          <w:tcPr>
            <w:tcW w:w="720" w:type="dxa"/>
            <w:vAlign w:val="bottom"/>
            <w:gridSpan w:val="5"/>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August 3,</w:t>
            </w:r>
          </w:p>
        </w:tc>
        <w:tc>
          <w:tcPr>
            <w:tcW w:w="700" w:type="dxa"/>
            <w:vAlign w:val="bottom"/>
            <w:gridSpan w:val="3"/>
          </w:tcPr>
          <w:p>
            <w:pPr>
              <w:jc w:val="right"/>
              <w:ind w:right="260"/>
              <w:spacing w:after="0" w:line="110" w:lineRule="exact"/>
              <w:rPr>
                <w:sz w:val="20"/>
                <w:szCs w:val="20"/>
                <w:color w:val="auto"/>
              </w:rPr>
            </w:pPr>
            <w:r>
              <w:rPr>
                <w:rFonts w:ascii="Arial" w:cs="Arial" w:eastAsia="Arial" w:hAnsi="Arial"/>
                <w:sz w:val="12"/>
                <w:szCs w:val="12"/>
                <w:b w:val="1"/>
                <w:bCs w:val="1"/>
                <w:color w:val="auto"/>
              </w:rPr>
              <w:t>May 4,</w:t>
            </w:r>
          </w:p>
        </w:tc>
        <w:tc>
          <w:tcPr>
            <w:tcW w:w="84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rPr>
              <w:t>February 2,</w:t>
            </w:r>
          </w:p>
        </w:tc>
        <w:tc>
          <w:tcPr>
            <w:tcW w:w="88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November 3,</w:t>
            </w:r>
          </w:p>
        </w:tc>
        <w:tc>
          <w:tcPr>
            <w:tcW w:w="660" w:type="dxa"/>
            <w:vAlign w:val="bottom"/>
            <w:gridSpan w:val="3"/>
          </w:tcPr>
          <w:p>
            <w:pPr>
              <w:jc w:val="right"/>
              <w:ind w:right="120"/>
              <w:spacing w:after="0" w:line="110" w:lineRule="exact"/>
              <w:rPr>
                <w:sz w:val="20"/>
                <w:szCs w:val="20"/>
                <w:color w:val="auto"/>
              </w:rPr>
            </w:pPr>
            <w:r>
              <w:rPr>
                <w:rFonts w:ascii="Arial" w:cs="Arial" w:eastAsia="Arial" w:hAnsi="Arial"/>
                <w:sz w:val="12"/>
                <w:szCs w:val="12"/>
                <w:b w:val="1"/>
                <w:bCs w:val="1"/>
                <w:color w:val="auto"/>
                <w:w w:val="95"/>
              </w:rPr>
              <w:t>August 4,</w:t>
            </w:r>
          </w:p>
        </w:tc>
        <w:tc>
          <w:tcPr>
            <w:tcW w:w="40" w:type="dxa"/>
            <w:vAlign w:val="bottom"/>
          </w:tcPr>
          <w:p>
            <w:pPr>
              <w:spacing w:after="0"/>
              <w:rPr>
                <w:sz w:val="9"/>
                <w:szCs w:val="9"/>
                <w:color w:val="auto"/>
              </w:rPr>
            </w:pPr>
          </w:p>
        </w:tc>
        <w:tc>
          <w:tcPr>
            <w:tcW w:w="48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May 5,</w:t>
            </w:r>
          </w:p>
        </w:tc>
        <w:tc>
          <w:tcPr>
            <w:tcW w:w="100" w:type="dxa"/>
            <w:vAlign w:val="bottom"/>
          </w:tcPr>
          <w:p>
            <w:pPr>
              <w:spacing w:after="0"/>
              <w:rPr>
                <w:sz w:val="9"/>
                <w:szCs w:val="9"/>
                <w:color w:val="auto"/>
              </w:rPr>
            </w:pPr>
          </w:p>
        </w:tc>
      </w:tr>
      <w:tr>
        <w:trPr>
          <w:trHeight w:val="153"/>
        </w:trPr>
        <w:tc>
          <w:tcPr>
            <w:tcW w:w="2680" w:type="dxa"/>
            <w:vAlign w:val="bottom"/>
          </w:tcPr>
          <w:p>
            <w:pPr>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3"/>
                <w:szCs w:val="13"/>
                <w:color w:val="auto"/>
              </w:rPr>
            </w:pPr>
          </w:p>
        </w:tc>
        <w:tc>
          <w:tcPr>
            <w:tcW w:w="54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4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26"/>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66"/>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3"/>
          </w:tcPr>
          <w:p>
            <w:pPr>
              <w:jc w:val="right"/>
              <w:ind w:right="145"/>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560" w:type="dxa"/>
            <w:vAlign w:val="bottom"/>
            <w:gridSpan w:val="2"/>
          </w:tcPr>
          <w:p>
            <w:pPr>
              <w:jc w:val="right"/>
              <w:ind w:right="8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520" w:type="dxa"/>
            <w:vAlign w:val="bottom"/>
            <w:gridSpan w:val="3"/>
          </w:tcPr>
          <w:p>
            <w:pPr>
              <w:ind w:left="14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42"/>
        </w:trPr>
        <w:tc>
          <w:tcPr>
            <w:tcW w:w="2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59,586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$167,676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$(10,020)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17,738</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28,552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48,347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$ 25,406</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(21,458)</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1,773</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$ 42,103</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(976)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22,399</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23,566</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24,522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24,136</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7"/>
              </w:rPr>
              <w:t>25,549</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27,037</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27,608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27,076</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27,173</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26,795</w:t>
            </w: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(1,193)</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1,005</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878</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1,322</w:t>
            </w:r>
          </w:p>
        </w:tc>
        <w:tc>
          <w:tcPr>
            <w:tcW w:w="6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Depreciation, amortization and impairment</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25,567</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26,704</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27,447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28,561</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7"/>
              </w:rPr>
              <w:t>29,313</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29,784</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34,576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32,667</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34,112</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32,835</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Consulting fees</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328</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2,952</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196</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Adviser monitoring fee</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12,953</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920</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939</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877</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883</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877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892</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861</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892</w:t>
            </w: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23,359</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1,405</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2,445</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2,022</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1,243</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2,180</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876</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Gain on early extinguishment of debt, net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(1,127)</w:t>
            </w: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(41,138)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executive transition costs</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3,909</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1,237</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3,239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w:t>
            </w: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Costs related to the COVID-19 pandemic</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10,987</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6,645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Inventory write-down adjustments</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associated with strategic merchandising</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initiative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18,225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639</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2,112</w:t>
            </w:r>
          </w:p>
        </w:tc>
        <w:tc>
          <w:tcPr>
            <w:tcW w:w="14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613</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775</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2,866</w:t>
            </w:r>
          </w:p>
        </w:tc>
      </w:tr>
      <w:tr>
        <w:trPr>
          <w:trHeight w:val="27"/>
        </w:trPr>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145,738</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229,645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$ 53,257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77,218</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88,759</w:t>
            </w:r>
          </w:p>
        </w:tc>
        <w:tc>
          <w:tcPr>
            <w:tcW w:w="10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107,249</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$ 49,588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62,172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64,567</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109,087</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64,433</w:t>
            </w:r>
          </w:p>
        </w:tc>
      </w:tr>
      <w:tr>
        <w:trPr>
          <w:trHeight w:val="20"/>
        </w:trPr>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1"/>
          </w:tcPr>
          <w:p>
            <w:pPr>
              <w:jc w:val="center"/>
              <w:ind w:right="220"/>
              <w:spacing w:after="0"/>
              <w:rPr>
                <w:sz w:val="20"/>
                <w:szCs w:val="20"/>
                <w:color w:val="auto"/>
              </w:rPr>
            </w:pPr>
            <w:r>
              <w:rPr>
                <w:rFonts w:ascii="Arial" w:cs="Arial" w:eastAsia="Arial" w:hAnsi="Arial"/>
                <w:sz w:val="13"/>
                <w:szCs w:val="13"/>
                <w:b w:val="1"/>
                <w:bCs w:val="1"/>
                <w:color w:val="auto"/>
                <w:w w:val="87"/>
              </w:rPr>
              <w:t>Thirteen Weeks Ended</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3"/>
          </w:tcPr>
          <w:p>
            <w:pPr>
              <w:jc w:val="right"/>
              <w:ind w:right="140"/>
              <w:spacing w:after="0" w:line="110" w:lineRule="exact"/>
              <w:rPr>
                <w:sz w:val="20"/>
                <w:szCs w:val="20"/>
                <w:color w:val="auto"/>
              </w:rPr>
            </w:pPr>
            <w:r>
              <w:rPr>
                <w:rFonts w:ascii="Arial" w:cs="Arial" w:eastAsia="Arial" w:hAnsi="Arial"/>
                <w:sz w:val="12"/>
                <w:szCs w:val="12"/>
                <w:b w:val="1"/>
                <w:bCs w:val="1"/>
                <w:color w:val="auto"/>
                <w:w w:val="90"/>
              </w:rPr>
              <w:t>October 31,</w:t>
            </w:r>
          </w:p>
        </w:tc>
        <w:tc>
          <w:tcPr>
            <w:tcW w:w="680" w:type="dxa"/>
            <w:vAlign w:val="bottom"/>
            <w:gridSpan w:val="3"/>
          </w:tcPr>
          <w:p>
            <w:pPr>
              <w:jc w:val="right"/>
              <w:ind w:right="120"/>
              <w:spacing w:after="0" w:line="110" w:lineRule="exact"/>
              <w:rPr>
                <w:sz w:val="20"/>
                <w:szCs w:val="20"/>
                <w:color w:val="auto"/>
              </w:rPr>
            </w:pPr>
            <w:r>
              <w:rPr>
                <w:rFonts w:ascii="Arial" w:cs="Arial" w:eastAsia="Arial" w:hAnsi="Arial"/>
                <w:sz w:val="12"/>
                <w:szCs w:val="12"/>
                <w:b w:val="1"/>
                <w:bCs w:val="1"/>
                <w:color w:val="auto"/>
                <w:w w:val="98"/>
              </w:rPr>
              <w:t>August 1,</w:t>
            </w:r>
          </w:p>
        </w:tc>
        <w:tc>
          <w:tcPr>
            <w:tcW w:w="120" w:type="dxa"/>
            <w:vAlign w:val="bottom"/>
          </w:tcPr>
          <w:p>
            <w:pPr>
              <w:spacing w:after="0"/>
              <w:rPr>
                <w:sz w:val="9"/>
                <w:szCs w:val="9"/>
                <w:color w:val="auto"/>
              </w:rPr>
            </w:pPr>
          </w:p>
        </w:tc>
        <w:tc>
          <w:tcPr>
            <w:tcW w:w="600" w:type="dxa"/>
            <w:vAlign w:val="bottom"/>
            <w:gridSpan w:val="3"/>
          </w:tcPr>
          <w:p>
            <w:pPr>
              <w:ind w:left="100"/>
              <w:spacing w:after="0" w:line="110" w:lineRule="exact"/>
              <w:rPr>
                <w:sz w:val="20"/>
                <w:szCs w:val="20"/>
                <w:color w:val="auto"/>
              </w:rPr>
            </w:pPr>
            <w:r>
              <w:rPr>
                <w:rFonts w:ascii="Arial" w:cs="Arial" w:eastAsia="Arial" w:hAnsi="Arial"/>
                <w:sz w:val="12"/>
                <w:szCs w:val="12"/>
                <w:b w:val="1"/>
                <w:bCs w:val="1"/>
                <w:color w:val="auto"/>
              </w:rPr>
              <w:t>May 2,</w:t>
            </w:r>
          </w:p>
        </w:tc>
        <w:tc>
          <w:tcPr>
            <w:tcW w:w="160" w:type="dxa"/>
            <w:vAlign w:val="bottom"/>
          </w:tcPr>
          <w:p>
            <w:pPr>
              <w:spacing w:after="0"/>
              <w:rPr>
                <w:sz w:val="9"/>
                <w:szCs w:val="9"/>
                <w:color w:val="auto"/>
              </w:rPr>
            </w:pPr>
          </w:p>
        </w:tc>
        <w:tc>
          <w:tcPr>
            <w:tcW w:w="780" w:type="dxa"/>
            <w:vAlign w:val="bottom"/>
            <w:gridSpan w:val="3"/>
          </w:tcPr>
          <w:p>
            <w:pPr>
              <w:jc w:val="center"/>
              <w:ind w:right="53"/>
              <w:spacing w:after="0" w:line="110" w:lineRule="exact"/>
              <w:rPr>
                <w:sz w:val="20"/>
                <w:szCs w:val="20"/>
                <w:color w:val="auto"/>
              </w:rPr>
            </w:pPr>
            <w:r>
              <w:rPr>
                <w:rFonts w:ascii="Arial" w:cs="Arial" w:eastAsia="Arial" w:hAnsi="Arial"/>
                <w:sz w:val="12"/>
                <w:szCs w:val="12"/>
                <w:b w:val="1"/>
                <w:bCs w:val="1"/>
                <w:color w:val="auto"/>
                <w:w w:val="95"/>
              </w:rPr>
              <w:t>February 1,</w:t>
            </w:r>
          </w:p>
        </w:tc>
        <w:tc>
          <w:tcPr>
            <w:tcW w:w="78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rPr>
              <w:t>November 2,</w:t>
            </w:r>
          </w:p>
        </w:tc>
        <w:tc>
          <w:tcPr>
            <w:tcW w:w="60" w:type="dxa"/>
            <w:vAlign w:val="bottom"/>
          </w:tcPr>
          <w:p>
            <w:pPr>
              <w:spacing w:after="0"/>
              <w:rPr>
                <w:sz w:val="9"/>
                <w:szCs w:val="9"/>
                <w:color w:val="auto"/>
              </w:rPr>
            </w:pPr>
          </w:p>
        </w:tc>
        <w:tc>
          <w:tcPr>
            <w:tcW w:w="580" w:type="dxa"/>
            <w:vAlign w:val="bottom"/>
            <w:gridSpan w:val="3"/>
          </w:tcPr>
          <w:p>
            <w:pPr>
              <w:jc w:val="right"/>
              <w:ind w:right="60"/>
              <w:spacing w:after="0" w:line="110" w:lineRule="exact"/>
              <w:rPr>
                <w:sz w:val="20"/>
                <w:szCs w:val="20"/>
                <w:color w:val="auto"/>
              </w:rPr>
            </w:pPr>
            <w:r>
              <w:rPr>
                <w:rFonts w:ascii="Arial" w:cs="Arial" w:eastAsia="Arial" w:hAnsi="Arial"/>
                <w:sz w:val="12"/>
                <w:szCs w:val="12"/>
                <w:b w:val="1"/>
                <w:bCs w:val="1"/>
                <w:color w:val="auto"/>
                <w:w w:val="91"/>
              </w:rPr>
              <w:t>August 3,</w:t>
            </w:r>
          </w:p>
        </w:tc>
        <w:tc>
          <w:tcPr>
            <w:tcW w:w="120" w:type="dxa"/>
            <w:vAlign w:val="bottom"/>
          </w:tcPr>
          <w:p>
            <w:pPr>
              <w:spacing w:after="0"/>
              <w:rPr>
                <w:sz w:val="9"/>
                <w:szCs w:val="9"/>
                <w:color w:val="auto"/>
              </w:rPr>
            </w:pPr>
          </w:p>
        </w:tc>
        <w:tc>
          <w:tcPr>
            <w:tcW w:w="580" w:type="dxa"/>
            <w:vAlign w:val="bottom"/>
            <w:gridSpan w:val="2"/>
          </w:tcPr>
          <w:p>
            <w:pPr>
              <w:jc w:val="right"/>
              <w:ind w:right="100"/>
              <w:spacing w:after="0" w:line="110" w:lineRule="exact"/>
              <w:rPr>
                <w:sz w:val="20"/>
                <w:szCs w:val="20"/>
                <w:color w:val="auto"/>
              </w:rPr>
            </w:pPr>
            <w:r>
              <w:rPr>
                <w:rFonts w:ascii="Arial" w:cs="Arial" w:eastAsia="Arial" w:hAnsi="Arial"/>
                <w:sz w:val="12"/>
                <w:szCs w:val="12"/>
                <w:b w:val="1"/>
                <w:bCs w:val="1"/>
                <w:color w:val="auto"/>
              </w:rPr>
              <w:t>May 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February 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4"/>
              </w:rPr>
              <w:t>November 3,</w:t>
            </w:r>
          </w:p>
        </w:tc>
        <w:tc>
          <w:tcPr>
            <w:tcW w:w="140" w:type="dxa"/>
            <w:vAlign w:val="bottom"/>
          </w:tcPr>
          <w:p>
            <w:pPr>
              <w:spacing w:after="0"/>
              <w:rPr>
                <w:sz w:val="9"/>
                <w:szCs w:val="9"/>
                <w:color w:val="auto"/>
              </w:rPr>
            </w:pPr>
          </w:p>
        </w:tc>
        <w:tc>
          <w:tcPr>
            <w:tcW w:w="52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August 4,</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line="110" w:lineRule="exact"/>
              <w:rPr>
                <w:sz w:val="20"/>
                <w:szCs w:val="20"/>
                <w:color w:val="auto"/>
              </w:rPr>
            </w:pPr>
            <w:r>
              <w:rPr>
                <w:rFonts w:ascii="Arial" w:cs="Arial" w:eastAsia="Arial" w:hAnsi="Arial"/>
                <w:sz w:val="12"/>
                <w:szCs w:val="12"/>
                <w:b w:val="1"/>
                <w:bCs w:val="1"/>
                <w:color w:val="auto"/>
                <w:w w:val="97"/>
              </w:rPr>
              <w:t>May 5,</w:t>
            </w:r>
          </w:p>
        </w:tc>
        <w:tc>
          <w:tcPr>
            <w:tcW w:w="100" w:type="dxa"/>
            <w:vAlign w:val="bottom"/>
          </w:tcPr>
          <w:p>
            <w:pPr>
              <w:spacing w:after="0"/>
              <w:rPr>
                <w:sz w:val="9"/>
                <w:szCs w:val="9"/>
                <w:color w:val="auto"/>
              </w:rPr>
            </w:pPr>
          </w:p>
        </w:tc>
      </w:tr>
      <w:tr>
        <w:trPr>
          <w:trHeight w:val="153"/>
        </w:trPr>
        <w:tc>
          <w:tcPr>
            <w:tcW w:w="2680" w:type="dxa"/>
            <w:vAlign w:val="bottom"/>
          </w:tcPr>
          <w:p>
            <w:pPr>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3"/>
                <w:szCs w:val="13"/>
                <w:color w:val="auto"/>
              </w:rPr>
            </w:pPr>
          </w:p>
        </w:tc>
        <w:tc>
          <w:tcPr>
            <w:tcW w:w="540" w:type="dxa"/>
            <w:vAlign w:val="bottom"/>
            <w:gridSpan w:val="2"/>
          </w:tcPr>
          <w:p>
            <w:pPr>
              <w:jc w:val="right"/>
              <w:ind w:right="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ind w:left="87"/>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520" w:type="dxa"/>
            <w:vAlign w:val="bottom"/>
            <w:gridSpan w:val="2"/>
          </w:tcPr>
          <w:p>
            <w:pPr>
              <w:jc w:val="center"/>
              <w:ind w:left="167"/>
              <w:spacing w:after="0"/>
              <w:rPr>
                <w:sz w:val="20"/>
                <w:szCs w:val="20"/>
                <w:color w:val="auto"/>
              </w:rPr>
            </w:pPr>
            <w:r>
              <w:rPr>
                <w:rFonts w:ascii="Arial" w:cs="Arial" w:eastAsia="Arial" w:hAnsi="Arial"/>
                <w:sz w:val="13"/>
                <w:szCs w:val="13"/>
                <w:b w:val="1"/>
                <w:bCs w:val="1"/>
                <w:color w:val="auto"/>
                <w:w w:val="82"/>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left="25"/>
              <w:spacing w:after="0"/>
              <w:rPr>
                <w:sz w:val="20"/>
                <w:szCs w:val="20"/>
                <w:color w:val="auto"/>
              </w:rPr>
            </w:pPr>
            <w:r>
              <w:rPr>
                <w:rFonts w:ascii="Arial" w:cs="Arial" w:eastAsia="Arial" w:hAnsi="Arial"/>
                <w:sz w:val="13"/>
                <w:szCs w:val="13"/>
                <w:b w:val="1"/>
                <w:bCs w:val="1"/>
                <w:color w:val="auto"/>
                <w:w w:val="82"/>
              </w:rPr>
              <w:t>2018</w:t>
            </w:r>
          </w:p>
        </w:tc>
        <w:tc>
          <w:tcPr>
            <w:tcW w:w="180" w:type="dxa"/>
            <w:vAlign w:val="bottom"/>
          </w:tcPr>
          <w:p>
            <w:pPr>
              <w:spacing w:after="0"/>
              <w:rPr>
                <w:sz w:val="13"/>
                <w:szCs w:val="13"/>
                <w:color w:val="auto"/>
              </w:rPr>
            </w:pPr>
          </w:p>
        </w:tc>
        <w:tc>
          <w:tcPr>
            <w:tcW w:w="560" w:type="dxa"/>
            <w:vAlign w:val="bottom"/>
            <w:gridSpan w:val="2"/>
          </w:tcPr>
          <w:p>
            <w:pPr>
              <w:jc w:val="center"/>
              <w:ind w:left="168"/>
              <w:spacing w:after="0"/>
              <w:rPr>
                <w:sz w:val="20"/>
                <w:szCs w:val="20"/>
                <w:color w:val="auto"/>
              </w:rPr>
            </w:pPr>
            <w:r>
              <w:rPr>
                <w:rFonts w:ascii="Arial" w:cs="Arial" w:eastAsia="Arial" w:hAnsi="Arial"/>
                <w:sz w:val="13"/>
                <w:szCs w:val="13"/>
                <w:b w:val="1"/>
                <w:bCs w:val="1"/>
                <w:color w:val="auto"/>
                <w:w w:val="82"/>
              </w:rPr>
              <w:t>2018</w:t>
            </w:r>
          </w:p>
        </w:tc>
        <w:tc>
          <w:tcPr>
            <w:tcW w:w="10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96"/>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6"/>
              </w:rPr>
              <w:t>$ 59,586</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$167,676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1"/>
              </w:rPr>
              <w:t>$(10,020)</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  17,738</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28,552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$48,347</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$ 25,406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4"/>
              </w:rPr>
              <w:t>$ (21,458)</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$42,103</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$(976)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Consulting fees</w:t>
            </w:r>
          </w:p>
        </w:tc>
        <w:tc>
          <w:tcPr>
            <w:tcW w:w="100" w:type="dxa"/>
            <w:vAlign w:val="bottom"/>
          </w:tcPr>
          <w:p>
            <w:pPr>
              <w:spacing w:after="0"/>
              <w:rPr>
                <w:sz w:val="17"/>
                <w:szCs w:val="17"/>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6"/>
                <w:szCs w:val="16"/>
                <w:color w:val="auto"/>
              </w:rPr>
              <w:t>102</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7"/>
                <w:szCs w:val="17"/>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6"/>
                <w:szCs w:val="16"/>
                <w:color w:val="auto"/>
              </w:rPr>
              <w:t>84</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7"/>
                <w:szCs w:val="17"/>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6"/>
                <w:szCs w:val="16"/>
                <w:color w:val="auto"/>
              </w:rPr>
              <w:t>328</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2,952</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506</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r>
      <w:tr>
        <w:trPr>
          <w:trHeight w:val="20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Adviser monitoring fee</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12,953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8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920</w:t>
            </w: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53"/>
              <w:spacing w:after="0"/>
              <w:rPr>
                <w:sz w:val="20"/>
                <w:szCs w:val="20"/>
                <w:color w:val="auto"/>
              </w:rPr>
            </w:pPr>
            <w:r>
              <w:rPr>
                <w:rFonts w:ascii="Arial" w:cs="Arial" w:eastAsia="Arial" w:hAnsi="Arial"/>
                <w:sz w:val="16"/>
                <w:szCs w:val="16"/>
                <w:color w:val="auto"/>
              </w:rPr>
              <w:t>939</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877</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17"/>
                <w:szCs w:val="17"/>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Stock based compensation</w:t>
            </w:r>
          </w:p>
        </w:tc>
        <w:tc>
          <w:tcPr>
            <w:tcW w:w="100" w:type="dxa"/>
            <w:vAlign w:val="bottom"/>
          </w:tcPr>
          <w:p>
            <w:pPr>
              <w:spacing w:after="0"/>
              <w:rPr>
                <w:sz w:val="17"/>
                <w:szCs w:val="17"/>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6"/>
                <w:szCs w:val="16"/>
                <w:color w:val="auto"/>
              </w:rPr>
              <w:t>23,359</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1,581</w:t>
            </w:r>
          </w:p>
        </w:tc>
        <w:tc>
          <w:tcPr>
            <w:tcW w:w="8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2,109</w:t>
            </w:r>
          </w:p>
        </w:tc>
        <w:tc>
          <w:tcPr>
            <w:tcW w:w="160" w:type="dxa"/>
            <w:vAlign w:val="bottom"/>
          </w:tcPr>
          <w:p>
            <w:pPr>
              <w:spacing w:after="0"/>
              <w:rPr>
                <w:sz w:val="17"/>
                <w:szCs w:val="17"/>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6"/>
                <w:szCs w:val="16"/>
                <w:color w:val="auto"/>
              </w:rPr>
              <w:t>2,009</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1,405</w:t>
            </w:r>
          </w:p>
        </w:tc>
        <w:tc>
          <w:tcPr>
            <w:tcW w:w="80" w:type="dxa"/>
            <w:vAlign w:val="bottom"/>
          </w:tcPr>
          <w:p>
            <w:pPr>
              <w:spacing w:after="0"/>
              <w:rPr>
                <w:sz w:val="17"/>
                <w:szCs w:val="17"/>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6"/>
                <w:szCs w:val="16"/>
                <w:color w:val="auto"/>
              </w:rPr>
              <w:t>2,445</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1,243</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2,180</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7"/>
                <w:szCs w:val="17"/>
                <w:color w:val="auto"/>
              </w:rPr>
            </w:pPr>
          </w:p>
        </w:tc>
      </w:tr>
      <w:tr>
        <w:trPr>
          <w:trHeight w:val="202"/>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Gain on early extinguishment of debt, net</w:t>
            </w:r>
          </w:p>
        </w:tc>
        <w:tc>
          <w:tcPr>
            <w:tcW w:w="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(7,831)</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9"/>
              </w:rPr>
              <w:t>—</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840" w:type="dxa"/>
            <w:vAlign w:val="bottom"/>
            <w:gridSpan w:val="4"/>
            <w:shd w:val="clear" w:color="auto" w:fill="CCEEFF"/>
          </w:tcPr>
          <w:p>
            <w:pPr>
              <w:jc w:val="right"/>
              <w:ind w:right="13"/>
              <w:spacing w:after="0"/>
              <w:rPr>
                <w:sz w:val="20"/>
                <w:szCs w:val="20"/>
                <w:color w:val="auto"/>
              </w:rPr>
            </w:pPr>
            <w:r>
              <w:rPr>
                <w:rFonts w:ascii="Arial" w:cs="Arial" w:eastAsia="Arial" w:hAnsi="Arial"/>
                <w:sz w:val="16"/>
                <w:szCs w:val="16"/>
                <w:color w:val="auto"/>
              </w:rPr>
              <w:t>(41,138)</w:t>
            </w: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w w:val="91"/>
              </w:rPr>
              <w:t>Severance and executive transition costs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3,909</w:t>
            </w:r>
          </w:p>
        </w:tc>
        <w:tc>
          <w:tcPr>
            <w:tcW w:w="8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7"/>
                <w:szCs w:val="17"/>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6"/>
                <w:szCs w:val="16"/>
                <w:color w:val="auto"/>
              </w:rPr>
              <w:t>192</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1,237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3,239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55</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7"/>
                <w:szCs w:val="17"/>
                <w:color w:val="auto"/>
              </w:rPr>
            </w:pPr>
          </w:p>
        </w:tc>
      </w:tr>
      <w:tr>
        <w:trPr>
          <w:trHeight w:val="20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w w:val="91"/>
              </w:rPr>
              <w:t>Costs related to the COVID-19 pandemic</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8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6,645</w:t>
            </w:r>
          </w:p>
        </w:tc>
        <w:tc>
          <w:tcPr>
            <w:tcW w:w="1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9"/>
              </w:rPr>
              <w:t>—</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3"/>
                <w:szCs w:val="13"/>
                <w:b w:val="1"/>
                <w:bCs w:val="1"/>
                <w:color w:val="auto"/>
              </w:rPr>
              <w:t>Thirteen Weeks Ended</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80" w:type="dxa"/>
            <w:vAlign w:val="bottom"/>
          </w:tcPr>
          <w:p>
            <w:pPr>
              <w:spacing w:after="0"/>
              <w:rPr>
                <w:sz w:val="9"/>
                <w:szCs w:val="9"/>
                <w:color w:val="auto"/>
              </w:rPr>
            </w:pPr>
          </w:p>
        </w:tc>
        <w:tc>
          <w:tcPr>
            <w:tcW w:w="82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0"/>
              </w:rPr>
              <w:t>October 31,</w:t>
            </w:r>
          </w:p>
        </w:tc>
        <w:tc>
          <w:tcPr>
            <w:tcW w:w="72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8"/>
              </w:rPr>
              <w:t>August 1,</w:t>
            </w:r>
          </w:p>
        </w:tc>
        <w:tc>
          <w:tcPr>
            <w:tcW w:w="80" w:type="dxa"/>
            <w:vAlign w:val="bottom"/>
          </w:tcPr>
          <w:p>
            <w:pPr>
              <w:spacing w:after="0"/>
              <w:rPr>
                <w:sz w:val="9"/>
                <w:szCs w:val="9"/>
                <w:color w:val="auto"/>
              </w:rPr>
            </w:pPr>
          </w:p>
        </w:tc>
        <w:tc>
          <w:tcPr>
            <w:tcW w:w="500" w:type="dxa"/>
            <w:vAlign w:val="bottom"/>
            <w:gridSpan w:val="2"/>
          </w:tcPr>
          <w:p>
            <w:pPr>
              <w:jc w:val="right"/>
              <w:ind w:right="140"/>
              <w:spacing w:after="0" w:line="110" w:lineRule="exact"/>
              <w:rPr>
                <w:sz w:val="20"/>
                <w:szCs w:val="20"/>
                <w:color w:val="auto"/>
              </w:rPr>
            </w:pPr>
            <w:r>
              <w:rPr>
                <w:rFonts w:ascii="Arial" w:cs="Arial" w:eastAsia="Arial" w:hAnsi="Arial"/>
                <w:sz w:val="12"/>
                <w:szCs w:val="12"/>
                <w:b w:val="1"/>
                <w:bCs w:val="1"/>
                <w:color w:val="auto"/>
                <w:w w:val="92"/>
              </w:rPr>
              <w:t>May 2,</w:t>
            </w:r>
          </w:p>
        </w:tc>
        <w:tc>
          <w:tcPr>
            <w:tcW w:w="60" w:type="dxa"/>
            <w:vAlign w:val="bottom"/>
          </w:tcPr>
          <w:p>
            <w:pPr>
              <w:spacing w:after="0"/>
              <w:rPr>
                <w:sz w:val="9"/>
                <w:szCs w:val="9"/>
                <w:color w:val="auto"/>
              </w:rPr>
            </w:pP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2"/>
                <w:szCs w:val="12"/>
                <w:b w:val="1"/>
                <w:bCs w:val="1"/>
                <w:color w:val="auto"/>
                <w:w w:val="95"/>
              </w:rPr>
              <w:t>February 1,</w:t>
            </w:r>
          </w:p>
        </w:tc>
        <w:tc>
          <w:tcPr>
            <w:tcW w:w="60" w:type="dxa"/>
            <w:vAlign w:val="bottom"/>
          </w:tcPr>
          <w:p>
            <w:pPr>
              <w:spacing w:after="0"/>
              <w:rPr>
                <w:sz w:val="9"/>
                <w:szCs w:val="9"/>
                <w:color w:val="auto"/>
              </w:rPr>
            </w:pPr>
          </w:p>
        </w:tc>
        <w:tc>
          <w:tcPr>
            <w:tcW w:w="88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1"/>
              </w:rPr>
              <w:t>November 2,</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5"/>
              </w:rPr>
              <w:t>August 3,</w:t>
            </w:r>
          </w:p>
        </w:tc>
        <w:tc>
          <w:tcPr>
            <w:tcW w:w="60" w:type="dxa"/>
            <w:vAlign w:val="bottom"/>
          </w:tcPr>
          <w:p>
            <w:pPr>
              <w:spacing w:after="0"/>
              <w:rPr>
                <w:sz w:val="9"/>
                <w:szCs w:val="9"/>
                <w:color w:val="auto"/>
              </w:rPr>
            </w:pPr>
          </w:p>
        </w:tc>
        <w:tc>
          <w:tcPr>
            <w:tcW w:w="70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rPr>
              <w:t>May 4,</w:t>
            </w:r>
          </w:p>
        </w:tc>
        <w:tc>
          <w:tcPr>
            <w:tcW w:w="84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February 2,</w:t>
            </w:r>
          </w:p>
        </w:tc>
        <w:tc>
          <w:tcPr>
            <w:tcW w:w="8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November 3,</w:t>
            </w:r>
          </w:p>
        </w:tc>
        <w:tc>
          <w:tcPr>
            <w:tcW w:w="60" w:type="dxa"/>
            <w:vAlign w:val="bottom"/>
          </w:tcPr>
          <w:p>
            <w:pPr>
              <w:spacing w:after="0"/>
              <w:rPr>
                <w:sz w:val="9"/>
                <w:szCs w:val="9"/>
                <w:color w:val="auto"/>
              </w:rPr>
            </w:pPr>
          </w:p>
        </w:tc>
        <w:tc>
          <w:tcPr>
            <w:tcW w:w="78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98"/>
              </w:rPr>
              <w:t>August 4,</w:t>
            </w:r>
          </w:p>
        </w:tc>
        <w:tc>
          <w:tcPr>
            <w:tcW w:w="5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May 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20"/>
                <w:szCs w:val="20"/>
                <w:color w:val="auto"/>
              </w:rPr>
            </w:pPr>
            <w:r>
              <w:rPr>
                <w:rFonts w:ascii="Arial" w:cs="Arial" w:eastAsia="Arial" w:hAnsi="Arial"/>
                <w:sz w:val="13"/>
                <w:szCs w:val="13"/>
                <w:color w:val="auto"/>
              </w:rPr>
              <w:t>(In thousands)</w:t>
            </w:r>
          </w:p>
        </w:tc>
        <w:tc>
          <w:tcPr>
            <w:tcW w:w="620" w:type="dxa"/>
            <w:vAlign w:val="bottom"/>
          </w:tcPr>
          <w:p>
            <w:pPr>
              <w:jc w:val="right"/>
              <w:ind w:right="10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600" w:type="dxa"/>
            <w:vAlign w:val="bottom"/>
          </w:tcPr>
          <w:p>
            <w:pPr>
              <w:jc w:val="right"/>
              <w:ind w:right="104"/>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460" w:type="dxa"/>
            <w:vAlign w:val="bottom"/>
            <w:gridSpan w:val="2"/>
          </w:tcPr>
          <w:p>
            <w:pPr>
              <w:jc w:val="right"/>
              <w:ind w:right="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700" w:type="dxa"/>
            <w:vAlign w:val="bottom"/>
            <w:gridSpan w:val="2"/>
          </w:tcPr>
          <w:p>
            <w:pPr>
              <w:jc w:val="right"/>
              <w:ind w:right="10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74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580" w:type="dxa"/>
            <w:vAlign w:val="bottom"/>
          </w:tcPr>
          <w:p>
            <w:pPr>
              <w:jc w:val="right"/>
              <w:ind w:right="84"/>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5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22"/>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42"/>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3"/>
                <w:szCs w:val="13"/>
                <w:color w:val="auto"/>
              </w:rPr>
            </w:pPr>
          </w:p>
        </w:tc>
        <w:tc>
          <w:tcPr>
            <w:tcW w:w="640" w:type="dxa"/>
            <w:vAlign w:val="bottom"/>
            <w:gridSpan w:val="2"/>
          </w:tcPr>
          <w:p>
            <w:pPr>
              <w:jc w:val="right"/>
              <w:ind w:right="91"/>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500" w:type="dxa"/>
            <w:vAlign w:val="bottom"/>
          </w:tcPr>
          <w:p>
            <w:pPr>
              <w:jc w:val="right"/>
              <w:ind w:right="4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8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Inventory write-down adjustments</w:t>
            </w: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associated with strategic</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merchandising initiative</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18,225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2580" w:type="dxa"/>
            <w:vAlign w:val="bottom"/>
          </w:tcPr>
          <w:p>
            <w:pPr>
              <w:spacing w:after="0"/>
              <w:rPr>
                <w:sz w:val="20"/>
                <w:szCs w:val="20"/>
                <w:color w:val="auto"/>
              </w:rPr>
            </w:pPr>
            <w:r>
              <w:rPr>
                <w:rFonts w:ascii="Arial" w:cs="Arial" w:eastAsia="Arial" w:hAnsi="Arial"/>
                <w:sz w:val="16"/>
                <w:szCs w:val="16"/>
                <w:color w:val="auto"/>
              </w:rPr>
              <w:t>Other</w:t>
            </w:r>
          </w:p>
        </w:tc>
        <w:tc>
          <w:tcPr>
            <w:tcW w:w="620" w:type="dxa"/>
            <w:vAlign w:val="bottom"/>
          </w:tcPr>
          <w:p>
            <w:pPr>
              <w:jc w:val="right"/>
              <w:spacing w:after="0"/>
              <w:rPr>
                <w:sz w:val="20"/>
                <w:szCs w:val="20"/>
                <w:color w:val="auto"/>
              </w:rPr>
            </w:pPr>
            <w:r>
              <w:rPr>
                <w:rFonts w:ascii="Arial" w:cs="Arial" w:eastAsia="Arial" w:hAnsi="Arial"/>
                <w:sz w:val="16"/>
                <w:szCs w:val="16"/>
                <w:color w:val="auto"/>
              </w:rPr>
              <w:t>2,965</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2,656</w:t>
            </w:r>
          </w:p>
        </w:tc>
        <w:tc>
          <w:tcPr>
            <w:tcW w:w="14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1,704</w:t>
            </w:r>
          </w:p>
        </w:tc>
        <w:tc>
          <w:tcPr>
            <w:tcW w:w="580" w:type="dxa"/>
            <w:vAlign w:val="bottom"/>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7"/>
                <w:szCs w:val="17"/>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6"/>
                <w:szCs w:val="16"/>
                <w:color w:val="auto"/>
              </w:rPr>
              <w:t>2,112</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(1,910)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775</w:t>
            </w:r>
          </w:p>
        </w:tc>
        <w:tc>
          <w:tcPr>
            <w:tcW w:w="500" w:type="dxa"/>
            <w:vAlign w:val="bottom"/>
          </w:tcPr>
          <w:p>
            <w:pPr>
              <w:jc w:val="right"/>
              <w:spacing w:after="0"/>
              <w:rPr>
                <w:sz w:val="20"/>
                <w:szCs w:val="20"/>
                <w:color w:val="auto"/>
              </w:rPr>
            </w:pPr>
            <w:r>
              <w:rPr>
                <w:rFonts w:ascii="Arial" w:cs="Arial" w:eastAsia="Arial" w:hAnsi="Arial"/>
                <w:sz w:val="16"/>
                <w:szCs w:val="16"/>
                <w:color w:val="auto"/>
              </w:rPr>
              <w:t>2,866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Tax effects of these adjustments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6"/>
                <w:szCs w:val="16"/>
                <w:color w:val="auto"/>
              </w:rPr>
              <w:t>Adjusted Net Income (Loss)</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8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98,894</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178,351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23,607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34,062</w:t>
            </w:r>
          </w:p>
        </w:tc>
        <w:tc>
          <w:tcPr>
            <w:tcW w:w="580" w:type="dxa"/>
            <w:vAlign w:val="bottom"/>
          </w:tcPr>
          <w:p>
            <w:pPr>
              <w:jc w:val="right"/>
              <w:spacing w:after="0"/>
              <w:rPr>
                <w:sz w:val="20"/>
                <w:szCs w:val="20"/>
                <w:color w:val="auto"/>
              </w:rPr>
            </w:pPr>
            <w:r>
              <w:rPr>
                <w:rFonts w:ascii="Arial" w:cs="Arial" w:eastAsia="Arial" w:hAnsi="Arial"/>
                <w:sz w:val="16"/>
                <w:szCs w:val="16"/>
                <w:color w:val="auto"/>
              </w:rPr>
              <w:t>51,503</w:t>
            </w:r>
          </w:p>
        </w:tc>
        <w:tc>
          <w:tcPr>
            <w:tcW w:w="1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(7,703)</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(724)</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4,845</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46,472</w:t>
            </w:r>
          </w:p>
        </w:tc>
        <w:tc>
          <w:tcPr>
            <w:tcW w:w="500" w:type="dxa"/>
            <w:vAlign w:val="bottom"/>
          </w:tcPr>
          <w:p>
            <w:pPr>
              <w:jc w:val="right"/>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Estimated tax effect of change to</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C-Corporation status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(43,947)</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(316)</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(6,008)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(8,472)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(12,835)</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1,772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(1,182)</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(11,712)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00"/>
        </w:trPr>
        <w:tc>
          <w:tcPr>
            <w:tcW w:w="2580" w:type="dxa"/>
            <w:vAlign w:val="bottom"/>
          </w:tcPr>
          <w:p>
            <w:pPr>
              <w:spacing w:after="0"/>
              <w:rPr>
                <w:sz w:val="20"/>
                <w:szCs w:val="20"/>
                <w:color w:val="auto"/>
              </w:rPr>
            </w:pPr>
            <w:r>
              <w:rPr>
                <w:rFonts w:ascii="Arial" w:cs="Arial" w:eastAsia="Arial" w:hAnsi="Arial"/>
                <w:sz w:val="16"/>
                <w:szCs w:val="16"/>
                <w:color w:val="auto"/>
              </w:rPr>
              <w:t>Pro Forma Adjusted Net Income</w:t>
            </w: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160"/>
              <w:spacing w:after="0"/>
              <w:rPr>
                <w:sz w:val="20"/>
                <w:szCs w:val="20"/>
                <w:color w:val="auto"/>
              </w:rPr>
            </w:pPr>
            <w:r>
              <w:rPr>
                <w:rFonts w:ascii="Arial" w:cs="Arial" w:eastAsia="Arial" w:hAnsi="Arial"/>
                <w:sz w:val="16"/>
                <w:szCs w:val="16"/>
                <w:color w:val="auto"/>
              </w:rPr>
              <w:t>(Loss)</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$ 73,747</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134,404</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$ 440</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  17,599</w:t>
            </w:r>
          </w:p>
        </w:tc>
        <w:tc>
          <w:tcPr>
            <w:tcW w:w="1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  25,590</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$ 38,668</w:t>
            </w: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(5,931)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(721)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3,663</w:t>
            </w: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w w:val="99"/>
              </w:rPr>
              <w:t>$ 34,760</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$ 3,635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a reconciliation of net cash provided by operating activities to Adjusted Free Cash Flow for the periods presented:</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3"/>
                <w:szCs w:val="13"/>
                <w:b w:val="1"/>
                <w:bCs w:val="1"/>
                <w:color w:val="auto"/>
                <w:w w:val="88"/>
              </w:rPr>
              <w:t>Thirteen Weeks Ended</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160" w:type="dxa"/>
            <w:vAlign w:val="bottom"/>
          </w:tcPr>
          <w:p>
            <w:pPr>
              <w:spacing w:after="0"/>
              <w:rPr>
                <w:sz w:val="9"/>
                <w:szCs w:val="9"/>
                <w:color w:val="auto"/>
              </w:rPr>
            </w:pPr>
          </w:p>
        </w:tc>
        <w:tc>
          <w:tcPr>
            <w:tcW w:w="64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3"/>
              </w:rPr>
              <w:t>October 31,</w:t>
            </w:r>
          </w:p>
        </w:tc>
        <w:tc>
          <w:tcPr>
            <w:tcW w:w="140" w:type="dxa"/>
            <w:vAlign w:val="bottom"/>
          </w:tcPr>
          <w:p>
            <w:pPr>
              <w:spacing w:after="0"/>
              <w:rPr>
                <w:sz w:val="9"/>
                <w:szCs w:val="9"/>
                <w:color w:val="auto"/>
              </w:rPr>
            </w:pPr>
          </w:p>
        </w:tc>
        <w:tc>
          <w:tcPr>
            <w:tcW w:w="80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8"/>
              </w:rPr>
              <w:t>August 1,</w:t>
            </w:r>
          </w:p>
        </w:tc>
        <w:tc>
          <w:tcPr>
            <w:tcW w:w="74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May 2,</w:t>
            </w:r>
          </w:p>
        </w:tc>
        <w:tc>
          <w:tcPr>
            <w:tcW w:w="78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8"/>
              </w:rPr>
              <w:t>February 1,</w:t>
            </w:r>
          </w:p>
        </w:tc>
        <w:tc>
          <w:tcPr>
            <w:tcW w:w="60" w:type="dxa"/>
            <w:vAlign w:val="bottom"/>
          </w:tcPr>
          <w:p>
            <w:pPr>
              <w:spacing w:after="0"/>
              <w:rPr>
                <w:sz w:val="9"/>
                <w:szCs w:val="9"/>
                <w:color w:val="auto"/>
              </w:rPr>
            </w:pPr>
          </w:p>
        </w:tc>
        <w:tc>
          <w:tcPr>
            <w:tcW w:w="82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November 2,</w:t>
            </w:r>
          </w:p>
        </w:tc>
        <w:tc>
          <w:tcPr>
            <w:tcW w:w="80" w:type="dxa"/>
            <w:vAlign w:val="bottom"/>
          </w:tcPr>
          <w:p>
            <w:pPr>
              <w:spacing w:after="0"/>
              <w:rPr>
                <w:sz w:val="9"/>
                <w:szCs w:val="9"/>
                <w:color w:val="auto"/>
              </w:rPr>
            </w:pPr>
          </w:p>
        </w:tc>
        <w:tc>
          <w:tcPr>
            <w:tcW w:w="74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August 3,</w:t>
            </w:r>
          </w:p>
        </w:tc>
        <w:tc>
          <w:tcPr>
            <w:tcW w:w="60" w:type="dxa"/>
            <w:vAlign w:val="bottom"/>
          </w:tcPr>
          <w:p>
            <w:pPr>
              <w:spacing w:after="0"/>
              <w:rPr>
                <w:sz w:val="9"/>
                <w:szCs w:val="9"/>
                <w:color w:val="auto"/>
              </w:rPr>
            </w:pPr>
          </w:p>
        </w:tc>
        <w:tc>
          <w:tcPr>
            <w:tcW w:w="72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7"/>
              </w:rPr>
              <w:t>May 4,</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5"/>
              </w:rPr>
              <w:t>February 2,</w:t>
            </w:r>
          </w:p>
        </w:tc>
        <w:tc>
          <w:tcPr>
            <w:tcW w:w="9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November 3,</w:t>
            </w:r>
          </w:p>
        </w:tc>
        <w:tc>
          <w:tcPr>
            <w:tcW w:w="78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5"/>
              </w:rPr>
              <w:t>August 4,</w:t>
            </w:r>
          </w:p>
        </w:tc>
        <w:tc>
          <w:tcPr>
            <w:tcW w:w="580" w:type="dxa"/>
            <w:vAlign w:val="bottom"/>
          </w:tcPr>
          <w:p>
            <w:pPr>
              <w:jc w:val="right"/>
              <w:ind w:right="27"/>
              <w:spacing w:after="0" w:line="110" w:lineRule="exact"/>
              <w:rPr>
                <w:sz w:val="20"/>
                <w:szCs w:val="20"/>
                <w:color w:val="auto"/>
              </w:rPr>
            </w:pPr>
            <w:r>
              <w:rPr>
                <w:rFonts w:ascii="Arial" w:cs="Arial" w:eastAsia="Arial" w:hAnsi="Arial"/>
                <w:sz w:val="12"/>
                <w:szCs w:val="12"/>
                <w:b w:val="1"/>
                <w:bCs w:val="1"/>
                <w:color w:val="auto"/>
              </w:rPr>
              <w:t>May 5,</w:t>
            </w:r>
          </w:p>
        </w:tc>
        <w:tc>
          <w:tcPr>
            <w:tcW w:w="100" w:type="dxa"/>
            <w:vAlign w:val="bottom"/>
          </w:tcPr>
          <w:p>
            <w:pPr>
              <w:spacing w:after="0"/>
              <w:rPr>
                <w:sz w:val="9"/>
                <w:szCs w:val="9"/>
                <w:color w:val="auto"/>
              </w:rPr>
            </w:pPr>
          </w:p>
        </w:tc>
      </w:tr>
      <w:tr>
        <w:trPr>
          <w:trHeight w:val="153"/>
        </w:trPr>
        <w:tc>
          <w:tcPr>
            <w:tcW w:w="2160" w:type="dxa"/>
            <w:vAlign w:val="bottom"/>
          </w:tcPr>
          <w:p>
            <w:pPr>
              <w:spacing w:after="0"/>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13"/>
                <w:szCs w:val="13"/>
                <w:color w:val="auto"/>
              </w:rPr>
            </w:pPr>
          </w:p>
        </w:tc>
        <w:tc>
          <w:tcPr>
            <w:tcW w:w="500" w:type="dxa"/>
            <w:vAlign w:val="bottom"/>
          </w:tcPr>
          <w:p>
            <w:pPr>
              <w:jc w:val="right"/>
              <w:ind w:right="124"/>
              <w:spacing w:after="0"/>
              <w:rPr>
                <w:sz w:val="20"/>
                <w:szCs w:val="20"/>
                <w:color w:val="auto"/>
              </w:rPr>
            </w:pPr>
            <w:r>
              <w:rPr>
                <w:rFonts w:ascii="Arial" w:cs="Arial" w:eastAsia="Arial" w:hAnsi="Arial"/>
                <w:sz w:val="13"/>
                <w:szCs w:val="13"/>
                <w:b w:val="1"/>
                <w:bCs w:val="1"/>
                <w:color w:val="auto"/>
                <w:w w:val="96"/>
              </w:rPr>
              <w:t>2020</w:t>
            </w:r>
          </w:p>
        </w:tc>
        <w:tc>
          <w:tcPr>
            <w:tcW w:w="740" w:type="dxa"/>
            <w:vAlign w:val="bottom"/>
            <w:gridSpan w:val="2"/>
          </w:tcPr>
          <w:p>
            <w:pPr>
              <w:jc w:val="right"/>
              <w:ind w:right="111"/>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640" w:type="dxa"/>
            <w:vAlign w:val="bottom"/>
          </w:tcPr>
          <w:p>
            <w:pPr>
              <w:jc w:val="right"/>
              <w:ind w:right="12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680" w:type="dxa"/>
            <w:vAlign w:val="bottom"/>
            <w:gridSpan w:val="2"/>
          </w:tcPr>
          <w:p>
            <w:pPr>
              <w:jc w:val="center"/>
              <w:ind w:left="4"/>
              <w:spacing w:after="0"/>
              <w:rPr>
                <w:sz w:val="20"/>
                <w:szCs w:val="20"/>
                <w:color w:val="auto"/>
              </w:rPr>
            </w:pPr>
            <w:r>
              <w:rPr>
                <w:rFonts w:ascii="Arial" w:cs="Arial" w:eastAsia="Arial" w:hAnsi="Arial"/>
                <w:sz w:val="13"/>
                <w:szCs w:val="13"/>
                <w:b w:val="1"/>
                <w:bCs w:val="1"/>
                <w:color w:val="auto"/>
                <w:w w:val="82"/>
              </w:rPr>
              <w:t>2019</w:t>
            </w:r>
          </w:p>
        </w:tc>
        <w:tc>
          <w:tcPr>
            <w:tcW w:w="140" w:type="dxa"/>
            <w:vAlign w:val="bottom"/>
          </w:tcPr>
          <w:p>
            <w:pPr>
              <w:spacing w:after="0"/>
              <w:rPr>
                <w:sz w:val="13"/>
                <w:szCs w:val="13"/>
                <w:color w:val="auto"/>
              </w:rPr>
            </w:pPr>
          </w:p>
        </w:tc>
        <w:tc>
          <w:tcPr>
            <w:tcW w:w="640" w:type="dxa"/>
            <w:vAlign w:val="bottom"/>
            <w:gridSpan w:val="2"/>
          </w:tcPr>
          <w:p>
            <w:pPr>
              <w:jc w:val="right"/>
              <w:ind w:right="102"/>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720" w:type="dxa"/>
            <w:vAlign w:val="bottom"/>
            <w:gridSpan w:val="2"/>
          </w:tcPr>
          <w:p>
            <w:pPr>
              <w:jc w:val="right"/>
              <w:ind w:right="142"/>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73"/>
        </w:trPr>
        <w:tc>
          <w:tcPr>
            <w:tcW w:w="21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8"/>
              </w:rPr>
              <w:t>Net cash provided by (used in)</w:t>
            </w: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2"/>
        </w:trPr>
        <w:tc>
          <w:tcPr>
            <w:tcW w:w="2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activities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83,597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$682,865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$90,756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$ 168,913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(9,205)</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8"/>
              </w:rPr>
              <w:t>$138,564</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$(34,603)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$ 167,588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(83,563)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$ 73,127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$ 41,329</w:t>
            </w:r>
          </w:p>
        </w:tc>
        <w:tc>
          <w:tcPr>
            <w:tcW w:w="100" w:type="dxa"/>
            <w:vAlign w:val="bottom"/>
            <w:shd w:val="clear" w:color="auto" w:fill="CCEEFF"/>
          </w:tcPr>
          <w:p>
            <w:pPr>
              <w:spacing w:after="0"/>
              <w:rPr>
                <w:sz w:val="18"/>
                <w:szCs w:val="18"/>
                <w:color w:val="auto"/>
              </w:rPr>
            </w:pPr>
          </w:p>
        </w:tc>
      </w:tr>
      <w:tr>
        <w:trPr>
          <w:trHeight w:val="193"/>
        </w:trPr>
        <w:tc>
          <w:tcPr>
            <w:tcW w:w="2160" w:type="dxa"/>
            <w:vAlign w:val="bottom"/>
          </w:tcPr>
          <w:p>
            <w:pPr>
              <w:spacing w:after="0"/>
              <w:rPr>
                <w:sz w:val="20"/>
                <w:szCs w:val="20"/>
                <w:color w:val="auto"/>
              </w:rPr>
            </w:pPr>
            <w:r>
              <w:rPr>
                <w:rFonts w:ascii="Arial" w:cs="Arial" w:eastAsia="Arial" w:hAnsi="Arial"/>
                <w:sz w:val="16"/>
                <w:szCs w:val="16"/>
                <w:color w:val="auto"/>
              </w:rPr>
              <w:t>Net cash used in investing</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160" w:type="dxa"/>
            <w:vAlign w:val="bottom"/>
          </w:tcPr>
          <w:p>
            <w:pPr>
              <w:ind w:left="160"/>
              <w:spacing w:after="0"/>
              <w:rPr>
                <w:sz w:val="20"/>
                <w:szCs w:val="20"/>
                <w:color w:val="auto"/>
              </w:rPr>
            </w:pPr>
            <w:r>
              <w:rPr>
                <w:rFonts w:ascii="Arial" w:cs="Arial" w:eastAsia="Arial" w:hAnsi="Arial"/>
                <w:sz w:val="16"/>
                <w:szCs w:val="16"/>
                <w:color w:val="auto"/>
              </w:rPr>
              <w:t>activities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(3,924)</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(9,926)</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(14,204)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(20,812)</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(15,884)</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(15,883)</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(28,037)</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(24,669)</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(27,249)</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(19,072)</w:t>
            </w:r>
          </w:p>
        </w:tc>
      </w:tr>
      <w:tr>
        <w:trPr>
          <w:trHeight w:val="30"/>
        </w:trPr>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Adjusted Free Cash Flow</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83,657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678,941</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80,830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$ 154,709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(30,017)</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122,680</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(50,486)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$ 139,551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(108,232)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$ 45,878</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$ 22,257</w:t>
            </w:r>
          </w:p>
        </w:tc>
        <w:tc>
          <w:tcPr>
            <w:tcW w:w="100" w:type="dxa"/>
            <w:vAlign w:val="bottom"/>
            <w:shd w:val="clear" w:color="auto" w:fill="CCEEFF"/>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Historically, our principal sources of cash have included:</w:t>
      </w:r>
    </w:p>
    <w:p>
      <w:pPr>
        <w:spacing w:after="0" w:line="131"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generated from operating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issuances of debt securities;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borrowings under term loan and ABL credit facilities.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historical uses of cash have been associated primarily with:</w:t>
      </w:r>
    </w:p>
    <w:p>
      <w:pPr>
        <w:spacing w:after="0" w:line="131" w:lineRule="exact"/>
        <w:rPr>
          <w:sz w:val="20"/>
          <w:szCs w:val="20"/>
          <w:color w:val="auto"/>
        </w:rPr>
      </w:pPr>
    </w:p>
    <w:p>
      <w:pPr>
        <w:ind w:left="1080" w:right="50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operating activities, such as the purchase and growth of inventory, expansion of our sales and marketing activities and other working capital needs;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4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capital improvements and support of expansion plans, as well as various investments in store remodeling, store fixtures and on-going infrastructure improvements;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paying debt obligations and related interest expense;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paying partnership distributions to our members;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fluctuations in working capital due to timing differences of cash receipts and cash disbursements.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October 31, 2020, our cash and cash equivalents totaled $869.7 million.</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focused on navigating the ongoing challenges presented by COVID-19 through the preservation of our long-term liquidity and management of cash flow through preemptive actions to enhance our ability to meet our short-term liquidity needs. During the year-to-date 2020, we have taken various cost cutting measures to maximize operational cash flows (see “—Impact of COVID-19 on Our Business”). Such actions include, but are not limited to, reduction of discretionary spending, deferring or cancelling our planned expenses, revisiting and reprioritizing our strategic investments, and reducing our payroll costs, including temporary team member furloughs, workforce reductions and pay cuts.</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On August 28, 2020, we paid a $257.0 million one-time special distribution to our members of record as of August 25, 2020, $248.0 million of which was paid with cash on hand and the remainder of which was distributed through an offset of outstanding loans receivable from a member as well as state income tax withholdings made on behalf of our members. Related cash payments of $20.7 million to vested share-based award holders was paid through October 31, 2020 and an additional $12.1 million of payments will be made to unvested share-based award holders as the related awards vest. See “Distribution” in Note 10, </w:t>
      </w:r>
      <w:r>
        <w:rPr>
          <w:rFonts w:ascii="Arial" w:cs="Arial" w:eastAsia="Arial" w:hAnsi="Arial"/>
          <w:sz w:val="18"/>
          <w:szCs w:val="18"/>
          <w:i w:val="1"/>
          <w:iCs w:val="1"/>
          <w:color w:val="auto"/>
        </w:rPr>
        <w:t>Equity and Share-Based Compensation</w:t>
      </w:r>
      <w:r>
        <w:rPr>
          <w:rFonts w:ascii="Arial" w:cs="Arial" w:eastAsia="Arial" w:hAnsi="Arial"/>
          <w:sz w:val="18"/>
          <w:szCs w:val="18"/>
          <w:color w:val="auto"/>
        </w:rPr>
        <w:t>, to our unaudited condensed consolidated financial statements included elsewhere in this prospectus.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On October 6, 2020, we completed our IPO in which we issued and sold 15,625,000 shares of common stock, $0.01 par value, to the IPO underwriters for cash consideration of $12.22 per share (representing an initial public offering price of $13.00 per share, net of underwriting discounts) that resulted in net proceeds of approximately $184.9 million after deducting underwriting discounts, which included approximately $2.7 million paid to KKR Capital Markets LLC, an affiliate of KKR Stockholders, for underwriting services in connection with the IPO, and $6.1 million in costs directly associated with the IPO, such as legal and accounting fees. See “Initial Public Offering and Reorganization Transactions” in Note 1, </w:t>
      </w:r>
      <w:r>
        <w:rPr>
          <w:rFonts w:ascii="Arial" w:cs="Arial" w:eastAsia="Arial" w:hAnsi="Arial"/>
          <w:sz w:val="17"/>
          <w:szCs w:val="17"/>
          <w:i w:val="1"/>
          <w:iCs w:val="1"/>
          <w:color w:val="auto"/>
        </w:rPr>
        <w:t>Nature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to our unaudited condensed consolidated financial statements included elsewhere in this prospectus.</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Subsequent to the 2020 third quarter, 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KKR Capital Markets LLC for underwriting services, pursuant to the partial exercise by the underwriters of their option to purchase up to 2,343,750 additional shares to cover over-allotments in connection with our IPO. The option has expired with respect to the remaining shares. See “Initial Public Offering and Reorganization Transactions” in Note 1, </w:t>
      </w:r>
      <w:r>
        <w:rPr>
          <w:rFonts w:ascii="Arial" w:cs="Arial" w:eastAsia="Arial" w:hAnsi="Arial"/>
          <w:sz w:val="17"/>
          <w:szCs w:val="17"/>
          <w:i w:val="1"/>
          <w:iCs w:val="1"/>
          <w:color w:val="auto"/>
        </w:rPr>
        <w:t>Nature of Operations</w:t>
      </w:r>
      <w:r>
        <w:rPr>
          <w:rFonts w:ascii="Arial" w:cs="Arial" w:eastAsia="Arial" w:hAnsi="Arial"/>
          <w:sz w:val="17"/>
          <w:szCs w:val="17"/>
          <w:color w:val="auto"/>
        </w:rPr>
        <w:t xml:space="preserve">, and Note 15, </w:t>
      </w:r>
      <w:r>
        <w:rPr>
          <w:rFonts w:ascii="Arial" w:cs="Arial" w:eastAsia="Arial" w:hAnsi="Arial"/>
          <w:sz w:val="17"/>
          <w:szCs w:val="17"/>
          <w:i w:val="1"/>
          <w:iCs w:val="1"/>
          <w:color w:val="auto"/>
        </w:rPr>
        <w:t>Subsequent Events</w:t>
      </w:r>
      <w:r>
        <w:rPr>
          <w:rFonts w:ascii="Arial" w:cs="Arial" w:eastAsia="Arial" w:hAnsi="Arial"/>
          <w:sz w:val="17"/>
          <w:szCs w:val="17"/>
          <w:color w:val="auto"/>
        </w:rPr>
        <w:t>, to our unaudited condensed consolidated financial statements included elsewhere in this prospectus.</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Subsequent to the 2020 third quarter, on November 6, 2020, the Company (1) issued $400.0 million of 6.00% senior secured notes, which are due November 15, 2027, (2) entered into a $400.0 million first lien term loan facility, which is due November 6, 2027 and (3) extended the maturity of the ABL Facility to November 6, 2025. We used the net proceeds from the 2027 Notes and the net proceeds from the Term Loan Facility, together with cash on hand, to repay in full our 2015 Term Loan Facility, in the amount of $1,431.4 million. See Note 15, </w:t>
      </w:r>
      <w:r>
        <w:rPr>
          <w:rFonts w:ascii="Arial" w:cs="Arial" w:eastAsia="Arial" w:hAnsi="Arial"/>
          <w:sz w:val="18"/>
          <w:szCs w:val="18"/>
          <w:i w:val="1"/>
          <w:iCs w:val="1"/>
          <w:color w:val="auto"/>
        </w:rPr>
        <w:t>Subsequent Events</w:t>
      </w:r>
      <w:r>
        <w:rPr>
          <w:rFonts w:ascii="Arial" w:cs="Arial" w:eastAsia="Arial" w:hAnsi="Arial"/>
          <w:sz w:val="18"/>
          <w:szCs w:val="18"/>
          <w:color w:val="auto"/>
        </w:rPr>
        <w:t>, to our unaudited condensed consolidated financial statements included elsewhere in this prospectus.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expect to use existing cash balances, internally generated cash flows, and available borrowings under the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2019 and the year-to-date 2020 was ample to support our operations and service our requirements.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Liquidity information related to our ABL Facility is as follows as of and for the periods shown (in thousands, except days):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6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40" w:type="dxa"/>
            <w:vAlign w:val="bottom"/>
          </w:tcPr>
          <w:p>
            <w:pPr>
              <w:spacing w:after="0"/>
              <w:rPr>
                <w:sz w:val="10"/>
                <w:szCs w:val="10"/>
                <w:color w:val="auto"/>
              </w:rPr>
            </w:pPr>
          </w:p>
        </w:tc>
      </w:tr>
      <w:tr>
        <w:trPr>
          <w:trHeight w:val="171"/>
        </w:trPr>
        <w:tc>
          <w:tcPr>
            <w:tcW w:w="6160" w:type="dxa"/>
            <w:vAlign w:val="bottom"/>
          </w:tcPr>
          <w:p>
            <w:pPr>
              <w:spacing w:after="0"/>
              <w:rPr>
                <w:sz w:val="14"/>
                <w:szCs w:val="14"/>
                <w:color w:val="auto"/>
              </w:rPr>
            </w:pPr>
          </w:p>
        </w:tc>
        <w:tc>
          <w:tcPr>
            <w:tcW w:w="74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funds drawn</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$ 168,864</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Number of days with outstanding balance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Maximum daily amount outstanding</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$ 500,000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147,100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Minimum available borrowing capacity</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$ 161,089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771,750</w:t>
            </w: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October 31,</w:t>
            </w:r>
          </w:p>
        </w:tc>
        <w:tc>
          <w:tcPr>
            <w:tcW w:w="13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13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November 2,</w:t>
            </w:r>
          </w:p>
        </w:tc>
        <w:tc>
          <w:tcPr>
            <w:tcW w:w="60" w:type="dxa"/>
            <w:vAlign w:val="bottom"/>
          </w:tcPr>
          <w:p>
            <w:pPr>
              <w:spacing w:after="0"/>
              <w:rPr>
                <w:sz w:val="10"/>
                <w:szCs w:val="10"/>
                <w:color w:val="auto"/>
              </w:rPr>
            </w:pPr>
          </w:p>
        </w:tc>
      </w:tr>
      <w:tr>
        <w:trPr>
          <w:trHeight w:val="171"/>
        </w:trPr>
        <w:tc>
          <w:tcPr>
            <w:tcW w:w="39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borrowings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Issued letters of credit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21,112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15,927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14,427</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Available borrowing capacity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844,712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827,404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941,273</w:t>
            </w:r>
          </w:p>
        </w:tc>
        <w:tc>
          <w:tcPr>
            <w:tcW w:w="6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expect capital expenditures for fiscal year 2020 to be approximately $46.6 million. Approximately 65% of our planned cash outflow relate to investments in our corporate, e-commerce and information technology programs. Investments in existing stores and distribution centers is expected to account for approximately 30% of the planned cash outflow and the remaining 5% is expected to be utilized through investments in store remodels. We review forecasted capital expenditures throughout the year and will adjust or modify projects based on business conditions at that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for the Thirty-Nine Weeks Ended October 31, 2020 and November 2,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unaudited statements of cash flows for the periods shown are summarized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$ 857,218</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20" w:type="dxa"/>
            <w:vAlign w:val="bottom"/>
            <w:gridSpan w:val="3"/>
          </w:tcPr>
          <w:p>
            <w:pPr>
              <w:jc w:val="right"/>
              <w:ind w:right="620"/>
              <w:spacing w:after="0"/>
              <w:rPr>
                <w:sz w:val="20"/>
                <w:szCs w:val="20"/>
                <w:color w:val="auto"/>
              </w:rPr>
            </w:pPr>
            <w:r>
              <w:rPr>
                <w:rFonts w:ascii="Arial" w:cs="Arial" w:eastAsia="Arial" w:hAnsi="Arial"/>
                <w:sz w:val="18"/>
                <w:szCs w:val="18"/>
                <w:color w:val="auto"/>
              </w:rPr>
              <w:t>(13,790)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(52,579)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(123,088)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(74,330)</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$ 720,340</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(32,153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100"/>
              <w:spacing w:after="0"/>
              <w:rPr>
                <w:sz w:val="20"/>
                <w:szCs w:val="20"/>
                <w:color w:val="auto"/>
              </w:rPr>
            </w:pPr>
            <w:r>
              <w:rPr>
                <w:rFonts w:ascii="Arial" w:cs="Arial" w:eastAsia="Arial" w:hAnsi="Arial"/>
                <w:sz w:val="18"/>
                <w:szCs w:val="18"/>
                <w:color w:val="auto"/>
              </w:rPr>
              <w:t>86</w:t>
            </w:r>
          </w:p>
        </w:tc>
        <w:tc>
          <w:tcPr>
            <w:tcW w:w="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58" w:lineRule="auto"/>
        <w:rPr>
          <w:sz w:val="20"/>
          <w:szCs w:val="20"/>
          <w:color w:val="auto"/>
        </w:rPr>
      </w:pPr>
      <w:r>
        <w:rPr>
          <w:rFonts w:ascii="Arial" w:cs="Arial" w:eastAsia="Arial" w:hAnsi="Arial"/>
          <w:sz w:val="18"/>
          <w:szCs w:val="18"/>
          <w:b w:val="1"/>
          <w:bCs w:val="1"/>
          <w:color w:val="auto"/>
        </w:rPr>
        <w:t>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cash provided by operating activities consists primarily of net income adjusted for non-cash items,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and amortization, non-cash lease expense, equity compensation, amortization of deferred loan and other costs, non-cash gain on early retirement of debt, net, and changes in assets and liabilities, loss on swaps from debt refinancing and deferred income taxes.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7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Cash provided by operating activities in the year-to-date 2020 increased $762.5 million, compared to the year-to-date 2019. This increase in cash was attributable to:</w:t>
      </w:r>
    </w:p>
    <w:p>
      <w:pPr>
        <w:spacing w:after="0" w:line="76"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$599.1 million net increase in cash flows provided by operating assets and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$114.9 million increase in net income;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$48.4 million increase in non-cash charges.</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increase in cash flows from operating assets and liabilities for the year-to-date 2020 compared to the year-to-date 2019 was primarily attributable to:</w:t>
      </w:r>
    </w:p>
    <w:p>
      <w:pPr>
        <w:spacing w:after="0" w:line="76" w:lineRule="exact"/>
        <w:rPr>
          <w:sz w:val="20"/>
          <w:szCs w:val="20"/>
          <w:color w:val="auto"/>
        </w:rPr>
      </w:pPr>
    </w:p>
    <w:p>
      <w:pPr>
        <w:ind w:left="1080" w:right="4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$214.5 million decrease in merchandise inventories, net due to inventory reductions from high sell through in the current year-to-date, coupled with an increase in inventory during the prior year; and</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$340.1 million increase in accounts payable related to increased inventory receipts in recent months and extensions of vendor payment terms.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increase from non-cash charges for the year-to-date 2020 compared to the year-to-date 2019 was primarily caused by:</w:t>
      </w:r>
    </w:p>
    <w:p>
      <w:pPr>
        <w:spacing w:after="0" w:line="131" w:lineRule="exact"/>
        <w:rPr>
          <w:sz w:val="20"/>
          <w:szCs w:val="20"/>
          <w:color w:val="auto"/>
        </w:rPr>
      </w:pPr>
    </w:p>
    <w:p>
      <w:pPr>
        <w:ind w:left="10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$34.4 million decrease in non-cash gains on the early retirement of debt, net resulting from lower current year-to-date principal repurchases of portions of our 2015 Term Loan Facility;</w:t>
      </w:r>
    </w:p>
    <w:p>
      <w:pPr>
        <w:spacing w:after="0" w:line="75" w:lineRule="exact"/>
        <w:rPr>
          <w:rFonts w:ascii="Arial" w:cs="Arial" w:eastAsia="Arial" w:hAnsi="Arial"/>
          <w:sz w:val="18"/>
          <w:szCs w:val="18"/>
          <w:color w:val="auto"/>
        </w:rPr>
      </w:pPr>
    </w:p>
    <w:p>
      <w:pPr>
        <w:jc w:val="both"/>
        <w:ind w:left="1080" w:right="60" w:hanging="424"/>
        <w:spacing w:after="0" w:line="34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$21.2 million increase in stock compensation expense, which includes approximately $19.9 million of stock compensation associated with the expensing of certain outstanding restricted stock units as a result of the liquidity condition being achieved upon completion of our IPO;</w:t>
      </w:r>
    </w:p>
    <w:p>
      <w:pPr>
        <w:spacing w:after="0" w:line="29"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$12.4 million increase in non-cash lease expense due to timing of rent payments and 46 lease extensions executed during the year-to-date 2020; partially offset by</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$11.5 million decrease related to increased deferred income tax accruals as a result of the Company becoming subject to federal income taxes in connection with the Reorganization Transactions;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$9.0 million decrease in depreciation and amortization.</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table shows the amounts of capital expenditures for each period indicated (in thousands):</w:t>
      </w:r>
    </w:p>
    <w:p>
      <w:pPr>
        <w:spacing w:after="0" w:line="248"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Thirty-Nine Weeks</w:t>
      </w:r>
    </w:p>
    <w:p>
      <w:pPr>
        <w:jc w:val="center"/>
        <w:ind w:left="6040"/>
        <w:spacing w:after="0" w:line="236" w:lineRule="auto"/>
        <w:rPr>
          <w:sz w:val="20"/>
          <w:szCs w:val="20"/>
          <w:color w:val="auto"/>
        </w:rPr>
      </w:pPr>
      <w:r>
        <w:rPr>
          <w:rFonts w:ascii="Arial" w:cs="Arial" w:eastAsia="Arial" w:hAnsi="Arial"/>
          <w:sz w:val="14"/>
          <w:szCs w:val="14"/>
          <w:b w:val="1"/>
          <w:bCs w:val="1"/>
          <w:color w:val="auto"/>
        </w:rPr>
        <w:t>Ended</w:t>
      </w:r>
    </w:p>
    <w:tbl>
      <w:tblPr>
        <w:tblLayout w:type="fixed"/>
        <w:tblInd w:w="1440" w:type="dxa"/>
        <w:tblCellMar>
          <w:top w:w="0" w:type="dxa"/>
          <w:left w:w="0" w:type="dxa"/>
          <w:bottom w:w="0" w:type="dxa"/>
          <w:right w:w="0" w:type="dxa"/>
        </w:tblCellMar>
      </w:tblPr>
      <w:tr>
        <w:trPr>
          <w:trHeight w:val="119"/>
        </w:trPr>
        <w:tc>
          <w:tcPr>
            <w:tcW w:w="6100" w:type="dxa"/>
            <w:vAlign w:val="bottom"/>
          </w:tcPr>
          <w:p>
            <w:pPr>
              <w:spacing w:after="0"/>
              <w:rPr>
                <w:sz w:val="10"/>
                <w:szCs w:val="10"/>
                <w:color w:val="auto"/>
              </w:rPr>
            </w:pPr>
          </w:p>
        </w:tc>
        <w:tc>
          <w:tcPr>
            <w:tcW w:w="144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November 2,</w:t>
            </w:r>
          </w:p>
        </w:tc>
        <w:tc>
          <w:tcPr>
            <w:tcW w:w="40" w:type="dxa"/>
            <w:vAlign w:val="bottom"/>
          </w:tcPr>
          <w:p>
            <w:pPr>
              <w:spacing w:after="0"/>
              <w:rPr>
                <w:sz w:val="10"/>
                <w:szCs w:val="10"/>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7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21,915</w:t>
            </w:r>
          </w:p>
        </w:tc>
        <w:tc>
          <w:tcPr>
            <w:tcW w:w="7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48,614</w:t>
            </w:r>
          </w:p>
        </w:tc>
        <w:tc>
          <w:tcPr>
            <w:tcW w:w="4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Cash used in investing activities decreased $38.8 million in the current year-to-date compared to the same period last year. The decrease in cash used in investing activities is primarily due to:</w:t>
      </w:r>
    </w:p>
    <w:p>
      <w:pPr>
        <w:spacing w:after="0" w:line="76" w:lineRule="exact"/>
        <w:rPr>
          <w:sz w:val="20"/>
          <w:szCs w:val="20"/>
          <w:color w:val="auto"/>
        </w:rPr>
      </w:pPr>
    </w:p>
    <w:p>
      <w:pPr>
        <w:ind w:left="1080" w:right="3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$26.7 million less capital expenditures due to a planned overall reduction in the year-to-date 2020 led by a reduction in new stores and store remodeling;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0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$12.1 million increase related to cash proceeds as a result of repayment of notes receivable from one New Academy Holding Company, LLC member during the year-to-date 2020 compared to cash outflow related to the issuance of a note receivable to one New Academy Holding Company, LLC member in 2019.</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Cash used in financing activities increased $48.8 million in the year-to-date 2020, compared to the same period last year.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drivers of the increase were:</w:t>
      </w:r>
    </w:p>
    <w:p>
      <w:pPr>
        <w:spacing w:after="0" w:line="116" w:lineRule="exact"/>
        <w:rPr>
          <w:sz w:val="20"/>
          <w:szCs w:val="20"/>
          <w:color w:val="auto"/>
        </w:rPr>
      </w:pPr>
    </w:p>
    <w:p>
      <w:pPr>
        <w:ind w:left="1080" w:right="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$277.7 million increase in cash outflow resulting from a distribution to the members of New Academy Holding Company, LLC and related share-based award payments which occurred in the year-to-date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$44.3 million increase in cash outflow due to decreased net proceeds from the ABL Facility; partially offset 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$184.9 million of net proceeds from the issuance of common stock during the third quarter of 2020, net of offering costs;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$88.6 million decrease in cash outflows related to lower current year-to-date principal repurchases of portions of our 2015 Term Loan Facility.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for 2019, 2018 and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consolidated statements of cash flows for the periods shown are summarized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1440" w:type="dxa"/>
            <w:vAlign w:val="bottom"/>
            <w:gridSpan w:val="4"/>
          </w:tcPr>
          <w:p>
            <w:pPr>
              <w:ind w:left="340"/>
              <w:spacing w:after="0" w:line="119" w:lineRule="exact"/>
              <w:rPr>
                <w:sz w:val="20"/>
                <w:szCs w:val="20"/>
                <w:color w:val="auto"/>
              </w:rPr>
            </w:pPr>
            <w:r>
              <w:rPr>
                <w:rFonts w:ascii="Arial" w:cs="Arial" w:eastAsia="Arial" w:hAnsi="Arial"/>
                <w:sz w:val="13"/>
                <w:szCs w:val="13"/>
                <w:b w:val="1"/>
                <w:bCs w:val="1"/>
                <w:color w:val="auto"/>
              </w:rPr>
              <w:t>February 2,</w:t>
            </w:r>
          </w:p>
        </w:tc>
        <w:tc>
          <w:tcPr>
            <w:tcW w:w="18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120" w:type="dxa"/>
            <w:vAlign w:val="bottom"/>
          </w:tcPr>
          <w:p>
            <w:pPr>
              <w:spacing w:after="0"/>
              <w:rPr>
                <w:sz w:val="10"/>
                <w:szCs w:val="10"/>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198,481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83,355</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(66,783)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(99,027)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(115,901)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(123,192)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73,694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Cash provided by operating activities for 2019 increased $65.2 million compared to 2018. This increase is attributable to a</w:t>
      </w:r>
      <w:r>
        <w:rPr>
          <w:rFonts w:ascii="Arial" w:cs="Arial" w:eastAsia="Arial" w:hAnsi="Arial"/>
          <w:sz w:val="18"/>
          <w:szCs w:val="18"/>
          <w:b w:val="1"/>
          <w:bCs w:val="1"/>
          <w:color w:val="auto"/>
        </w:rPr>
        <w:t xml:space="preserve"> </w:t>
      </w:r>
      <w:r>
        <w:rPr>
          <w:rFonts w:ascii="Arial" w:cs="Arial" w:eastAsia="Arial" w:hAnsi="Arial"/>
          <w:sz w:val="18"/>
          <w:szCs w:val="18"/>
          <w:color w:val="auto"/>
        </w:rPr>
        <w:t>$98.6 million increase in net income and a $16.9 million net increase in cash flows provided by operating assets and liabilities, partially offset by a $50.3 million net decrease in non-cash charges. The increase in cash flows from operating assets and liabilities for 2019 compared to 2018 was primarily attributable to a $67.1 million increase in cash flows provided by accounts payable related to timing of purchases from our prior year efforts to increase in-stock positions for early 2018, partially offset by a related $54.9 million decrease in cash flows provided by merchandise inventories. The decrease from non-cash charges was primarily caused by a $42.3 million net gain on the early retirement of debt from the repurchase of a portion of the 2015 Term Loan Facility in 2019.</w:t>
      </w:r>
    </w:p>
    <w:p>
      <w:pPr>
        <w:spacing w:after="0" w:line="193"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Cash provided by operating activities in 2018 increased $115.1 million compared to 2017. This increase is attributable to a $148.7 million increase in cash flows provided by operating assets and liabilities and a $3.5 million increase in non-cash charges, partially offset by a $37.1 million decrease in net income. The increase in cash flows from operating assets and liabilities for 2018 compared to 2017 was primarily attributable to a $221.9 million decrease in merchandise inventories related to our prior year efforts to increase in-stock positions and investments in certain product categories, coupled with fewer new store openings in 2018 compared to 2017, partially offset by a $77.0 million related decrease in accounts payable.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table shows the amounts of capital expenditures for each period indicated (in thousands):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554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February 2,</w:t>
            </w:r>
          </w:p>
        </w:tc>
        <w:tc>
          <w:tcPr>
            <w:tcW w:w="120" w:type="dxa"/>
            <w:vAlign w:val="bottom"/>
          </w:tcPr>
          <w:p>
            <w:pPr>
              <w:spacing w:after="0"/>
              <w:rPr>
                <w:sz w:val="10"/>
                <w:szCs w:val="10"/>
                <w:color w:val="auto"/>
              </w:rPr>
            </w:pPr>
          </w:p>
        </w:tc>
        <w:tc>
          <w:tcPr>
            <w:tcW w:w="88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February 3,</w:t>
            </w:r>
          </w:p>
        </w:tc>
        <w:tc>
          <w:tcPr>
            <w:tcW w:w="80" w:type="dxa"/>
            <w:vAlign w:val="bottom"/>
          </w:tcPr>
          <w:p>
            <w:pPr>
              <w:spacing w:after="0"/>
              <w:rPr>
                <w:sz w:val="10"/>
                <w:szCs w:val="10"/>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Cash used in investing activities decreased $32.2 million in 2019 compared to 2018. The decrease in cash used in investing activities is primarily related to a $45.1 million decrease in capital expenditures related to decreasing store renovation expenditures, resulting from a combination of fewer renovations and reduced costs, fewer distribution center projects, lower costs associated with e-commerce enhancements related to BOPIS implementation and other website design costs, and fewer new store openings in 2019, partially offset by a $10.4 million decrease in proceeds received from sales of property and equipment in 2019.</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Cash used in investing activities decreased $16.9 million in 2018 compared to 2017. The decrease in cash used in investing activities is primarily related to a $24.2 million decrease in capital expenditures primarily related to fewer new store openings and store renovations in 2018, partially offset by a $5.6 million decrease in proceeds received from the sale of property and equipment due to a decrease in reverse build-to-suit transactions in 2018 and an issuance of a $4.1 million note receivable to a member during the first quarter 2018.</w:t>
      </w:r>
    </w:p>
    <w:p>
      <w:pPr>
        <w:spacing w:after="0" w:line="16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Cash used in financing activities increased $68.4 million in 2019 compared to 2018 primarily due to a $104.6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cash outflow related to the early retirement of a portion of the 2015 Term Loan Facility in 2019, partially offset by a $35.0 million increase in net cash inflow related to the ABL Facility from higher net repayments in 2018. Cash provided by financing activities decreased $63.3 million in 2018 compared to 2017 primarily due to a $70.0 million decrease in net proceeds from the ABL Facility resulting from fewer inventory purchases, a</w:t>
      </w:r>
    </w:p>
    <w:p>
      <w:pPr>
        <w:spacing w:after="0" w:line="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$10.4 million decrease in construction allowance receipts related to reverse build-to-suit transactions for new stores completed in 2017 and $2.8 million in debt issuance fees related to the ABL Facility in 2017, partially offset by a $19.7 million decrease due to the early retirement on a small portion of our 2015 Term Loan Facility of $19.7 million in 2017.</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5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most significant estimates and assumptions that materially affect the financial statements involve difficult, subjective or complex judgments by management.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to our audited consolidated financial statements included elsewhere in this prospectus.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SG&amp;A expenses on the consolidated statements of income. See Note 6</w:t>
      </w:r>
      <w:r>
        <w:rPr>
          <w:rFonts w:ascii="Arial" w:cs="Arial" w:eastAsia="Arial" w:hAnsi="Arial"/>
          <w:sz w:val="17"/>
          <w:szCs w:val="17"/>
          <w:i w:val="1"/>
          <w:iCs w:val="1"/>
          <w:color w:val="auto"/>
        </w:rPr>
        <w:t>, Fair Value Measurements,</w:t>
      </w:r>
      <w:r>
        <w:rPr>
          <w:rFonts w:ascii="Arial" w:cs="Arial" w:eastAsia="Arial" w:hAnsi="Arial"/>
          <w:sz w:val="17"/>
          <w:szCs w:val="17"/>
          <w:color w:val="auto"/>
        </w:rPr>
        <w:t xml:space="preserve"> to our audited consolidated financial statements included elsewhere in this prospectus.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2019, 2018 and 2017, we performed a quantitative assessment for the determination of impairment. Based on the results of these quantitative assessments, no impairment of goodwill existed for 2019, 2018 or 2017. As of February 1, 2020, we did not have a significant risk for goodwill impairment.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Intangible assets consist of the trade name of “Academy Sports + Outdoors,” or the Trade Name, and our favorable leases. The favorable leases are accounted for as finite-lived assets and are amortized over their estimated useful economic lives. With the adoption of ASU 2016-02, “Leases (Topic 842)” and a series of related Accounting Standards Updates that followed, or collectively, the New Lease Standard, on February 3, 2019, the balance of the favorable lease rights, net was netted into the right-of-use assets on the balance sheet. See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our audited consolidated financial statements included elsewhere in this prospectus. The Trade Name is expected to generate cash flows indefinitely and, therefore, is accounted for as an indefinite-lived asset not subject to amortization.</w:t>
      </w:r>
    </w:p>
    <w:p>
      <w:pPr>
        <w:spacing w:after="0" w:line="19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 As of February 1, 2020, we did not have a significant risk for intangible asset impairment.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elected the practical expedient available to us under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xml:space="preserve">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obligations and approximately $1.2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our audited consolidated financial statements included elsewhere in this prospectus. Adoption of the New Lease Standard did not impact our debt-covenant compliance or liquidity under our current agreements.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640" w:firstLine="440"/>
        <w:spacing w:after="0" w:line="311" w:lineRule="auto"/>
        <w:rPr>
          <w:sz w:val="20"/>
          <w:szCs w:val="20"/>
          <w:color w:val="auto"/>
        </w:rPr>
      </w:pPr>
      <w:r>
        <w:rPr>
          <w:rFonts w:ascii="Arial" w:cs="Arial" w:eastAsia="Arial" w:hAnsi="Arial"/>
          <w:sz w:val="16"/>
          <w:szCs w:val="16"/>
          <w:color w:val="auto"/>
        </w:rPr>
        <w:t>As of October 31, 2020, our off-balance sheet contractual obligations and commercial commitments relate to future minimum guaranteed contractual payments and letters of credit. As a result of the adoption of the New Lease Standard on February 3, 2019, we have recognized the right-of-use assets and related lease liabilities on the balance sheet and no longer consider these to be off-balance sheet arrangements.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We enter into letters of credit in the ordinary course of operating and financing activities. As of October 31, 2020, we had outstanding letters of credit of $30.8 million, of which $21.1 million were issued under our ABL Facility, primarily for insurance and foreign product purchases.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details our letters of credit commitments as of October 31, 2020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Amount of Commitment Expiration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 Period</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2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8"/>
              </w:rPr>
              <w:t>Less than</w:t>
            </w:r>
          </w:p>
        </w:tc>
        <w:tc>
          <w:tcPr>
            <w:tcW w:w="86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1 - 3</w:t>
            </w:r>
          </w:p>
        </w:tc>
        <w:tc>
          <w:tcPr>
            <w:tcW w:w="380" w:type="dxa"/>
            <w:vAlign w:val="bottom"/>
          </w:tcPr>
          <w:p>
            <w:pPr>
              <w:spacing w:after="0"/>
              <w:rPr>
                <w:sz w:val="9"/>
                <w:szCs w:val="9"/>
                <w:color w:val="auto"/>
              </w:rPr>
            </w:pPr>
          </w:p>
        </w:tc>
        <w:tc>
          <w:tcPr>
            <w:tcW w:w="56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3 - 5</w:t>
            </w:r>
          </w:p>
        </w:tc>
        <w:tc>
          <w:tcPr>
            <w:tcW w:w="38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Amounts</w:t>
            </w: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Committed</w:t>
            </w:r>
          </w:p>
        </w:tc>
        <w:tc>
          <w:tcPr>
            <w:tcW w:w="2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1 Year</w:t>
            </w:r>
          </w:p>
        </w:tc>
        <w:tc>
          <w:tcPr>
            <w:tcW w:w="3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 Commitments:</w:t>
            </w:r>
          </w:p>
        </w:tc>
        <w:tc>
          <w:tcPr>
            <w:tcW w:w="2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Letters of credit</w:t>
            </w:r>
          </w:p>
        </w:tc>
        <w:tc>
          <w:tcPr>
            <w:tcW w:w="3100" w:type="dxa"/>
            <w:vAlign w:val="bottom"/>
            <w:gridSpan w:val="3"/>
          </w:tcPr>
          <w:p>
            <w:pPr>
              <w:jc w:val="center"/>
              <w:ind w:left="1950"/>
              <w:spacing w:after="0"/>
              <w:rPr>
                <w:sz w:val="20"/>
                <w:szCs w:val="20"/>
                <w:color w:val="auto"/>
              </w:rPr>
            </w:pPr>
            <w:r>
              <w:rPr>
                <w:rFonts w:ascii="Arial" w:cs="Arial" w:eastAsia="Arial" w:hAnsi="Arial"/>
                <w:sz w:val="18"/>
                <w:szCs w:val="18"/>
                <w:color w:val="auto"/>
                <w:w w:val="99"/>
              </w:rPr>
              <w:t>$ 30,788</w:t>
            </w:r>
          </w:p>
        </w:tc>
        <w:tc>
          <w:tcPr>
            <w:tcW w:w="8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$29,288</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$1,500</w:t>
            </w:r>
          </w:p>
        </w:tc>
        <w:tc>
          <w:tcPr>
            <w:tcW w:w="56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commercial commitments as of February 1, 2020 without giving effect to the IPO, the IPO Option Exercise and the Refinancing Transactions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1"/>
              </w:rPr>
              <w:t>Payments Due by Period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Less than</w:t>
            </w: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1 - 3 Years</w:t>
            </w:r>
          </w:p>
        </w:tc>
        <w:tc>
          <w:tcPr>
            <w:tcW w:w="10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3 - 5 Years</w:t>
            </w: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1 Year</w:t>
            </w:r>
          </w:p>
        </w:tc>
        <w:tc>
          <w:tcPr>
            <w:tcW w:w="116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2015 Term Loan Facility</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$ 1,468,993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$ 1,434,877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2015 Term Loan Facility interest</w:t>
            </w:r>
            <w:r>
              <w:rPr>
                <w:rFonts w:ascii="Arial" w:cs="Arial" w:eastAsia="Arial" w:hAnsi="Arial"/>
                <w:sz w:val="15"/>
                <w:szCs w:val="15"/>
                <w:color w:val="auto"/>
              </w:rPr>
              <w:t>(2)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187,829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78,855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108,974</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ABL Facility</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1,933,954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196,088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385,932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353,219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998,715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Technology related commitments and other</w:t>
            </w:r>
            <w:r>
              <w:rPr>
                <w:rFonts w:ascii="Arial" w:cs="Arial" w:eastAsia="Arial" w:hAnsi="Arial"/>
                <w:sz w:val="15"/>
                <w:szCs w:val="15"/>
                <w:color w:val="auto"/>
              </w:rPr>
              <w:t>(4)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20,593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9,217</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Monitoring agreement</w:t>
            </w:r>
            <w:r>
              <w:rPr>
                <w:rFonts w:ascii="Arial" w:cs="Arial" w:eastAsia="Arial" w:hAnsi="Arial"/>
                <w:sz w:val="15"/>
                <w:szCs w:val="15"/>
                <w:color w:val="auto"/>
              </w:rPr>
              <w:t>(5)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Sponsorship agreement and intellectual property commitments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4,156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contractual cash obligations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$ 3,650,779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344,053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$ 1,951,135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356,277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999,314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Principal amount excluding discount and debt issuance costs.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Interest payments shown are approximated based on projected interest rates and do not give effect to interest rate swaps.</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Substantially all of our leases are operating leases. We lease store locations, distribution centers, office space and certain equipment under operating leases expiring between fiscal years 2020 and 2038. Operating lease obligations include future minimum lease payments under all of our non-cancelable operating leases at February 1, 2020.</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include technology related contractual commitments and other commitments such as construction commitments. The amounts included in the table are for executed contracts less amounts paid.</w:t>
      </w:r>
    </w:p>
    <w:p>
      <w:pPr>
        <w:ind w:left="540" w:right="360" w:hanging="424"/>
        <w:spacing w:after="0" w:line="26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represent our contractual payments under our Monitoring Agreement with the Adviser, which was terminated in connection with the IPO. See “Certain Relationships and Related Party Transactions—Monitoring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exposure to changes in interest rates primarily results from our ABL Facility and Term Loan Facility, as these borrowings have variable interest rates. The detrimental effect of a hypothetical 100 basis point increase in interest rates on current borrowings under the ABL Facility and Term Loan Facility would be to reduce income before income taxes by approximately $5.0 million, net of fixed rate interest rate swaps, for 2019.</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Inflationary factors such as increases in the costs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net sales if the selling prices of our products do not increase with these increased costs.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40"/>
          </w:cols>
          <w:pgMar w:left="320" w:top="459" w:right="6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31"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Value-based assortment that enables our customers to participate and have fun, no matter their budget.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Emerging, rapidly growing and profitable omnichannel strategy that leverages our strong BOPIS and shipping fulfillment capabilities.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MSAs.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 We are continually assessing the number of locations available that could accommodate our preferred size of stores in markets we would consider and we expect to open eight to 10 new stores per year, starting in 2022, which is similar to our growth rates from 2018 to 2019.</w:t>
      </w:r>
    </w:p>
    <w:p>
      <w:pPr>
        <w:spacing w:after="0" w:line="18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active members of the communities in which we operate. We have a strong and growing presence in four of the top five, and six of the top 10, fastest-growing MSAs, in the United States, including Dallas, Houston,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173" w:lineRule="exact"/>
        <w:rPr>
          <w:sz w:val="20"/>
          <w:szCs w:val="20"/>
          <w:color w:val="auto"/>
        </w:rPr>
      </w:pPr>
    </w:p>
    <w:p>
      <w:pPr>
        <w:ind w:left="120" w:right="4400" w:firstLine="360"/>
        <w:spacing w:after="0" w:line="269" w:lineRule="auto"/>
        <w:rPr>
          <w:sz w:val="20"/>
          <w:szCs w:val="20"/>
          <w:color w:val="auto"/>
        </w:rPr>
      </w:pPr>
      <w:r>
        <w:rPr>
          <w:rFonts w:ascii="Arial" w:cs="Arial" w:eastAsia="Arial" w:hAnsi="Arial"/>
          <w:sz w:val="17"/>
          <w:szCs w:val="17"/>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-1381760</wp:posOffset>
            </wp:positionV>
            <wp:extent cx="1937385" cy="25203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937385" cy="2520315"/>
                    </a:xfrm>
                    <a:prstGeom prst="rect">
                      <a:avLst/>
                    </a:prstGeom>
                    <a:noFill/>
                  </pic:spPr>
                </pic:pic>
              </a:graphicData>
            </a:graphic>
          </wp:anchor>
        </w:drawing>
      </w:r>
    </w:p>
    <w:p>
      <w:pPr>
        <w:spacing w:after="0" w:line="192" w:lineRule="exact"/>
        <w:rPr>
          <w:sz w:val="20"/>
          <w:szCs w:val="20"/>
          <w:color w:val="auto"/>
        </w:rPr>
      </w:pPr>
    </w:p>
    <w:p>
      <w:pPr>
        <w:ind w:left="120" w:right="4560" w:firstLine="360"/>
        <w:spacing w:after="0" w:line="257" w:lineRule="auto"/>
        <w:rPr>
          <w:sz w:val="20"/>
          <w:szCs w:val="20"/>
          <w:color w:val="auto"/>
        </w:rPr>
      </w:pPr>
      <w:r>
        <w:rPr>
          <w:rFonts w:ascii="Arial" w:cs="Arial" w:eastAsia="Arial" w:hAnsi="Arial"/>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7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7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emerging, profitable e-commerce platform that leverages our strong BOPIS and shipping fulfillment capabilities has achieved year-over-year sales growth of 8% and 209% during 2019 and the year-to-date 2020, respectively. Our e-commerce sales represented 5% and 10% of our merchandise sales in 2019 and the year-to-date 2020, respectively. We are deepening our customer relationships, further integrating our e-commerce platform with our stores and driving operating efficiencies by developing our omnichannel capabilities. Our BOPIS program, launched in 2019, accounted for approximately 24% and 50% of our e-commerce sales during 2019 and the year-to-date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links to video demonstrations on how to best select, use and get the most out of our products. Our website is introducing new customers to the Academy brand, with approximately 25% of our e-commerce sales during first half 2020 coming from new households.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serve our communities by supporting events, programs and organizations that help make a positive impact, including the sponsorship of over</w:t>
      </w:r>
    </w:p>
    <w:p>
      <w:pPr>
        <w:spacing w:after="0" w:line="46"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19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finished the twelve months ended October 31, 2020 with approximately $5.5 billion in sales, $235 million of net income and $506 million in Adjusted EBITDA. Although comparable sales have been negative for the past three fiscal years, we have seen five consecutive quarters of positive comparable sales as of 2020 third quarter. In addition, 2020 third quarter reflected our fifth consecutive quarter of Adjusted EBITDA growth and our sixth consecutive quarter of Adjusted Free Cash Flow growth. We earned net income of $21 million, $120 million and $235 million and Pro Forma Adjusted Net Income of $41 million, $76 million and $226 million in 2018, 2019 and the twelve months ended October 31, 2020, respectively, which included $217 million of net income and $209 million of Pro Forma Adjusted Net Income for year-to-date 2020. See “Summary—Summary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23" w:lineRule="exact"/>
        <w:rPr>
          <w:sz w:val="20"/>
          <w:szCs w:val="20"/>
          <w:color w:val="auto"/>
        </w:rPr>
      </w:pPr>
    </w:p>
    <w:p>
      <w:pPr>
        <w:ind w:left="1160"/>
        <w:spacing w:after="0"/>
        <w:tabs>
          <w:tab w:leader="none" w:pos="4900" w:val="left"/>
          <w:tab w:leader="none" w:pos="8260" w:val="left"/>
        </w:tabs>
        <w:rPr>
          <w:sz w:val="20"/>
          <w:szCs w:val="20"/>
          <w:color w:val="auto"/>
        </w:rPr>
      </w:pPr>
      <w:r>
        <w:rPr>
          <w:rFonts w:ascii="Arial" w:cs="Arial" w:eastAsia="Arial" w:hAnsi="Arial"/>
          <w:sz w:val="18"/>
          <w:szCs w:val="18"/>
          <w:color w:val="auto"/>
        </w:rPr>
        <w:t>Net Sales ($ in millions)</w:t>
      </w:r>
      <w:r>
        <w:rPr>
          <w:sz w:val="20"/>
          <w:szCs w:val="20"/>
          <w:color w:val="auto"/>
        </w:rPr>
        <w:tab/>
      </w:r>
      <w:r>
        <w:rPr>
          <w:rFonts w:ascii="Arial" w:cs="Arial" w:eastAsia="Arial" w:hAnsi="Arial"/>
          <w:sz w:val="18"/>
          <w:szCs w:val="18"/>
          <w:color w:val="auto"/>
        </w:rPr>
        <w:t>Adj. EBITDA ($ in millions)</w:t>
      </w:r>
      <w:r>
        <w:rPr>
          <w:sz w:val="20"/>
          <w:szCs w:val="20"/>
          <w:color w:val="auto"/>
        </w:rPr>
        <w:tab/>
      </w:r>
      <w:r>
        <w:rPr>
          <w:rFonts w:ascii="Arial" w:cs="Arial" w:eastAsia="Arial" w:hAnsi="Arial"/>
          <w:sz w:val="16"/>
          <w:szCs w:val="16"/>
          <w:color w:val="auto"/>
        </w:rPr>
        <w:t>Cum. Adjusted FCF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89345" cy="8743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8934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five consecutive quarters ended October 31, 2020, and created a foundation for our future growth. These key initiatives include:</w:t>
      </w:r>
    </w:p>
    <w:p>
      <w:pPr>
        <w:spacing w:after="0" w:line="89" w:lineRule="exact"/>
        <w:rPr>
          <w:sz w:val="20"/>
          <w:szCs w:val="20"/>
          <w:color w:val="auto"/>
        </w:rPr>
      </w:pPr>
    </w:p>
    <w:p>
      <w:pPr>
        <w:ind w:left="1080" w:right="80" w:hanging="424"/>
        <w:spacing w:after="0" w:line="255"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Strengthened leadership team </w:t>
      </w:r>
      <w:r>
        <w:rPr>
          <w:rFonts w:ascii="Arial" w:cs="Arial" w:eastAsia="Arial" w:hAnsi="Arial"/>
          <w:sz w:val="18"/>
          <w:szCs w:val="18"/>
          <w:color w:val="auto"/>
        </w:rPr>
        <w:t>– Our leadership team comprises nine highly experienced and proven individuals, six of whom joined</w:t>
      </w:r>
      <w:r>
        <w:rPr>
          <w:rFonts w:ascii="Arial" w:cs="Arial" w:eastAsia="Arial" w:hAnsi="Arial"/>
          <w:sz w:val="18"/>
          <w:szCs w:val="18"/>
          <w:i w:val="1"/>
          <w:iCs w:val="1"/>
          <w:color w:val="auto"/>
        </w:rPr>
        <w:t xml:space="preserve"> </w:t>
      </w:r>
      <w:r>
        <w:rPr>
          <w:rFonts w:ascii="Arial" w:cs="Arial" w:eastAsia="Arial" w:hAnsi="Arial"/>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over the last three years in our omnichannel capabilities, we launched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92"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Localized merchandising </w:t>
      </w:r>
      <w:r>
        <w:rPr>
          <w:rFonts w:ascii="Arial" w:cs="Arial" w:eastAsia="Arial" w:hAnsi="Arial"/>
          <w:sz w:val="17"/>
          <w:szCs w:val="17"/>
          <w:color w:val="auto"/>
        </w:rPr>
        <w:t>– Since 2018, we improved the localization of our assortment across selected inventory offerings. For example, a</w:t>
      </w:r>
      <w:r>
        <w:rPr>
          <w:rFonts w:ascii="Arial" w:cs="Arial" w:eastAsia="Arial" w:hAnsi="Arial"/>
          <w:sz w:val="17"/>
          <w:szCs w:val="17"/>
          <w:i w:val="1"/>
          <w:iCs w:val="1"/>
          <w:color w:val="auto"/>
        </w:rPr>
        <w:t xml:space="preserve"> </w:t>
      </w:r>
      <w:r>
        <w:rPr>
          <w:rFonts w:ascii="Arial" w:cs="Arial" w:eastAsia="Arial" w:hAnsi="Arial"/>
          <w:sz w:val="17"/>
          <w:szCs w:val="17"/>
          <w:color w:val="auto"/>
        </w:rPr>
        <w:t>crawfish boiler sells well in Louisiana, but not in North Carolina, and our fishing assortment sells better in stores with closer proximity to fishing venues. This initiative resulted in an improved customer shopping experience and increased sales.</w:t>
      </w:r>
    </w:p>
    <w:p>
      <w:pPr>
        <w:spacing w:after="0" w:line="70"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we improved and focused our assortments in priority product categories, such as team sports, fishing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89"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Enhance store optimization </w:t>
      </w:r>
      <w:r>
        <w:rPr>
          <w:rFonts w:ascii="Arial" w:cs="Arial" w:eastAsia="Arial" w:hAnsi="Arial"/>
          <w:sz w:val="17"/>
          <w:szCs w:val="17"/>
          <w:color w:val="auto"/>
        </w:rPr>
        <w:t>– We leverage technology to enable our store team members to better manage, prioritize and reduce tasks to</w:t>
      </w:r>
      <w:r>
        <w:rPr>
          <w:rFonts w:ascii="Arial" w:cs="Arial" w:eastAsia="Arial" w:hAnsi="Arial"/>
          <w:sz w:val="17"/>
          <w:szCs w:val="17"/>
          <w:i w:val="1"/>
          <w:iCs w:val="1"/>
          <w:color w:val="auto"/>
        </w:rPr>
        <w:t xml:space="preserve"> </w:t>
      </w:r>
      <w:r>
        <w:rPr>
          <w:rFonts w:ascii="Arial" w:cs="Arial" w:eastAsia="Arial" w:hAnsi="Arial"/>
          <w:sz w:val="17"/>
          <w:szCs w:val="17"/>
          <w:color w:val="auto"/>
        </w:rPr>
        <w:t>give them more time to engage in customer service, thereby increasing our productivity and sales conversion.</w:t>
      </w:r>
    </w:p>
    <w:p>
      <w:pPr>
        <w:spacing w:after="0" w:line="51"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Digital marketing program </w:t>
      </w:r>
      <w:r>
        <w:rPr>
          <w:rFonts w:ascii="Arial" w:cs="Arial" w:eastAsia="Arial" w:hAnsi="Arial"/>
          <w:sz w:val="18"/>
          <w:szCs w:val="18"/>
          <w:color w:val="auto"/>
        </w:rPr>
        <w:t>– During the last two years, we shifted our primary marketing focus from print to digital marketing.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website also supports our stores with digital marketing and our BOPIS program. Each of these initiatives has given us a closer connection with our customers.</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 constituted approximately 4% of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2020 net sales. Academy Credit Card represents a significant opportunity to build customer loyalty, as our Academy Credit Card customers both spend more per trip and visit our stores more often.</w:t>
      </w:r>
    </w:p>
    <w:p>
      <w:pPr>
        <w:spacing w:after="0" w:line="89"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Programmatic inventory management </w:t>
      </w:r>
      <w:r>
        <w:rPr>
          <w:rFonts w:ascii="Arial" w:cs="Arial" w:eastAsia="Arial" w:hAnsi="Arial"/>
          <w:sz w:val="17"/>
          <w:szCs w:val="17"/>
          <w:color w:val="auto"/>
        </w:rPr>
        <w:t>– We implemented a new disciplined price markdown strategy that has improved our margins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3.55x for the twelve months ended October 31, 2020.</w:t>
      </w:r>
    </w:p>
    <w:p>
      <w:pPr>
        <w:spacing w:after="0" w:line="76" w:lineRule="exact"/>
        <w:rPr>
          <w:rFonts w:ascii="Arial" w:cs="Arial" w:eastAsia="Arial" w:hAnsi="Arial"/>
          <w:sz w:val="17"/>
          <w:szCs w:val="17"/>
          <w:color w:val="auto"/>
        </w:rPr>
      </w:pPr>
    </w:p>
    <w:p>
      <w:pPr>
        <w:ind w:left="1080" w:right="20" w:hanging="424"/>
        <w:spacing w:after="0" w:line="25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Develop small box format </w:t>
      </w:r>
      <w:r>
        <w:rPr>
          <w:rFonts w:ascii="Arial" w:cs="Arial" w:eastAsia="Arial" w:hAnsi="Arial"/>
          <w:sz w:val="18"/>
          <w:szCs w:val="18"/>
          <w:color w:val="auto"/>
        </w:rPr>
        <w:t>– We opened our first small format store (approximately 40,000 square feet) in Dallas, Texas in 2019.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retail business is highly competitive based on many variables including price, product assortment, customer service, omnichannel experience and store locations.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080" w:right="2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Mass general merchants </w:t>
      </w:r>
      <w:r>
        <w:rPr>
          <w:rFonts w:ascii="Arial" w:cs="Arial" w:eastAsia="Arial" w:hAnsi="Arial"/>
          <w:sz w:val="18"/>
          <w:szCs w:val="18"/>
          <w:color w:val="auto"/>
        </w:rPr>
        <w:t>(examples: Walmart, Kohl’s and Target) generally range in size from 50,000 to over 200,000 square feet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located in shopping centers, free-standing sites or regional malls. Sporting goods merchandise and apparel and outdoor recreation products may represent a small portion of the total merchandise in these stores.</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Large format sporting goods stores </w:t>
      </w:r>
      <w:r>
        <w:rPr>
          <w:rFonts w:ascii="Arial" w:cs="Arial" w:eastAsia="Arial" w:hAnsi="Arial"/>
          <w:sz w:val="18"/>
          <w:szCs w:val="18"/>
          <w:color w:val="auto"/>
        </w:rPr>
        <w:t>(examples: Dick’s Sporting Goods and Scheels) generally range in size from 20,000 to over 100,000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and offer a broad selection of sporting goods and outdoor recreation merchandise.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Traditional sporting goods stores </w:t>
      </w:r>
      <w:r>
        <w:rPr>
          <w:rFonts w:ascii="Arial" w:cs="Arial" w:eastAsia="Arial" w:hAnsi="Arial"/>
          <w:sz w:val="18"/>
          <w:szCs w:val="18"/>
          <w:color w:val="auto"/>
        </w:rPr>
        <w:t>(examples: Hibbett Sports and Big 5 Sporting Goods) generally range in size from 5,000 to 20,000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and are frequently located in regional malls and shopping centers and typically carry a varied assortment of primarily sporting goods merchandise.</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Specialty outdoor retailers </w:t>
      </w:r>
      <w:r>
        <w:rPr>
          <w:rFonts w:ascii="Arial" w:cs="Arial" w:eastAsia="Arial" w:hAnsi="Arial"/>
          <w:sz w:val="18"/>
          <w:szCs w:val="18"/>
          <w:color w:val="auto"/>
        </w:rPr>
        <w:t>(examples: Bass Pro Shop/Cabela’s and Sportsman’s Warehouse) generally range in size from 7,500 to over</w:t>
      </w:r>
      <w:r>
        <w:rPr>
          <w:rFonts w:ascii="Arial" w:cs="Arial" w:eastAsia="Arial" w:hAnsi="Arial"/>
          <w:sz w:val="18"/>
          <w:szCs w:val="18"/>
          <w:i w:val="1"/>
          <w:iCs w:val="1"/>
          <w:color w:val="auto"/>
        </w:rPr>
        <w:t xml:space="preserve"> </w:t>
      </w:r>
      <w:r>
        <w:rPr>
          <w:rFonts w:ascii="Arial" w:cs="Arial" w:eastAsia="Arial" w:hAnsi="Arial"/>
          <w:sz w:val="18"/>
          <w:szCs w:val="18"/>
          <w:color w:val="auto"/>
        </w:rPr>
        <w:t>100,000 square feet and typically focus on specific categories such as outdoor recreation.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Specialty footwear retailers </w:t>
      </w:r>
      <w:r>
        <w:rPr>
          <w:rFonts w:ascii="Arial" w:cs="Arial" w:eastAsia="Arial" w:hAnsi="Arial"/>
          <w:sz w:val="18"/>
          <w:szCs w:val="18"/>
          <w:color w:val="auto"/>
        </w:rPr>
        <w:t>(examples: Foot Locker, Boot Barn and The Finish Line) generally range in size from 2,000 to 20,000 square</w:t>
      </w:r>
      <w:r>
        <w:rPr>
          <w:rFonts w:ascii="Arial" w:cs="Arial" w:eastAsia="Arial" w:hAnsi="Arial"/>
          <w:sz w:val="18"/>
          <w:szCs w:val="18"/>
          <w:i w:val="1"/>
          <w:iCs w:val="1"/>
          <w:color w:val="auto"/>
        </w:rPr>
        <w:t xml:space="preserve"> </w:t>
      </w:r>
      <w:r>
        <w:rPr>
          <w:rFonts w:ascii="Arial" w:cs="Arial" w:eastAsia="Arial" w:hAnsi="Arial"/>
          <w:sz w:val="18"/>
          <w:szCs w:val="18"/>
          <w:color w:val="auto"/>
        </w:rPr>
        <w:t>feet and typically focus on specific categories such as athletic footwear.</w:t>
      </w:r>
    </w:p>
    <w:p>
      <w:pPr>
        <w:spacing w:after="0" w:line="75"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Catalogue &amp; Internet retailers </w:t>
      </w:r>
      <w:r>
        <w:rPr>
          <w:rFonts w:ascii="Arial" w:cs="Arial" w:eastAsia="Arial" w:hAnsi="Arial"/>
          <w:sz w:val="18"/>
          <w:szCs w:val="18"/>
          <w:color w:val="auto"/>
        </w:rPr>
        <w:t>(examples: Amazon and eBay) do not typically operate brick and mortar stores and primarily rely 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goods. Sporting goods merchandise and apparel and outdoor recreation products may represent a small portion of the total merchandise on their websites.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overall U.S. sporting goods and outdoors recreation industry is constantly evolving and demand for certain sports and outdoors recreation goods may increase or decrease depending upon the economics,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The rising popularity in loyalty to premium brands, and importance of experience for customers also serve as constructive tailwinds to our business.</w:t>
      </w:r>
    </w:p>
    <w:p>
      <w:pPr>
        <w:spacing w:after="0" w:line="16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believe we are well positioned to capture an increasing portion of the wallets of important growing demographics, such as female and Hispanic customers. Female customers constitute a large and growing portion of our business (49% of our customers in 2019, up from 47% in 2018), with our targeted and diverse merchandise that consciously supports women’s active interests. In addition, mothers who shop with us are not only buying for themselves, but for their family as well. We believe our footprint and localized offerings also position us well to serve the significant growth of the Hispanic population (15% of our customers in 2019, up from 14% in 2018), the nation’s fastest-growing demographic. Currently, we have stores in four of the top eight fastest growing Hispanic MSAs in the United States, including Houston, Dallas, Orlando, and San Antonio.</w:t>
      </w:r>
    </w:p>
    <w:p>
      <w:pPr>
        <w:spacing w:after="0" w:line="16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76"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6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–passionate local experts who are specially recruited and trained for category-specific positions. Our</w:t>
      </w:r>
      <w:r>
        <w:rPr>
          <w:rFonts w:ascii="Arial" w:cs="Arial" w:eastAsia="Arial" w:hAnsi="Arial"/>
          <w:sz w:val="16"/>
          <w:szCs w:val="16"/>
          <w:i w:val="1"/>
          <w:iCs w:val="1"/>
          <w:color w:val="auto"/>
        </w:rPr>
        <w:t xml:space="preserve"> Enthusiasts </w:t>
      </w:r>
      <w:r>
        <w:rPr>
          <w:rFonts w:ascii="Arial" w:cs="Arial" w:eastAsia="Arial" w:hAnsi="Arial"/>
          <w:sz w:val="16"/>
          <w:szCs w:val="16"/>
          <w:color w:val="auto"/>
        </w:rPr>
        <w:t>use the products they sell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38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Our friendly and knowledgeable team members are a large reason our customers love shopping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77435" cy="8915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7743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49"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large format sporting goods stores and specialty outdoor retailers and their customers. As of August 1, 2020, we estimate we have gained approximately two million new customers this year.</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76"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five consecutive quarters of positive comparable sales as of 2020 third quarter, Adjusted EBITDA growth to $323 million in 2019, or 8%, compared to 2018, and Adjusted Free Cash Flow growth of $99 million in 2018 to $197 million in 2019.</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consistently demonstrated steady revenue growth, expanded profit margins and disciplined capital expenditures. We generated</w:t>
      </w:r>
    </w:p>
    <w:p>
      <w:pPr>
        <w:spacing w:after="0" w:line="35" w:lineRule="exact"/>
        <w:rPr>
          <w:sz w:val="20"/>
          <w:szCs w:val="20"/>
          <w:color w:val="auto"/>
        </w:rPr>
      </w:pPr>
    </w:p>
    <w:p>
      <w:pPr>
        <w:ind w:left="120" w:right="20"/>
        <w:spacing w:after="0" w:line="302" w:lineRule="auto"/>
        <w:rPr>
          <w:sz w:val="20"/>
          <w:szCs w:val="20"/>
          <w:color w:val="auto"/>
        </w:rPr>
      </w:pPr>
      <w:r>
        <w:rPr>
          <w:rFonts w:ascii="Arial" w:cs="Arial" w:eastAsia="Arial" w:hAnsi="Arial"/>
          <w:sz w:val="16"/>
          <w:szCs w:val="16"/>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1.1x as of end of 2020 third quarter compared to 5.2x as of end of both 2017 and 2018 and 4.1x as of end of 2019.</w:t>
      </w:r>
    </w:p>
    <w:p>
      <w:pPr>
        <w:spacing w:after="0" w:line="15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217 mature stores (stores opened longer than four years) were profitable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a four-wall basis for the twelve months ended October 31, 2020 and our new stores have average payback periods of four to five years.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focused on the following four growth drivers: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Our e-commerce sales represented 5% and 10% of our merchandise sales for 2019 and for the year-to-date 2020, respectively. E-commerce sales increased 406% from the prior quarter in first quarter 2020, 210% from the prior quarter in second quarter 2020 and 96% from the prior quarter in 2020 third quarter. Our goal is to increase our omnichannel penetration quickly and significantly. To meet this goal, since 2011, we have invested</w:t>
      </w:r>
    </w:p>
    <w:p>
      <w:pPr>
        <w:spacing w:after="0" w:line="2"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9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the year-to-date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2020 third quarter, which will continue to give our customers more options on how to shop Academy.</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8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2.68x in 2017 to 3.55x for the twelve months ended October 31, 2020, and has helped us to identify and exit certain product categories, such as luggage and toys.</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October 31, 2020, we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had 217 mature stores, and all but one were profitable on a four-wall basis for the twelve months ended October 31, 2020. We expect to open eight to 10 new stores per year starting in 2022, which is similar to our growth rates from 2018 to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Significant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171450</wp:posOffset>
            </wp:positionV>
            <wp:extent cx="4114800" cy="33775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1480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stores range in size from approximately 40,000 to over 130,000 gross square feet, with an average size of approximately 70,000 gross square feet, which, together with our sophisticated social distancing and hygiene measures and curbside fulfillment of online orders, enable our customers to have a safe shopping experience. We have also benefitted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Merchandising</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2019, we purchased merchandise from approximately 1,300 vendors. For 2019, 2018 and 2017 no vendor represented more than 14%, 13% and 14% of our total purchases, respectively.</w:t>
      </w:r>
    </w:p>
    <w:p>
      <w:pPr>
        <w:spacing w:after="0" w:line="18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carry a wide variety of national brand products such as Nike, Carhartt, adidas, Columbia Sportswear, North Face, Winchester, Brooks, Rawlings, Remington, Skechers, Under Armour and many more.</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February 1, 2020, we generally organized our merchandise in four divisions made up of eleven categories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Pr>
          <w:p>
            <w:pPr>
              <w:spacing w:after="0"/>
              <w:rPr>
                <w:sz w:val="20"/>
                <w:szCs w:val="20"/>
                <w:color w:val="auto"/>
              </w:rPr>
            </w:pPr>
            <w:r>
              <w:rPr>
                <w:rFonts w:ascii="Arial" w:cs="Arial" w:eastAsia="Arial" w:hAnsi="Arial"/>
                <w:sz w:val="14"/>
                <w:szCs w:val="14"/>
                <w:b w:val="1"/>
                <w:bCs w:val="1"/>
                <w:color w:val="auto"/>
              </w:rPr>
              <w:t>Division</w:t>
            </w:r>
          </w:p>
        </w:tc>
        <w:tc>
          <w:tcPr>
            <w:tcW w:w="220" w:type="dxa"/>
            <w:vAlign w:val="bottom"/>
          </w:tcPr>
          <w:p>
            <w:pPr>
              <w:spacing w:after="0"/>
              <w:rPr>
                <w:sz w:val="16"/>
                <w:szCs w:val="16"/>
                <w:color w:val="auto"/>
              </w:rPr>
            </w:pPr>
          </w:p>
        </w:tc>
        <w:tc>
          <w:tcPr>
            <w:tcW w:w="3740" w:type="dxa"/>
            <w:vAlign w:val="bottom"/>
            <w:gridSpan w:val="2"/>
          </w:tcPr>
          <w:p>
            <w:pPr>
              <w:ind w:left="1420"/>
              <w:spacing w:after="0"/>
              <w:rPr>
                <w:sz w:val="20"/>
                <w:szCs w:val="20"/>
                <w:color w:val="auto"/>
              </w:rPr>
            </w:pPr>
            <w:r>
              <w:rPr>
                <w:rFonts w:ascii="Arial" w:cs="Arial" w:eastAsia="Arial" w:hAnsi="Arial"/>
                <w:sz w:val="14"/>
                <w:szCs w:val="14"/>
                <w:b w:val="1"/>
                <w:bCs w:val="1"/>
                <w:color w:val="auto"/>
              </w:rPr>
              <w:t>Category</w:t>
            </w:r>
            <w:r>
              <w:rPr>
                <w:rFonts w:ascii="Arial" w:cs="Arial" w:eastAsia="Arial" w:hAnsi="Arial"/>
                <w:sz w:val="12"/>
                <w:szCs w:val="12"/>
                <w:b w:val="1"/>
                <w:bCs w:val="1"/>
                <w:color w:val="auto"/>
              </w:rPr>
              <w:t>(1)</w:t>
            </w:r>
          </w:p>
        </w:tc>
        <w:tc>
          <w:tcPr>
            <w:tcW w:w="3200" w:type="dxa"/>
            <w:vAlign w:val="bottom"/>
          </w:tcPr>
          <w:p>
            <w:pPr>
              <w:ind w:left="840"/>
              <w:spacing w:after="0"/>
              <w:rPr>
                <w:sz w:val="20"/>
                <w:szCs w:val="20"/>
                <w:color w:val="auto"/>
              </w:rPr>
            </w:pPr>
            <w:r>
              <w:rPr>
                <w:rFonts w:ascii="Arial" w:cs="Arial" w:eastAsia="Arial" w:hAnsi="Arial"/>
                <w:sz w:val="14"/>
                <w:szCs w:val="14"/>
                <w:b w:val="1"/>
                <w:bCs w:val="1"/>
                <w:color w:val="auto"/>
              </w:rPr>
              <w:t>Primary product types</w:t>
            </w:r>
            <w:r>
              <w:rPr>
                <w:rFonts w:ascii="Arial" w:cs="Arial" w:eastAsia="Arial" w:hAnsi="Arial"/>
                <w:sz w:val="12"/>
                <w:szCs w:val="12"/>
                <w:b w:val="1"/>
                <w:bCs w:val="1"/>
                <w:color w:val="auto"/>
              </w:rPr>
              <w:t>(1)</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Outdoors</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Camping and cooking</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Outdoor cooking, coolers and drinkware,</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3"/>
              </w:rPr>
              <w:t>camping accessories, camping equipment,</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sunglasses, backpacks and sports bags</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Fishing</w:t>
            </w:r>
          </w:p>
        </w:tc>
        <w:tc>
          <w:tcPr>
            <w:tcW w:w="3200" w:type="dxa"/>
            <w:vAlign w:val="bottom"/>
          </w:tcPr>
          <w:p>
            <w:pPr>
              <w:spacing w:after="0"/>
              <w:rPr>
                <w:sz w:val="20"/>
                <w:szCs w:val="20"/>
                <w:color w:val="auto"/>
              </w:rPr>
            </w:pPr>
            <w:r>
              <w:rPr>
                <w:rFonts w:ascii="Arial" w:cs="Arial" w:eastAsia="Arial" w:hAnsi="Arial"/>
                <w:sz w:val="18"/>
                <w:szCs w:val="18"/>
                <w:color w:val="auto"/>
                <w:w w:val="96"/>
              </w:rPr>
              <w:t>Marine equipment and fishing rods, reels,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baits and equipment</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Shooting sports</w:t>
            </w:r>
          </w:p>
        </w:tc>
        <w:tc>
          <w:tcPr>
            <w:tcW w:w="3200" w:type="dxa"/>
            <w:vAlign w:val="bottom"/>
          </w:tcPr>
          <w:p>
            <w:pPr>
              <w:spacing w:after="0"/>
              <w:rPr>
                <w:sz w:val="20"/>
                <w:szCs w:val="20"/>
                <w:color w:val="auto"/>
              </w:rPr>
            </w:pPr>
            <w:r>
              <w:rPr>
                <w:rFonts w:ascii="Arial" w:cs="Arial" w:eastAsia="Arial" w:hAnsi="Arial"/>
                <w:sz w:val="18"/>
                <w:szCs w:val="18"/>
                <w:color w:val="auto"/>
                <w:w w:val="92"/>
              </w:rPr>
              <w:t>Firearms, ammunition, archery and archery</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8"/>
              </w:rPr>
              <w:t>equipment, shooting accessories, optics,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airguns and hunting equipment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Sports and Recreation</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Team sports/fitness</w:t>
            </w:r>
          </w:p>
        </w:tc>
        <w:tc>
          <w:tcPr>
            <w:tcW w:w="3200" w:type="dxa"/>
            <w:vAlign w:val="bottom"/>
          </w:tcPr>
          <w:p>
            <w:pPr>
              <w:spacing w:after="0"/>
              <w:rPr>
                <w:sz w:val="20"/>
                <w:szCs w:val="20"/>
                <w:color w:val="auto"/>
              </w:rPr>
            </w:pPr>
            <w:r>
              <w:rPr>
                <w:rFonts w:ascii="Arial" w:cs="Arial" w:eastAsia="Arial" w:hAnsi="Arial"/>
                <w:sz w:val="18"/>
                <w:szCs w:val="18"/>
                <w:color w:val="auto"/>
                <w:w w:val="94"/>
              </w:rPr>
              <w:t>Baseball, football, basketball, soccer, golf,</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racket sports, volleyball, fitness equipment,</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fitness accessories and nutrition</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Recreation</w:t>
            </w:r>
          </w:p>
        </w:tc>
        <w:tc>
          <w:tcPr>
            <w:tcW w:w="3200" w:type="dxa"/>
            <w:vAlign w:val="bottom"/>
          </w:tcPr>
          <w:p>
            <w:pPr>
              <w:spacing w:after="0"/>
              <w:rPr>
                <w:sz w:val="20"/>
                <w:szCs w:val="20"/>
                <w:color w:val="auto"/>
              </w:rPr>
            </w:pPr>
            <w:r>
              <w:rPr>
                <w:rFonts w:ascii="Arial" w:cs="Arial" w:eastAsia="Arial" w:hAnsi="Arial"/>
                <w:sz w:val="18"/>
                <w:szCs w:val="18"/>
                <w:color w:val="auto"/>
                <w:w w:val="93"/>
              </w:rPr>
              <w:t>Patio equipment, wheeled goods (bicycles,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skateboards and other ride-on toys),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1"/>
              </w:rPr>
              <w:t>watersports, pet equipment, electronics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watches, and front-end (consumables,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batteries, etc.)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Apparel</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Outdoor and seasonal</w:t>
            </w:r>
          </w:p>
        </w:tc>
        <w:tc>
          <w:tcPr>
            <w:tcW w:w="3200" w:type="dxa"/>
            <w:vAlign w:val="bottom"/>
          </w:tcPr>
          <w:p>
            <w:pPr>
              <w:spacing w:after="0"/>
              <w:rPr>
                <w:sz w:val="20"/>
                <w:szCs w:val="20"/>
                <w:color w:val="auto"/>
              </w:rPr>
            </w:pPr>
            <w:r>
              <w:rPr>
                <w:rFonts w:ascii="Arial" w:cs="Arial" w:eastAsia="Arial" w:hAnsi="Arial"/>
                <w:sz w:val="18"/>
                <w:szCs w:val="18"/>
                <w:color w:val="auto"/>
                <w:w w:val="93"/>
              </w:rPr>
              <w:t>Outdoor apparel, seasonal apparel, denim,</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apparel</w:t>
            </w:r>
          </w:p>
        </w:tc>
        <w:tc>
          <w:tcPr>
            <w:tcW w:w="3200" w:type="dxa"/>
            <w:vAlign w:val="bottom"/>
          </w:tcPr>
          <w:p>
            <w:pPr>
              <w:spacing w:after="0"/>
              <w:rPr>
                <w:sz w:val="20"/>
                <w:szCs w:val="20"/>
                <w:color w:val="auto"/>
              </w:rPr>
            </w:pPr>
            <w:r>
              <w:rPr>
                <w:rFonts w:ascii="Arial" w:cs="Arial" w:eastAsia="Arial" w:hAnsi="Arial"/>
                <w:sz w:val="18"/>
                <w:szCs w:val="18"/>
                <w:color w:val="auto"/>
                <w:w w:val="92"/>
              </w:rPr>
              <w:t>work apparel, camouflage apparel, waders,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graphic t-shirts and accessories</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Youth apparel</w:t>
            </w:r>
          </w:p>
        </w:tc>
        <w:tc>
          <w:tcPr>
            <w:tcW w:w="3200" w:type="dxa"/>
            <w:vAlign w:val="bottom"/>
          </w:tcPr>
          <w:p>
            <w:pPr>
              <w:spacing w:after="0"/>
              <w:rPr>
                <w:sz w:val="20"/>
                <w:szCs w:val="20"/>
                <w:color w:val="auto"/>
              </w:rPr>
            </w:pPr>
            <w:r>
              <w:rPr>
                <w:rFonts w:ascii="Arial" w:cs="Arial" w:eastAsia="Arial" w:hAnsi="Arial"/>
                <w:sz w:val="18"/>
                <w:szCs w:val="18"/>
                <w:color w:val="auto"/>
                <w:w w:val="93"/>
              </w:rPr>
              <w:t>Boys and girls outdoor and athletic apparel</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Athletic apparel</w:t>
            </w:r>
          </w:p>
        </w:tc>
        <w:tc>
          <w:tcPr>
            <w:tcW w:w="3200" w:type="dxa"/>
            <w:vAlign w:val="bottom"/>
          </w:tcPr>
          <w:p>
            <w:pPr>
              <w:spacing w:after="0"/>
              <w:rPr>
                <w:sz w:val="20"/>
                <w:szCs w:val="20"/>
                <w:color w:val="auto"/>
              </w:rPr>
            </w:pPr>
            <w:r>
              <w:rPr>
                <w:rFonts w:ascii="Arial" w:cs="Arial" w:eastAsia="Arial" w:hAnsi="Arial"/>
                <w:sz w:val="18"/>
                <w:szCs w:val="18"/>
                <w:color w:val="auto"/>
                <w:w w:val="99"/>
              </w:rPr>
              <w:t>Sporting apparel, apparel for fitness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exercise and other accessories</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Licensed apparel</w:t>
            </w:r>
          </w:p>
        </w:tc>
        <w:tc>
          <w:tcPr>
            <w:tcW w:w="3200" w:type="dxa"/>
            <w:vAlign w:val="bottom"/>
          </w:tcPr>
          <w:p>
            <w:pPr>
              <w:spacing w:after="0"/>
              <w:rPr>
                <w:sz w:val="20"/>
                <w:szCs w:val="20"/>
                <w:color w:val="auto"/>
              </w:rPr>
            </w:pPr>
            <w:r>
              <w:rPr>
                <w:rFonts w:ascii="Arial" w:cs="Arial" w:eastAsia="Arial" w:hAnsi="Arial"/>
                <w:sz w:val="18"/>
                <w:szCs w:val="18"/>
                <w:color w:val="auto"/>
                <w:w w:val="96"/>
              </w:rPr>
              <w:t>Professional and collegiate team licensed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apparel and accessories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Footwear</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Work, casual and</w:t>
            </w:r>
          </w:p>
        </w:tc>
        <w:tc>
          <w:tcPr>
            <w:tcW w:w="3200" w:type="dxa"/>
            <w:vAlign w:val="bottom"/>
          </w:tcPr>
          <w:p>
            <w:pPr>
              <w:spacing w:after="0"/>
              <w:rPr>
                <w:sz w:val="20"/>
                <w:szCs w:val="20"/>
                <w:color w:val="auto"/>
              </w:rPr>
            </w:pPr>
            <w:r>
              <w:rPr>
                <w:rFonts w:ascii="Arial" w:cs="Arial" w:eastAsia="Arial" w:hAnsi="Arial"/>
                <w:sz w:val="18"/>
                <w:szCs w:val="18"/>
                <w:color w:val="auto"/>
              </w:rPr>
              <w:t>Casual shoes and slippers, work and</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youth footwear</w:t>
            </w:r>
          </w:p>
        </w:tc>
        <w:tc>
          <w:tcPr>
            <w:tcW w:w="3200" w:type="dxa"/>
            <w:vAlign w:val="bottom"/>
          </w:tcPr>
          <w:p>
            <w:pPr>
              <w:spacing w:after="0"/>
              <w:rPr>
                <w:sz w:val="20"/>
                <w:szCs w:val="20"/>
                <w:color w:val="auto"/>
              </w:rPr>
            </w:pPr>
            <w:r>
              <w:rPr>
                <w:rFonts w:ascii="Arial" w:cs="Arial" w:eastAsia="Arial" w:hAnsi="Arial"/>
                <w:sz w:val="18"/>
                <w:szCs w:val="18"/>
                <w:color w:val="auto"/>
                <w:w w:val="96"/>
              </w:rPr>
              <w:t>western boots, youth footwear, socks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hunting footwear</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Athletic footwear</w:t>
            </w:r>
          </w:p>
        </w:tc>
        <w:tc>
          <w:tcPr>
            <w:tcW w:w="3200" w:type="dxa"/>
            <w:vAlign w:val="bottom"/>
          </w:tcPr>
          <w:p>
            <w:pPr>
              <w:spacing w:after="0"/>
              <w:rPr>
                <w:sz w:val="20"/>
                <w:szCs w:val="20"/>
                <w:color w:val="auto"/>
              </w:rPr>
            </w:pPr>
            <w:r>
              <w:rPr>
                <w:rFonts w:ascii="Arial" w:cs="Arial" w:eastAsia="Arial" w:hAnsi="Arial"/>
                <w:sz w:val="18"/>
                <w:szCs w:val="18"/>
                <w:color w:val="auto"/>
                <w:w w:val="89"/>
              </w:rPr>
              <w:t>Running shoes, athletic shoes, sport specific</w:t>
            </w:r>
          </w:p>
        </w:tc>
      </w:tr>
      <w:tr>
        <w:trPr>
          <w:trHeight w:val="230"/>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shoes and training shoes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63"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products and categories were reclassified among categories and divisions during 2019 as compared to prior years in order to better align with our current merchandising strategy and view of the business. Changes in management’s merchandise strategy and viewpoints could result in future reclassifications.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sets forth the approximate amount of sales by merchandise divisions for the periods presented (amounts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Arial" w:cs="Arial" w:eastAsia="Arial" w:hAnsi="Arial"/>
                <w:sz w:val="14"/>
                <w:szCs w:val="14"/>
                <w:b w:val="1"/>
                <w:bCs w:val="1"/>
                <w:color w:val="auto"/>
                <w:w w:val="92"/>
              </w:rPr>
              <w:t>Fiscal Year Ended</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2140" w:type="dxa"/>
            <w:vAlign w:val="bottom"/>
            <w:gridSpan w:val="4"/>
          </w:tcPr>
          <w:p>
            <w:pPr>
              <w:jc w:val="center"/>
              <w:ind w:left="262"/>
              <w:spacing w:after="0" w:line="142" w:lineRule="exact"/>
              <w:rPr>
                <w:sz w:val="20"/>
                <w:szCs w:val="20"/>
                <w:color w:val="auto"/>
              </w:rPr>
            </w:pPr>
            <w:r>
              <w:rPr>
                <w:rFonts w:ascii="Arial" w:cs="Arial" w:eastAsia="Arial" w:hAnsi="Arial"/>
                <w:sz w:val="14"/>
                <w:szCs w:val="14"/>
                <w:b w:val="1"/>
                <w:bCs w:val="1"/>
                <w:color w:val="auto"/>
                <w:w w:val="94"/>
              </w:rPr>
              <w:t>February 2, 2019</w:t>
            </w:r>
          </w:p>
        </w:tc>
        <w:tc>
          <w:tcPr>
            <w:tcW w:w="140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6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Merchandise division sales</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Outdoors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1,522,985</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1,583,183</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1,311,054</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Total merchandise sales</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4,820,588</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4,835,582</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60" w:hanging="424"/>
        <w:spacing w:after="0" w:line="255"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products and categories were re-categorized among categories and divisions during 2019 in order to better align with our current merchandising strategy and view of the business. As a result, we have reclassified sales between divisions for 2018 and 2017 for comparability purposes.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E-commerce sales consist of 5.1%, 4.9% and 4.0% of merchandise sales for 2019, 2018 and 2017, respectively.</w:t>
      </w:r>
    </w:p>
    <w:p>
      <w:pPr>
        <w:spacing w:after="0" w:line="9" w:lineRule="exact"/>
        <w:rPr>
          <w:rFonts w:ascii="Arial" w:cs="Arial" w:eastAsia="Arial" w:hAnsi="Arial"/>
          <w:sz w:val="18"/>
          <w:szCs w:val="18"/>
          <w:color w:val="auto"/>
        </w:rPr>
      </w:pPr>
    </w:p>
    <w:p>
      <w:pPr>
        <w:ind w:left="540" w:right="280" w:hanging="424"/>
        <w:spacing w:after="0" w:line="26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Other sales consists primarily of the sales return allowance, gift card breakage income, credit card bounties and royalties, shipping income, net hunting and fishing license income and other items.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February 1, 2020, the number of stores that we operated by state was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State</w:t>
            </w:r>
          </w:p>
        </w:tc>
        <w:tc>
          <w:tcPr>
            <w:tcW w:w="60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Number of Stores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Texas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Arkansas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7"/>
        </w:trPr>
        <w:tc>
          <w:tcPr>
            <w:tcW w:w="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0"/>
        </w:trPr>
        <w:tc>
          <w:tcPr>
            <w:tcW w:w="3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new stores average approximately 70,000 gross square feet, of which approximately 85% is dedicated to selling space. This allows us to merchandise and provide certain value-added services for the specialized nature of the merchandise we carry. These features include fishing and firearm service counters, free assembly of bicycles, grills and other products, hunting and fishing license certification, and in-store training for the use of certain of our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sponsoring over 1,500 local sports teams, hosting donation events for first responders and sponsoring events for the NCAA Southeastern Conference.</w:t>
      </w:r>
    </w:p>
    <w:p>
      <w:pPr>
        <w:spacing w:after="0" w:line="161"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4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utilize data obtained from our CRM tools, which enable us to create effective customer-targeting strategies. Our current CRM programs focus on welcoming our first-time customers, thanking our big spenders,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reactivating our lapsed customers and cross-selling our category customers (including our hunting, sports equipment and recreation categories). We also utilize customer demographic data that we capture to know when our customers buy from us and what items they purchase. With 38 million customers in our database, there is ample opportunity to increase our communication directly with our customers via one-on-one marketing.</w:t>
      </w:r>
    </w:p>
    <w:p>
      <w:pPr>
        <w:spacing w:after="0" w:line="14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Centers</w:t>
      </w:r>
    </w:p>
    <w:p>
      <w:pPr>
        <w:spacing w:after="0" w:line="121"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an ability to service up to an average of 110 locations each.</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Team Members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February 1, 2020, we employed over 21,000 team members. Of those team members, approximately 52% were full-time and 48% were part-time. Our employment levels fluctuate over the course of the year mainly due to the seasonality of our business. None of our team members are covered by collective bargaining agreements, and we believe we have good relationships with our team members. As a result of the COVID-19 pandemic, from mid-April 2020 to early June 2020, we temporarily furloughed a significant number of our corporate, store and distribution center team members and closed our corporate headquarters, thereby causing the majority of our active corporate team members to work remotely. As of October 31, 2020, we employed over 20,000 team members.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are headquartered at 1800 North Mason Road, Katy, Texas, 77449, just outside of Houston. The following table sets forth the location, use and size of our corporate and distribution center facilities as of February 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4400" w:type="dxa"/>
            <w:vAlign w:val="bottom"/>
            <w:vMerge w:val="restart"/>
          </w:tcPr>
          <w:p>
            <w:pPr>
              <w:spacing w:after="0"/>
              <w:rPr>
                <w:sz w:val="14"/>
                <w:szCs w:val="14"/>
                <w:color w:val="auto"/>
              </w:rPr>
            </w:pPr>
          </w:p>
        </w:tc>
        <w:tc>
          <w:tcPr>
            <w:tcW w:w="4160" w:type="dxa"/>
            <w:vAlign w:val="bottom"/>
            <w:gridSpan w:val="2"/>
            <w:vMerge w:val="restart"/>
          </w:tcPr>
          <w:p>
            <w:pPr>
              <w:ind w:left="1800"/>
              <w:spacing w:after="0"/>
              <w:rPr>
                <w:sz w:val="20"/>
                <w:szCs w:val="20"/>
                <w:color w:val="auto"/>
              </w:rPr>
            </w:pPr>
            <w:r>
              <w:rPr>
                <w:rFonts w:ascii="Arial" w:cs="Arial" w:eastAsia="Arial" w:hAnsi="Arial"/>
                <w:sz w:val="14"/>
                <w:szCs w:val="14"/>
                <w:b w:val="1"/>
                <w:bCs w:val="1"/>
                <w:color w:val="auto"/>
              </w:rPr>
              <w:t>Use</w:t>
            </w:r>
          </w:p>
        </w:tc>
        <w:tc>
          <w:tcPr>
            <w:tcW w:w="1920" w:type="dxa"/>
            <w:vAlign w:val="bottom"/>
            <w:gridSpan w:val="2"/>
          </w:tcPr>
          <w:p>
            <w:pPr>
              <w:jc w:val="right"/>
              <w:ind w:right="68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1920" w:type="dxa"/>
            <w:vAlign w:val="bottom"/>
            <w:gridSpan w:val="2"/>
          </w:tcPr>
          <w:p>
            <w:pPr>
              <w:jc w:val="right"/>
              <w:ind w:right="624"/>
              <w:spacing w:after="0" w:line="158" w:lineRule="exact"/>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Katy, Texas</w:t>
            </w:r>
          </w:p>
        </w:tc>
        <w:tc>
          <w:tcPr>
            <w:tcW w:w="3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Corporate Office Building 1</w:t>
            </w:r>
          </w:p>
        </w:tc>
        <w:tc>
          <w:tcPr>
            <w:tcW w:w="3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w:t>
            </w:r>
          </w:p>
        </w:tc>
        <w:tc>
          <w:tcPr>
            <w:tcW w:w="44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Katy, Texas</w:t>
            </w:r>
          </w:p>
        </w:tc>
        <w:tc>
          <w:tcPr>
            <w:tcW w:w="4160" w:type="dxa"/>
            <w:vAlign w:val="bottom"/>
            <w:gridSpan w:val="2"/>
          </w:tcPr>
          <w:p>
            <w:pPr>
              <w:spacing w:after="0"/>
              <w:rPr>
                <w:sz w:val="20"/>
                <w:szCs w:val="20"/>
                <w:color w:val="auto"/>
              </w:rPr>
            </w:pPr>
            <w:r>
              <w:rPr>
                <w:rFonts w:ascii="Arial" w:cs="Arial" w:eastAsia="Arial" w:hAnsi="Arial"/>
                <w:sz w:val="18"/>
                <w:szCs w:val="18"/>
                <w:color w:val="auto"/>
              </w:rPr>
              <w:t>Corporate Office Building 2</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200,000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Katy, Texas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Bulk Warehouse</w:t>
            </w:r>
          </w:p>
        </w:tc>
        <w:tc>
          <w:tcPr>
            <w:tcW w:w="19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200,000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Katy, Texas</w:t>
            </w:r>
          </w:p>
        </w:tc>
        <w:tc>
          <w:tcPr>
            <w:tcW w:w="4160" w:type="dxa"/>
            <w:vAlign w:val="bottom"/>
            <w:gridSpan w:val="2"/>
          </w:tcPr>
          <w:p>
            <w:pPr>
              <w:spacing w:after="0"/>
              <w:rPr>
                <w:sz w:val="20"/>
                <w:szCs w:val="20"/>
                <w:color w:val="auto"/>
              </w:rPr>
            </w:pPr>
            <w:r>
              <w:rPr>
                <w:rFonts w:ascii="Arial" w:cs="Arial" w:eastAsia="Arial" w:hAnsi="Arial"/>
                <w:sz w:val="18"/>
                <w:szCs w:val="18"/>
                <w:color w:val="auto"/>
              </w:rPr>
              <w:t>Distribution Center</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1,400,000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Twiggs County, Georgia</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Center</w:t>
            </w:r>
          </w:p>
        </w:tc>
        <w:tc>
          <w:tcPr>
            <w:tcW w:w="19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1,600,000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Cookeville, Tennessee</w:t>
            </w:r>
          </w:p>
        </w:tc>
        <w:tc>
          <w:tcPr>
            <w:tcW w:w="4160" w:type="dxa"/>
            <w:vAlign w:val="bottom"/>
            <w:gridSpan w:val="2"/>
          </w:tcPr>
          <w:p>
            <w:pPr>
              <w:spacing w:after="0"/>
              <w:rPr>
                <w:sz w:val="20"/>
                <w:szCs w:val="20"/>
                <w:color w:val="auto"/>
              </w:rPr>
            </w:pPr>
            <w:r>
              <w:rPr>
                <w:rFonts w:ascii="Arial" w:cs="Arial" w:eastAsia="Arial" w:hAnsi="Arial"/>
                <w:sz w:val="18"/>
                <w:szCs w:val="18"/>
                <w:color w:val="auto"/>
              </w:rPr>
              <w:t>Distribution Center</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1,600,000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Kowloon, Hong Kong</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Sourcing Office</w:t>
            </w:r>
          </w:p>
        </w:tc>
        <w:tc>
          <w:tcPr>
            <w:tcW w:w="19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5,000</w:t>
            </w: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20-year lease entered in 2007.</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20-year lease entered in 2015.</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20-year lease entered in 2012.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20-year lease entered in 2016.</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Three-year lease entered in 2017.</w:t>
      </w:r>
    </w:p>
    <w:p>
      <w:pPr>
        <w:spacing w:after="0" w:line="21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lease all of our stores. Our initial store lease terms are typically 15 to 20 years with various renewal options and lease escalation structures. We believe that all of our leases are entered into at the then-prevailing market lease rates. As of February 1, 2020, our total leased store square footage was approximately 18.3 million square feet.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Governmental Regulations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IRS, and Environmental Protection Agency and comparable state and local agencies.</w:t>
      </w:r>
    </w:p>
    <w:p>
      <w:pPr>
        <w:spacing w:after="0" w:line="16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76" w:lineRule="exact"/>
        <w:rPr>
          <w:sz w:val="20"/>
          <w:szCs w:val="20"/>
          <w:color w:val="auto"/>
        </w:rPr>
      </w:pPr>
    </w:p>
    <w:p>
      <w:pPr>
        <w:ind w:left="5500" w:right="4920" w:hanging="4844"/>
        <w:spacing w:after="0" w:line="490" w:lineRule="auto"/>
        <w:tabs>
          <w:tab w:leader="none" w:pos="1092" w:val="left"/>
        </w:tabs>
        <w:numPr>
          <w:ilvl w:val="0"/>
          <w:numId w:val="67"/>
        </w:numPr>
        <w:rPr>
          <w:rFonts w:ascii="Arial" w:cs="Arial" w:eastAsia="Arial" w:hAnsi="Arial"/>
          <w:sz w:val="17"/>
          <w:szCs w:val="17"/>
          <w:color w:val="auto"/>
        </w:rPr>
      </w:pPr>
      <w:r>
        <w:rPr>
          <w:rFonts w:ascii="Arial" w:cs="Arial" w:eastAsia="Arial" w:hAnsi="Arial"/>
          <w:sz w:val="17"/>
          <w:szCs w:val="17"/>
          <w:color w:val="auto"/>
        </w:rPr>
        <w:t>consumer product safety, product liability or consumer protection laws; 111</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8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laws related to advertising, marketing, pricing and selling our products, including but not limited to firearms, ammunition, and related accessories;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ADA and similar state and local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website design and content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FCPA, UKBA and other anti-corruption laws;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22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substantially similar issues of law and fact, relate to the April 2016 sale by one of our stores of a firearm and 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On October 6, 2020, the Supreme Court of Texas heard oral arguments relating to our motions for summary judgment to dismiss certain of these cases,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320" w:top="459" w:right="5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Below is a list of our executive officers and directors, their respective ages as of October 31, 2020 and a brief account of the business experience of each of them.</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06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Ken</w:t>
            </w:r>
          </w:p>
        </w:tc>
        <w:tc>
          <w:tcPr>
            <w:tcW w:w="4260" w:type="dxa"/>
            <w:vAlign w:val="bottom"/>
          </w:tcPr>
          <w:p>
            <w:pPr>
              <w:spacing w:after="0" w:line="189" w:lineRule="exact"/>
              <w:rPr>
                <w:sz w:val="20"/>
                <w:szCs w:val="20"/>
                <w:color w:val="auto"/>
              </w:rPr>
            </w:pPr>
            <w:r>
              <w:rPr>
                <w:rFonts w:ascii="Arial" w:cs="Arial" w:eastAsia="Arial" w:hAnsi="Arial"/>
                <w:sz w:val="18"/>
                <w:szCs w:val="18"/>
                <w:color w:val="auto"/>
              </w:rPr>
              <w:t>C. Hicks</w:t>
            </w:r>
          </w:p>
        </w:tc>
        <w:tc>
          <w:tcPr>
            <w:tcW w:w="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6"/>
                <w:szCs w:val="16"/>
                <w:color w:val="auto"/>
              </w:rPr>
            </w:pPr>
          </w:p>
        </w:tc>
        <w:tc>
          <w:tcPr>
            <w:tcW w:w="60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Michael P. Mullican</w:t>
            </w:r>
          </w:p>
        </w:tc>
        <w:tc>
          <w:tcPr>
            <w:tcW w:w="24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Steven P. Lawrence</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and Chief Merchandising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Samuel J. Johnson</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Retail Operations</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Kenneth D. Attaway*</w:t>
            </w:r>
          </w:p>
        </w:tc>
        <w:tc>
          <w:tcPr>
            <w:tcW w:w="240" w:type="dxa"/>
            <w:vAlign w:val="bottom"/>
          </w:tcPr>
          <w:p>
            <w:pPr>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Chief Operating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William S. Ennis</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Chief Human Resources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Manish Maini</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Chief Information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Jamey Traywick Rutherford</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Omnichannel</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Rene G. Casares</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Wendy A. Beck</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Brian T. Marley</w:t>
            </w:r>
          </w:p>
        </w:tc>
        <w:tc>
          <w:tcPr>
            <w:tcW w:w="240" w:type="dxa"/>
            <w:vAlign w:val="bottom"/>
          </w:tcPr>
          <w:p>
            <w:pPr>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Vishal V. Patel</w:t>
            </w:r>
          </w:p>
        </w:tc>
        <w:tc>
          <w:tcPr>
            <w:tcW w:w="240" w:type="dxa"/>
            <w:vAlign w:val="bottom"/>
          </w:tcPr>
          <w:p>
            <w:pP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Allen I. Questrom</w:t>
            </w:r>
          </w:p>
        </w:tc>
        <w:tc>
          <w:tcPr>
            <w:tcW w:w="240" w:type="dxa"/>
            <w:vAlign w:val="bottom"/>
          </w:tcPr>
          <w:p>
            <w:pPr>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William S. Simon</w:t>
            </w:r>
          </w:p>
        </w:tc>
        <w:tc>
          <w:tcPr>
            <w:tcW w:w="240" w:type="dxa"/>
            <w:vAlign w:val="bottom"/>
          </w:tcPr>
          <w:p>
            <w:pPr>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Nathaniel H. Taylor</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Jeffrey C. Tweedy</w:t>
            </w:r>
          </w:p>
        </w:tc>
        <w:tc>
          <w:tcPr>
            <w:tcW w:w="240" w:type="dxa"/>
            <w:vAlign w:val="bottom"/>
          </w:tcPr>
          <w:p>
            <w:pPr>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Aileen X. Yan</w:t>
            </w:r>
          </w:p>
        </w:tc>
        <w:tc>
          <w:tcPr>
            <w:tcW w:w="24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Mr. Attaway will cease to serve in the role of chief operating officer and will terminate employment with the Company, effective January 29, 2021.</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Ken C. Hicks </w:t>
      </w:r>
      <w:r>
        <w:rPr>
          <w:rFonts w:ascii="Arial" w:cs="Arial" w:eastAsia="Arial" w:hAnsi="Arial"/>
          <w:sz w:val="16"/>
          <w:szCs w:val="16"/>
          <w:color w:val="auto"/>
        </w:rPr>
        <w:t>has served as the Chairman and our President and Chief Executive Officer since May 2018. Mr. Hicks has served as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managers of New Academy Holding Company, LLC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 We believe Mr. Hicks’ qualifications to serve on our board of directors include his executive leadership and management experience and extensive business and financial experience related to the retail industry.</w:t>
      </w:r>
    </w:p>
    <w:p>
      <w:pPr>
        <w:spacing w:after="0" w:line="172"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b w:val="1"/>
          <w:bCs w:val="1"/>
          <w:i w:val="1"/>
          <w:iCs w:val="1"/>
          <w:color w:val="auto"/>
        </w:rPr>
        <w:t xml:space="preserve">Michael P. Mullican </w:t>
      </w:r>
      <w:r>
        <w:rPr>
          <w:rFonts w:ascii="Arial" w:cs="Arial" w:eastAsia="Arial" w:hAnsi="Arial"/>
          <w:sz w:val="18"/>
          <w:szCs w:val="18"/>
          <w:color w:val="auto"/>
        </w:rPr>
        <w:t>has served as our Executive Vice President and Chief Financial Officer since January 2018. He previously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Horizon Lines, Inc. Mr. Mullican holds a Bachelor of Arts in Communication from North Carolina State University and a Juris Doctor degree from the University of Chicago Law School.</w:t>
      </w:r>
    </w:p>
    <w:p>
      <w:pPr>
        <w:spacing w:after="0" w:line="170"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b w:val="1"/>
          <w:bCs w:val="1"/>
          <w:i w:val="1"/>
          <w:iCs w:val="1"/>
          <w:color w:val="auto"/>
        </w:rPr>
        <w:t xml:space="preserve">Steven (Steve) P. Lawrence </w:t>
      </w:r>
      <w:r>
        <w:rPr>
          <w:rFonts w:ascii="Arial" w:cs="Arial" w:eastAsia="Arial" w:hAnsi="Arial"/>
          <w:sz w:val="16"/>
          <w:szCs w:val="16"/>
          <w:color w:val="auto"/>
        </w:rPr>
        <w:t>has served as our Executive Vice President and Chief Merchandising Officer since joining the Academy Sports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Outdoors team in February 2019. Prior to joining Academy Sports + Outdoors, Mr. Lawrence was President and Chief Executive Officer at francesca’s. From May 2012 to September 2016, he served as Chief Merchandising Officer at Stage Stores. Mr. Lawrence also spent nearly 12 years 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Samuel (Sam) J. Johnson </w:t>
      </w:r>
      <w:r>
        <w:rPr>
          <w:rFonts w:ascii="Arial" w:cs="Arial" w:eastAsia="Arial" w:hAnsi="Arial"/>
          <w:sz w:val="18"/>
          <w:szCs w:val="18"/>
          <w:color w:val="auto"/>
        </w:rPr>
        <w:t>has served as our Executive Vice President, Retail Operations since joining the Academy Sports + Outdoors team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88" w:lineRule="exact"/>
        <w:rPr>
          <w:sz w:val="20"/>
          <w:szCs w:val="20"/>
          <w:color w:val="auto"/>
        </w:rPr>
      </w:pPr>
    </w:p>
    <w:p>
      <w:pPr>
        <w:ind w:left="120" w:right="640" w:firstLine="440"/>
        <w:spacing w:after="0" w:line="291" w:lineRule="auto"/>
        <w:rPr>
          <w:sz w:val="20"/>
          <w:szCs w:val="20"/>
          <w:color w:val="auto"/>
        </w:rPr>
      </w:pPr>
      <w:r>
        <w:rPr>
          <w:rFonts w:ascii="Arial" w:cs="Arial" w:eastAsia="Arial" w:hAnsi="Arial"/>
          <w:sz w:val="16"/>
          <w:szCs w:val="16"/>
          <w:b w:val="1"/>
          <w:bCs w:val="1"/>
          <w:i w:val="1"/>
          <w:iCs w:val="1"/>
          <w:color w:val="auto"/>
        </w:rPr>
        <w:t xml:space="preserve">Kenneth (Ken) D. Attaway </w:t>
      </w:r>
      <w:r>
        <w:rPr>
          <w:rFonts w:ascii="Arial" w:cs="Arial" w:eastAsia="Arial" w:hAnsi="Arial"/>
          <w:sz w:val="16"/>
          <w:szCs w:val="16"/>
          <w:color w:val="auto"/>
        </w:rPr>
        <w:t>has served as our Executive Vice President, Chief Operating Officer since October 2013, currently overseeing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and Logistics, Real Estate, Construction, Facilities/Maintenance, Procurement and Enterprise Program Management Office.</w:t>
      </w:r>
    </w:p>
    <w:p>
      <w:pPr>
        <w:ind w:left="120" w:right="160"/>
        <w:spacing w:after="0" w:line="253" w:lineRule="auto"/>
        <w:rPr>
          <w:sz w:val="20"/>
          <w:szCs w:val="20"/>
          <w:color w:val="auto"/>
        </w:rPr>
      </w:pPr>
      <w:r>
        <w:rPr>
          <w:rFonts w:ascii="Arial" w:cs="Arial" w:eastAsia="Arial" w:hAnsi="Arial"/>
          <w:sz w:val="18"/>
          <w:szCs w:val="18"/>
          <w:color w:val="auto"/>
        </w:rPr>
        <w:t>Mr. Attaway joined the Academy Sports + Outdoors team as Executive Director of Supply Chain in January 2007 and was appointed as Vice President of Distribution and Logistics in September 2007. In February 2009, Mr. Attaway became the Executive Vice President of Distribution and Logistics, then was appointed as the Executive Vice President of Operations in May 2009 and led loss prevention, stores and the sourcing team along with his Distribution and Logistics responsibilities. Prior to joining Academy Sports + Outdoors, Mr. Attaway spent over 25 years at Dollar General and Bealls Department Stores combined, leading their supply chain teams.</w:t>
      </w:r>
    </w:p>
    <w:p>
      <w:pPr>
        <w:spacing w:after="0" w:line="19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William (Bill) S. Ennis </w:t>
      </w:r>
      <w:r>
        <w:rPr>
          <w:rFonts w:ascii="Arial" w:cs="Arial" w:eastAsia="Arial" w:hAnsi="Arial"/>
          <w:sz w:val="18"/>
          <w:szCs w:val="18"/>
          <w:color w:val="auto"/>
        </w:rPr>
        <w:t>has served as our Senior Vice President, Chief Human Resources Officer since March 2016. Mr. Ennis joined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Academy 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9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Manish Maini </w:t>
      </w:r>
      <w:r>
        <w:rPr>
          <w:rFonts w:ascii="Arial" w:cs="Arial" w:eastAsia="Arial" w:hAnsi="Arial"/>
          <w:sz w:val="16"/>
          <w:szCs w:val="16"/>
          <w:color w:val="auto"/>
        </w:rPr>
        <w:t>has served as our Senior Vice President, Chief Information Officer since joining the Academy Sports + Outdoors team in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Jamey Traywick Rutherford </w:t>
      </w:r>
      <w:r>
        <w:rPr>
          <w:rFonts w:ascii="Arial" w:cs="Arial" w:eastAsia="Arial" w:hAnsi="Arial"/>
          <w:sz w:val="18"/>
          <w:szCs w:val="18"/>
          <w:color w:val="auto"/>
        </w:rPr>
        <w:t>has served as our Senior Vice President, Omnichannel since joining the Academy Sports + Outdoors team in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Prior to joining Academy Sports + Outdoors, Ms. Traywick Rutherford spent over 17 years at AutoZone where she served in various e-commerce roles until she was promoted to AutoZone’s first Vice President, e-commerce in 2010. She was instrumental in the development and launch of AutoZone.com and AutoZonePro.com. In 2017, she transitioned to Vice President, Merchandising to leverage her digital expertise to support in-store sales initiatives. She holds a Bachelor of Science in Environmental Science from the University of Denver, and a Master of Science in e-commerce from the University of Memphis.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Rene G. Casares </w:t>
      </w:r>
      <w:r>
        <w:rPr>
          <w:rFonts w:ascii="Arial" w:cs="Arial" w:eastAsia="Arial" w:hAnsi="Arial"/>
          <w:sz w:val="17"/>
          <w:szCs w:val="17"/>
          <w:color w:val="auto"/>
        </w:rPr>
        <w:t>has served as our Senior Vice President, General Counsel and Secretary since March 2018. He joined the company in July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Director, Associate General Counsel and served as Vice President, 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 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Wendy A Beck </w:t>
      </w:r>
      <w:r>
        <w:rPr>
          <w:rFonts w:ascii="Arial" w:cs="Arial" w:eastAsia="Arial" w:hAnsi="Arial"/>
          <w:sz w:val="17"/>
          <w:szCs w:val="17"/>
          <w:color w:val="auto"/>
        </w:rPr>
        <w:t>has served as a member of the board of directors of Academy Sports and Outdoors, Inc. since December 2020. Ms. Beck,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Certified Public Accountant, most recently served as Executive Vice President and Chief Financial Officer for Norwegian Cruise Line Holdings, Inc. until March 2018. Prior to that, Ms. Beck served as Executive Vice President and Chief Financial Officer of Domino’s Pizza Inc. from 2008 to 2010, as Senior Vice President, Chief Financial Officer and Treasurer of Whataburger Restaurants, LP from 2004 through 2008 and as their Vice President and Chief Accounting Officer from 2001 through 2004, and as Vice President, Chief Financial Officer and Treasurer of Checkers Drive-In Restaurants, Inc. from 2000 through 2001. Ms. Beck has served on the board of directors and the compensation committee of Bloomin’ Brands, Inc. since February 2018 and on the board of directors and has chaired the audit committee of At Home Group Inc. since September 2014. Ms. Beck previously served on the board of directors and the audit committee of SpartanNash Company from September 2010 to December 2013. We believe Ms. Beck’s qualifications to serve on our board of directors include her executive leadership and management experience related to the retail industry and her extensive financial experience.</w:t>
      </w:r>
    </w:p>
    <w:p>
      <w:pPr>
        <w:spacing w:after="0" w:line="18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Brian T. Marley </w:t>
      </w:r>
      <w:r>
        <w:rPr>
          <w:rFonts w:ascii="Arial" w:cs="Arial" w:eastAsia="Arial" w:hAnsi="Arial"/>
          <w:sz w:val="18"/>
          <w:szCs w:val="18"/>
          <w:color w:val="auto"/>
        </w:rPr>
        <w:t>has served as a member of the board of managers of New Academy Holding Company, LLC since January 2018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board of directors of Academy Sports and Outdoors, Inc. since June 2020. Mr. Marley is the founder and Managing Partner of Marley Associates LLC, an advisory services firm. Mr. Marley previously served as Executive Vice President and Chief Financial Officer of Belk, Inc. from 2000 to 2013. Prior to joining Belk, Mr. Marley was at KPMG LLP for 20 years, during which he was a partner for 7 years. He is a graduate of the University of North Carolina at Chapel Hill. We believe Mr. Marley’s qualifications to serve on our board of directors include his executive leadership and management experience and extensive financial experience.</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Vishal V. Patel </w:t>
      </w:r>
      <w:r>
        <w:rPr>
          <w:rFonts w:ascii="Arial" w:cs="Arial" w:eastAsia="Arial" w:hAnsi="Arial"/>
          <w:sz w:val="18"/>
          <w:szCs w:val="18"/>
          <w:color w:val="auto"/>
        </w:rPr>
        <w:t>has served as a member of the board of managers of New Academy Holding Company, LLC since May 2015 and as a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of Academy Sports and Outdoors, Inc. since June 2020. Mr. Patel is a member of the Healthcare and Retail and Consumer teams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 We believe Mr. Patel’s qualifications to serve on our board of directors include his significant business, financial and investment experience related to the retail industry and prior involvement with KKR’s investment in the Company.</w:t>
      </w:r>
    </w:p>
    <w:p>
      <w:pPr>
        <w:spacing w:after="0" w:line="19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Allen I. Questrom </w:t>
      </w:r>
      <w:r>
        <w:rPr>
          <w:rFonts w:ascii="Arial" w:cs="Arial" w:eastAsia="Arial" w:hAnsi="Arial"/>
          <w:sz w:val="17"/>
          <w:szCs w:val="17"/>
          <w:color w:val="auto"/>
        </w:rPr>
        <w:t>has served on the board of directors of Academy Sports and Outdoors, Inc. since October 2020 and as lead director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2020. Mr. Questrom has served on the board of advisors of the Robin Report since January 2010, and as a Trustee of Boston University since September 2006. He served on the board of directors of At Home Group, Inc. from March 2012 to June 2020, Tailored Brands Inc. from August 2013 to June 2017, Sotheby’s from December 2004 to June 2014, Foot Locker, Inc. from February 2011 to May 2013 and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Walmart Inc. from June 2007 to June 2009. He served as a Senior Advisor for Lee Equity Partners from June 2006 to January 2018. From September 2000 through December 2004, he was the Chairman and Chief Executive Officer of J.C. Penney Company, Inc. He served on the board of Barneys New York, Inc. beginning in January 1999 and as President and Chief Executive Officer from May 1999 until September 2000 and as Chairman of the Board from May 1999 until January 2001. He was Chairman and CEO of Federated Department Stores, Inc. (now Macy’s) from February 1990 to May 1997. Mr. Questrom was Chairman and Chief Executive Officer of Neiman Marcus, Inc. from 1988 to 1990. Mr. Questrom graduated from Boston University with a Bachelor of Science in Finance and Marketing. We believe Mr. Questrom’s qualifications to serve on our board of directors include his executive leadership and management experience related to the retail industry.</w:t>
      </w:r>
    </w:p>
    <w:p>
      <w:pPr>
        <w:spacing w:after="0" w:line="1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William (Bill) S. Simon </w:t>
      </w:r>
      <w:r>
        <w:rPr>
          <w:rFonts w:ascii="Arial" w:cs="Arial" w:eastAsia="Arial" w:hAnsi="Arial"/>
          <w:sz w:val="16"/>
          <w:szCs w:val="16"/>
          <w:color w:val="auto"/>
        </w:rPr>
        <w:t>has served as a member of the board of managers of New Academy Holding Company, LLC since September 2016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 of the board of directors of Academy Sports and Outdoors, Inc. since June 2020. Mr. Simon has also served on the board of directors of Darden Restaurants Inc. since July 2012, Chico’s FAS, Inc. since July 2016 and GameStop Corp. since March 2020. He served on the board of directors of Agrium Inc. from February 2016 to May 2017 and on the board of directors of Anixter International Inc. from March 2019 to June 2020. Mr. Simon was the President and CEO of Walmart U.S. from 2010 to 2014, and previously was appointed the COO of Walmart U.S. in 2007. Prior to joining Walmart, Mr. Simon held several senior positions at Brinker International, Diageo, Cadbury-Schweppes, PepsiCo and RJR-Nabisco. He also served in the public sector as Secretary of the Florida Department of Management Services, appointed by Governor Jeb Bush. Mr. Simon is currently a senior advisor to KKR. Mr. Simon served 25 years in the U.S. Navy and Naval Reserves and attended the University of Connecticut, where he earned a Bachelor of Arts in Economics and a Masters of Business Administration in Management. We believe Mr. Simon’s qualifications to serve on our board of directors include his executive leadership and management experience and extensive business and financial experience related to the retail industry.</w:t>
      </w:r>
    </w:p>
    <w:p>
      <w:pPr>
        <w:spacing w:after="0" w:line="16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Nathaniel (Nate) H. Taylor </w:t>
      </w:r>
      <w:r>
        <w:rPr>
          <w:rFonts w:ascii="Arial" w:cs="Arial" w:eastAsia="Arial" w:hAnsi="Arial"/>
          <w:sz w:val="16"/>
          <w:szCs w:val="16"/>
          <w:color w:val="auto"/>
        </w:rPr>
        <w:t>has served as a member of the board of managers of New Academy Holding Company, LLC since August 2011,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as Chairman from June 2015 to May 2018, and as a member of the board of directors of Academy Sports and Outdoors, Inc. since June 2020. Mr. Taylor co-heads the Americas Private Equity at KKR and serves on the Investment Committee within KKR’s Americas Private Equity platform. Mr. Taylor has also served on the board of directors of US Foods Holding Corp. since May 2020 and served on the board of directors of National Vision Holdings, Inc. from February 2014 to September 2020. Prior to joining KKR, Mr. Taylor worked at Bain Capital where he was involved with investments in the retail, health care and technology sectors. He holds a Bachelor of Arts from Dartmouth College and a Masters of Business Administration from Stanford University Graduate School of Business. We believe Mr. Taylor’s qualifications to serve on our board of directors include his significant business, financial and investment experience related to the retail industry and prior involvement with KKR’s investment in the Company.</w:t>
      </w:r>
    </w:p>
    <w:p>
      <w:pPr>
        <w:spacing w:after="0" w:line="16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b w:val="1"/>
          <w:bCs w:val="1"/>
          <w:i w:val="1"/>
          <w:iCs w:val="1"/>
          <w:color w:val="auto"/>
        </w:rPr>
        <w:t xml:space="preserve">Jeffrey C. Tweedy </w:t>
      </w:r>
      <w:r>
        <w:rPr>
          <w:rFonts w:ascii="Arial" w:cs="Arial" w:eastAsia="Arial" w:hAnsi="Arial"/>
          <w:sz w:val="17"/>
          <w:szCs w:val="17"/>
          <w:color w:val="auto"/>
        </w:rPr>
        <w:t>has served on the board of directors of Academy Sports and Outdoors, Inc. since October 2020. Mr. Tweedy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Sean John Clothing since November 2007, where he previously served as Executive Vice President from February 1998 to March 2005. He serves on the board of The Piney Woods School since February 2019, and the advisory board of the Fashion Institute of Technology since January 2020, where he previously studied Menswear Design and Marketing. He served as Vice President of Karl Kani Jeans from March 1993 to June 1996. Mr. Tweedy served as Vice President of Spike Lee from February 1992 to June 1993 and as East Coast Sales Manager of Ralph Lauren Womenswear from February 1990 to December 1992. We believe Mr. Tweedy’s qualifications to serve on our board of directors include his extensive executive leadership and management experience related to the retail industry.</w:t>
      </w:r>
    </w:p>
    <w:p>
      <w:pPr>
        <w:spacing w:after="0" w:line="17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Aileen X. Yan </w:t>
      </w:r>
      <w:r>
        <w:rPr>
          <w:rFonts w:ascii="Arial" w:cs="Arial" w:eastAsia="Arial" w:hAnsi="Arial"/>
          <w:sz w:val="17"/>
          <w:szCs w:val="17"/>
          <w:color w:val="auto"/>
        </w:rPr>
        <w:t>has served as a member of the board of managers of New Academy Holding Company, LLC since November 2019 and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Academy Sports and Outdoors, Inc. since June 2020.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Engineering from Columbia University and a Master of Business Administration from Harvard Business School. We believe Ms. Yan’s qualifications to serve on our board of directors include her significant business, financial and investment experience related to the retail industry and prior involvement with KKR’s investment in the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Our amended and restated certificate of incorporation provides for a classified board of directors, with three directors in Class I (Nathaniel H. Taylor, William S. Simon and Brian T. Marley), three directors in Class II (Aileen X. Yan, Allen I. Questrom and Wendy A. Beck) and three directors in Class III (Ken C. Hicks, Vishal V. Patel and Jeffrey C. Tweedy). See “Description of Capital Stock.”</w:t>
      </w:r>
    </w:p>
    <w:p>
      <w:pPr>
        <w:spacing w:after="0" w:line="18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In addition, pursuant to the stockholders agreement, KKR Stockholders have the right to designate nominees to our board of directors subject to the maintenance of certain ownership requirements in us. See “Certain Relationships and Related Party Transactions—Stockholders Agreement.”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Exemption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KKR Stockholders, who are parties to the stockholders agreement, beneficially own shares representing more than 50% of the voting power of our shares eligible to vote in the election of directors. As a result, we are a “controlled company” within the meaning of the corporate governance standards of Nasdaq. Under these corporate governance standards, a company of which more than 50% of the voting power is held by an individual, group or another company is a “controlled company” and may elect not to comply with certain corporate governance standards, including the requirements</w:t>
      </w:r>
    </w:p>
    <w:p>
      <w:pPr>
        <w:spacing w:after="0" w:line="1" w:lineRule="exact"/>
        <w:rPr>
          <w:sz w:val="20"/>
          <w:szCs w:val="20"/>
          <w:color w:val="auto"/>
        </w:rPr>
      </w:pPr>
    </w:p>
    <w:p>
      <w:pPr>
        <w:ind w:left="120" w:right="420" w:hanging="4"/>
        <w:spacing w:after="0" w:line="253" w:lineRule="auto"/>
        <w:tabs>
          <w:tab w:leader="none" w:pos="37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governance committee that is comprised entirely of independent directors with a written charter addressing the committee’s purpose and responsibilities.</w:t>
      </w:r>
    </w:p>
    <w:p>
      <w:pPr>
        <w:spacing w:after="0" w:line="193"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Accordingly, you will not have the same protections afforded to stockholders of companies that are subject to all of these corporate governance requirements. In the event that we cease to be a “controlled company” and our shares continue to be listed on Nasdaq,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261" w:lineRule="exact"/>
        <w:rPr>
          <w:sz w:val="20"/>
          <w:szCs w:val="20"/>
          <w:color w:val="auto"/>
        </w:rPr>
      </w:pPr>
    </w:p>
    <w:p>
      <w:pPr>
        <w:ind w:left="120" w:right="4800"/>
        <w:spacing w:after="0" w:line="400" w:lineRule="auto"/>
        <w:rPr>
          <w:sz w:val="20"/>
          <w:szCs w:val="20"/>
          <w:color w:val="auto"/>
        </w:rPr>
      </w:pPr>
      <w:r>
        <w:rPr>
          <w:rFonts w:ascii="Arial" w:cs="Arial" w:eastAsia="Arial" w:hAnsi="Arial"/>
          <w:sz w:val="17"/>
          <w:szCs w:val="17"/>
          <w:b w:val="1"/>
          <w:bCs w:val="1"/>
          <w:color w:val="auto"/>
        </w:rPr>
        <w:t xml:space="preserve">Board Leadership Structure and Our Board of Director’s Role in Risk Oversight </w:t>
      </w:r>
      <w:r>
        <w:rPr>
          <w:rFonts w:ascii="Arial" w:cs="Arial" w:eastAsia="Arial" w:hAnsi="Arial"/>
          <w:sz w:val="17"/>
          <w:szCs w:val="17"/>
          <w:i w:val="1"/>
          <w:iCs w:val="1"/>
          <w:color w:val="auto"/>
        </w:rPr>
        <w:t>Committees of Our Board of Directors and Board Leadership Structure</w:t>
      </w:r>
    </w:p>
    <w:p>
      <w:pPr>
        <w:ind w:left="120" w:right="40" w:firstLine="440"/>
        <w:spacing w:after="0" w:line="308" w:lineRule="auto"/>
        <w:rPr>
          <w:sz w:val="20"/>
          <w:szCs w:val="20"/>
          <w:color w:val="auto"/>
        </w:rPr>
      </w:pPr>
      <w:r>
        <w:rPr>
          <w:rFonts w:ascii="Arial" w:cs="Arial" w:eastAsia="Arial" w:hAnsi="Arial"/>
          <w:sz w:val="17"/>
          <w:szCs w:val="17"/>
          <w:color w:val="auto"/>
        </w:rPr>
        <w:t>The standing committees of our board of directors consist of an Audit Committee, a Compensation Committee and a Nominating and Governance Committee. Our board of directors may also establish from time to time any other committees that it deems necessary or desirable.</w:t>
      </w:r>
    </w:p>
    <w:p>
      <w:pPr>
        <w:spacing w:after="0" w:line="14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chief executive officer and other executive officers regularly report to the non-executive directors and the Audit Committee, the Compensation Committee and the Nominating and Governance Committee to ensure effective and efficient oversight of our activities and to assist in proper risk management and the ongoing evaluation of management controls. In addition, pursuant to our Corporate Governance Guidelines, whenever the chairperson of the board does not qualify as an independent director, the independent directors may elect from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among themselves a lead director of the board. Accordingly, in December 2020, the independent directors appointed Allen I. Questrom to serve as lead director. Key responsibilities of our lead director include, among others, presiding at executive sessions of independent directors, facilitating communications between the independent directors and the chairperson of the board and our management team, and calling meetings of the independent directors, as necessary. We believe that the leadership structure of our board of directors provides appropriate risk oversight of our activities given the controlling interests held by KKR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an Audit Committee, consisting of Brian T. Marley, who serves as the Chair, and Wendy A. Beck and Allen I. Questrom. Each of Ms. Beck and Mr. Questrom qualifies as an independent director under the corporate governance standards of Nasdaq and the independence requirements of Rule 10A-3 of the Securities Exchange Act of 1934, as amended, or the Exchange Act. Our board of directors has determined that each of Ms. Beck and Messrs. Marley and Questrom qualifies as an “audit committee financial expert” as such term is defined in Item 407(d)(5) of Regulation S-K.</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purpose of the Audit Committee will be to prepare the audit committee report required by the SEC to be included in our proxy statement and to assist our board of directors in overseeing:</w:t>
      </w:r>
    </w:p>
    <w:p>
      <w:pPr>
        <w:spacing w:after="0" w:line="76"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accounting, financial reporting and disclosure processes;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adequacy and soundness of systems of disclosure and internal control established by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 and the annual independent audit of our consolidated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in connection with the foregoing;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compliance with our Code of Conduct;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overall risk management profile.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adopted a written charter for the Audit Committee, which is available on our website.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a Compensation Committee, consisting of William S. Simon, Jeffrey C. Tweedy and Nathaniel H. Taylor, who serves as the Chair.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Compensation Committee is to assist our board of directors in discharging its responsibilities relating to:</w:t>
      </w:r>
    </w:p>
    <w:p>
      <w:pPr>
        <w:spacing w:after="0" w:line="131" w:lineRule="exact"/>
        <w:rPr>
          <w:sz w:val="20"/>
          <w:szCs w:val="20"/>
          <w:color w:val="auto"/>
        </w:rPr>
      </w:pPr>
    </w:p>
    <w:p>
      <w:pPr>
        <w:ind w:left="1080" w:right="8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setting our compensation program and compensation of our executive officers, directors and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monitoring our incentive compensation and equity-based compensation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succession planning for our executive officers, directors and key personnel;</w:t>
      </w:r>
    </w:p>
    <w:p>
      <w:pPr>
        <w:spacing w:after="0" w:line="130" w:lineRule="exact"/>
        <w:rPr>
          <w:rFonts w:ascii="Arial" w:cs="Arial" w:eastAsia="Arial" w:hAnsi="Arial"/>
          <w:sz w:val="18"/>
          <w:szCs w:val="18"/>
          <w:color w:val="auto"/>
        </w:rPr>
      </w:pPr>
    </w:p>
    <w:p>
      <w:pPr>
        <w:ind w:left="5500" w:right="20" w:hanging="4844"/>
        <w:spacing w:after="0" w:line="449" w:lineRule="auto"/>
        <w:tabs>
          <w:tab w:leader="none" w:pos="1096"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compliance with the compensation rules, regulations and guidelines promulgated by Nasdaq, the SEC and other law, as applicable; and 119</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60" w:firstLine="96"/>
        <w:spacing w:after="0" w:line="573" w:lineRule="auto"/>
        <w:tabs>
          <w:tab w:leader="none" w:pos="1092"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preparing the compensation committee report required to be included in our proxy statement under the rules and regulations of the SEC. Our board of directors adopted a written charter for the Compensation Committee, which is available on our website.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Governance Committee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a Nominating and Governance Committee, consisting of Nathaniel H. Taylor, Jeffrey C. Tweedy and Allen I. Questrom, who serves as the Chair.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Nominating and Governance Committee is to:</w:t>
      </w:r>
    </w:p>
    <w:p>
      <w:pPr>
        <w:spacing w:after="0" w:line="131"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advise our board of directors concerning the appropriate composition of our board of directors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identify individuals qualified to become members of our board of directors;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recommend to our board of directors the persons to be nominated by our board of directors for election as directors at any meeting of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recommend to our board of directors the members of our board of directors to serve on the various committees of our board of directors;</w:t>
      </w:r>
    </w:p>
    <w:p>
      <w:pPr>
        <w:spacing w:after="0" w:line="153"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develop and recommend to our board of directors a set of corporate governance guidelines and assist our board of directors in complying with them;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 the evaluation of our board of directors, our board of directors’ committees, and management.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adopted a written charter for the Nominating and Governance Committee, which is available on our website.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None of the members of our Compensation Committee has at any time been one of our executive officers or team members.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6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are parties to certain transactions with KKR Stockholders and their affiliates and certain of our directors described in the section of this prospectus entitled “Certain Relationships and Related Party Transactions.”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Code of Ethics and Business Conduct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adopted a new Code of Ethics and Business Conduct that applies to all of our directors, officers and team members, including our chief executive officer and chief financial and accounting officer. Our Code of Ethics and Business Conduct is available on our website. Our Code of Ethics and Business Conduct is a “code of ethics,” as defined in Item 406(b) of Regulation S-K. We will make any legally required disclosures regarding amendments to, or waivers of, provisions of our code of ethics on our website.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This Compensation Discussion and Analysis provides an overview of our executive compensation philosophy, the overall objectives of our executive compensation program, and each material element of compensation for the fiscal year ended February 1, 2020 (also referred to as 2019). We have provided this information for each person who served as our principal executive officer, principal financial officer and our three most highly compensated executive officers employed at the end of 2019, all of whom we refer to collectively as our Named Executive Officers.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Named Executive Officers for 2019 were:</w:t>
      </w:r>
    </w:p>
    <w:p>
      <w:pPr>
        <w:spacing w:after="0" w:line="131"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Ken C. Hicks, </w:t>
      </w:r>
      <w:r>
        <w:rPr>
          <w:rFonts w:ascii="Arial" w:cs="Arial" w:eastAsia="Arial" w:hAnsi="Arial"/>
          <w:sz w:val="18"/>
          <w:szCs w:val="18"/>
          <w:i w:val="1"/>
          <w:iCs w:val="1"/>
          <w:color w:val="auto"/>
        </w:rPr>
        <w:t>Chairman, President, and Chief Executive Officer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Michael P. Mullican, </w:t>
      </w:r>
      <w:r>
        <w:rPr>
          <w:rFonts w:ascii="Arial" w:cs="Arial" w:eastAsia="Arial" w:hAnsi="Arial"/>
          <w:sz w:val="18"/>
          <w:szCs w:val="18"/>
          <w:i w:val="1"/>
          <w:iCs w:val="1"/>
          <w:color w:val="auto"/>
        </w:rPr>
        <w:t>Executive Vice President, Chief Financial Officer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Steven (Steve) P. Lawrence, </w:t>
      </w:r>
      <w:r>
        <w:rPr>
          <w:rFonts w:ascii="Arial" w:cs="Arial" w:eastAsia="Arial" w:hAnsi="Arial"/>
          <w:sz w:val="18"/>
          <w:szCs w:val="18"/>
          <w:i w:val="1"/>
          <w:iCs w:val="1"/>
          <w:color w:val="auto"/>
        </w:rPr>
        <w:t>Executive Vice President, Chief Merchandising Officer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Samuel (Sam) J. Johnson, </w:t>
      </w:r>
      <w:r>
        <w:rPr>
          <w:rFonts w:ascii="Arial" w:cs="Arial" w:eastAsia="Arial" w:hAnsi="Arial"/>
          <w:sz w:val="18"/>
          <w:szCs w:val="18"/>
          <w:i w:val="1"/>
          <w:iCs w:val="1"/>
          <w:color w:val="auto"/>
        </w:rPr>
        <w:t>Executive Vice President, Retail Operations;</w:t>
      </w:r>
      <w:r>
        <w:rPr>
          <w:rFonts w:ascii="Arial" w:cs="Arial" w:eastAsia="Arial" w:hAnsi="Arial"/>
          <w:sz w:val="18"/>
          <w:szCs w:val="18"/>
          <w:color w:val="auto"/>
        </w:rPr>
        <w:t xml:space="preser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Kenneth (Ken) D. Attaway, </w:t>
      </w:r>
      <w:r>
        <w:rPr>
          <w:rFonts w:ascii="Arial" w:cs="Arial" w:eastAsia="Arial" w:hAnsi="Arial"/>
          <w:sz w:val="18"/>
          <w:szCs w:val="18"/>
          <w:i w:val="1"/>
          <w:iCs w:val="1"/>
          <w:color w:val="auto"/>
        </w:rPr>
        <w:t>Executive Vice President, Chief Operations Officer</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We Are and 2019 Business Performance Highlights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 We sell a range of sporting and outdoor recreation products, including sporting equipment, apparel, footwear, camping gear, patio furniture, outdoor cooking equipment, and hunting and fishing gear, among many others. As of February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Highlights from 2019 include:</w:t>
      </w:r>
    </w:p>
    <w:p>
      <w:pPr>
        <w:spacing w:after="0" w:line="131" w:lineRule="exact"/>
        <w:rPr>
          <w:sz w:val="20"/>
          <w:szCs w:val="20"/>
          <w:color w:val="auto"/>
        </w:rPr>
      </w:pPr>
    </w:p>
    <w:p>
      <w:pPr>
        <w:ind w:left="1080" w:right="60" w:hanging="424"/>
        <w:spacing w:after="0" w:line="301"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We generated $4.8 billion of net sales, $120 million of net income, $323 million of Adjusted EBITDA (a $23 million increase over 2018), $197 million of Adjusted Free Cash Flow, and return on invested capital, or ROIC Percentage, of 14.3%. See “Summary—Summary Historical Consolidated Financial and Other Data” for the definitions of Adjusted EBITDA and Adjusted Free Cash Flow and reconciliations of Adjusted EBITDA to net income and Adjusted Free Cash Flow to net cash provided by (used in) operating activities.</w:t>
      </w:r>
    </w:p>
    <w:p>
      <w:pPr>
        <w:spacing w:after="0" w:line="62"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estimate that we served 30 million customers and completed approximately 80 million transactions resulting in strong household penetration in our core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Our e-commerce sales represented 5% of our sales, with sales growth of $17.8 million, or 7.8%, over 2018.</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rolled out BOPIS to all locations, which accounted for approximately 24% of our e-commerce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opened eight new stores and renovated 11 stores.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Compensation Objectives and Philosophy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goal of our executive officer compensation program is to create long-term value for our equityholders,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equityholders. The following are the core elements of our executive officer compensation philosophy:</w:t>
      </w:r>
    </w:p>
    <w:p>
      <w:pPr>
        <w:spacing w:after="0" w:line="63" w:lineRule="exact"/>
        <w:rPr>
          <w:sz w:val="20"/>
          <w:szCs w:val="20"/>
          <w:color w:val="auto"/>
        </w:rPr>
      </w:pPr>
    </w:p>
    <w:p>
      <w:pPr>
        <w:ind w:left="1080" w:right="260" w:hanging="424"/>
        <w:spacing w:after="0" w:line="31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Market Competitive</w:t>
      </w:r>
      <w:r>
        <w:rPr>
          <w:rFonts w:ascii="Arial" w:cs="Arial" w:eastAsia="Arial" w:hAnsi="Arial"/>
          <w:sz w:val="16"/>
          <w:szCs w:val="16"/>
          <w:color w:val="auto"/>
        </w:rPr>
        <w:t>: Compensation levels and programs for executive officers, including our Named Executive Officers,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relative to the marketplace in which we operate. It is important for us to leverage an understanding of what constitutes competitive pay in our market and build unique strategies to attract the high caliber talent we require to manage and grow the Company.</w:t>
      </w:r>
    </w:p>
    <w:p>
      <w:pPr>
        <w:spacing w:after="0" w:line="54" w:lineRule="exact"/>
        <w:rPr>
          <w:rFonts w:ascii="Arial" w:cs="Arial" w:eastAsia="Arial" w:hAnsi="Arial"/>
          <w:sz w:val="16"/>
          <w:szCs w:val="16"/>
          <w:color w:val="auto"/>
        </w:rPr>
      </w:pPr>
    </w:p>
    <w:p>
      <w:pPr>
        <w:ind w:left="1080" w:right="40" w:hanging="424"/>
        <w:spacing w:after="0" w:line="275" w:lineRule="auto"/>
        <w:tabs>
          <w:tab w:leader="none" w:pos="1080"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Performance-Based</w:t>
      </w:r>
      <w:r>
        <w:rPr>
          <w:rFonts w:ascii="Arial" w:cs="Arial" w:eastAsia="Arial" w:hAnsi="Arial"/>
          <w:sz w:val="17"/>
          <w:szCs w:val="17"/>
          <w:color w:val="auto"/>
        </w:rPr>
        <w:t>: We believe in a pay-for-performance compensation philosophy which targets our team members to be paid at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based on their role and responsibilities. Most of our executive officer compensation should be performance-based pay that is “at risk,” based on short-term and long-term goals, which reward both organizational and individual performance. The performance targets under both our annual bonus program and our performance-based equity awards were designed to drive significant growth of our business yet still be achievable, and to focus on long-term value creation.</w:t>
      </w:r>
    </w:p>
    <w:p>
      <w:pPr>
        <w:spacing w:after="0" w:line="81"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Equityholder Aligned</w:t>
      </w:r>
      <w:r>
        <w:rPr>
          <w:rFonts w:ascii="Arial" w:cs="Arial" w:eastAsia="Arial" w:hAnsi="Arial"/>
          <w:sz w:val="18"/>
          <w:szCs w:val="18"/>
          <w:color w:val="auto"/>
        </w:rPr>
        <w:t>: Incentives should be structured to create a strong alignment between executive officers and equityholders on both a</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and a long-term basis.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charts below illustrate that the majority of each Named Executive Officer’s annual total target compensation for 2019 (i.e., base salary, annual target bonus and annual target equity grant) is performance-based and “at risk” based on the Company’s performance:</w:t>
      </w:r>
    </w:p>
    <w:p>
      <w:pPr>
        <w:spacing w:after="0" w:line="193" w:lineRule="exact"/>
        <w:rPr>
          <w:sz w:val="20"/>
          <w:szCs w:val="20"/>
          <w:color w:val="auto"/>
        </w:rPr>
      </w:pPr>
    </w:p>
    <w:p>
      <w:pPr>
        <w:ind w:left="1900"/>
        <w:spacing w:after="0"/>
        <w:tabs>
          <w:tab w:leader="none" w:pos="6580" w:val="left"/>
        </w:tabs>
        <w:rPr>
          <w:sz w:val="20"/>
          <w:szCs w:val="20"/>
          <w:color w:val="auto"/>
        </w:rPr>
      </w:pPr>
      <w:r>
        <w:rPr>
          <w:rFonts w:ascii="Arial" w:cs="Arial" w:eastAsia="Arial" w:hAnsi="Arial"/>
          <w:sz w:val="18"/>
          <w:szCs w:val="18"/>
          <w:b w:val="1"/>
          <w:bCs w:val="1"/>
          <w:color w:val="auto"/>
        </w:rPr>
        <w:t>Compensation Mix - CEO</w:t>
      </w:r>
      <w:r>
        <w:rPr>
          <w:sz w:val="20"/>
          <w:szCs w:val="20"/>
          <w:color w:val="auto"/>
        </w:rPr>
        <w:tab/>
      </w:r>
      <w:r>
        <w:rPr>
          <w:rFonts w:ascii="Arial" w:cs="Arial" w:eastAsia="Arial" w:hAnsi="Arial"/>
          <w:sz w:val="16"/>
          <w:szCs w:val="16"/>
          <w:b w:val="1"/>
          <w:bCs w:val="1"/>
          <w:color w:val="auto"/>
        </w:rPr>
        <w:t>Compensation Mix - 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1928495" cy="13201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28495" cy="132016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154305</wp:posOffset>
            </wp:positionV>
            <wp:extent cx="1885950" cy="13284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8595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of Executive Officer Compensation Program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7"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The Compensation Committee, or the Compensation Committee, of our Board of Directors, or the Board, which is comprised solely of non-employee directors, is responsible for establishing, implementing, and evaluating our executive officer compensation and benefit programs.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Compensation Committee discharges the responsibilities of our Board relating to the compensation of our executive officers, including the Named Executive Officers, according to its charter. The Compensation Committee annually evaluates the performance of our Chief Executive Officer and our other executive officers, establishes the base salaries, cash bonus awards, long-term incentive compensation opportunities, and perquisites for our Chief Executive Officer and our other executive officers, and approves (or recommends for approval by the Board) all equity awards. The Compensation Committee’s objective is to ensure that the total compensation paid to our Named Executive Officers as well as our other executive officers is fair, reasonable, and market competitive while incentivizing the creation of long-term value for our equityholders. Generally, the types of compensation and benefits provided to our Named Executive Officers are similar to those provided to other executive officers.</w:t>
      </w:r>
    </w:p>
    <w:p>
      <w:pPr>
        <w:spacing w:after="0" w:line="16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Chief Executive Officer and other executive officers, determining and overseeing the process of evaluating our Chief Executive Officer’s performance, and overseeing the preparation of, reviewing, and approving this Compensation Discussion and Analysis.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Compensation Committee reviews the base salary levels, annual cash bonus opportunities, long-term incentive compensation opportunities, and perquisites of our executive officers, including the Named Executive Officers, each fiscal year, or more frequently as warranted. Each fiscal year, the Compensation Committee reviews our financial and operational performance and the corresponding projected payments under our annual bonus plan and the equity awards previously granted to our executive officers.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When selecting and setting the amount of each compensation element, the Compensation Committee generally considers the following factors:</w:t>
      </w:r>
    </w:p>
    <w:p>
      <w:pPr>
        <w:spacing w:after="0" w:line="142" w:lineRule="exact"/>
        <w:rPr>
          <w:sz w:val="20"/>
          <w:szCs w:val="20"/>
          <w:color w:val="auto"/>
        </w:rPr>
      </w:pPr>
    </w:p>
    <w:p>
      <w:pPr>
        <w:ind w:left="540" w:hanging="316"/>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performance against the financial and operational objectives established by the Compensation Committee;</w:t>
      </w:r>
    </w:p>
    <w:p>
      <w:pPr>
        <w:spacing w:after="0" w:line="130"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individual executive officer’s skills, experience, and qualifications relative to other similarly-situated executive officers at the companies in our compensation peer group;</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scope of each executive officer’s role compared to other similarly-situated executive officers at the companies in our compensation peer group;</w:t>
      </w:r>
    </w:p>
    <w:p>
      <w:pPr>
        <w:spacing w:after="0" w:line="153" w:lineRule="exact"/>
        <w:rPr>
          <w:rFonts w:ascii="Arial" w:cs="Arial" w:eastAsia="Arial" w:hAnsi="Arial"/>
          <w:sz w:val="16"/>
          <w:szCs w:val="16"/>
          <w:color w:val="auto"/>
        </w:rPr>
      </w:pPr>
    </w:p>
    <w:p>
      <w:pPr>
        <w:ind w:left="540" w:right="440" w:hanging="316"/>
        <w:spacing w:after="0" w:line="277"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performance of each individual executive officer, based on a subjective assessment of his or her contributions to our overall performance, ability to lead his or her business unit or function, and work as part of a team, all in furtherance of our core values;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compensation equality among our executive officers, including the Named Executive Officers (other than our Chief Executive Officer);</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performance relative to our compensation peer group; and</w:t>
      </w:r>
    </w:p>
    <w:p>
      <w:pPr>
        <w:spacing w:after="0" w:line="13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how each executive officer’s target compensation compares to a ranking of similar positions in our compensation peer group.</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Historically, the Compensation Committee has recommended equity awards for each Named Executive Officer, and such awards are then granted by the Board (or its Executive Committee). Following the IPO, all equity awards are granted by the full Board or the Compensation Committee. In determining the amount of long-term incentive compensation for our executive officers as part of its annual compensation review, the Compensation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Our Compensation Committee retains significant authority to adjust compensation levels of our executive officers based on these and other factors that it may deem appropriate to achieve our overall compensation goals.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Executive Management Team for Compensation</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discharging its responsibilities, the Compensation Committee works with members of our executive management team for compensation (i.e., our Chief Executive Officer, Chief Human Resources Officer, and Vice President of Compensation and Benefits). The executive management team for compensation (with input from Meridian Compensation Partners, or Meridian, the Company’s independent compensation consultant) assists the Compensation Committee by providing information on our performance and the individual performance of our executive officers, as well as market and industry data, and executive management’s perspective and recommendations on compensation matters. The Compensation Committee solicits and reviews our executive management team for compensation’s recommendations and proposals with respect to adjustments to base salaries, annual cash bonus opportunities, long-term incentive compensation opportunities, perquisites, program structures, and other compensation-related matters for our executive officers. The Compensation Committee reviews and discusses these recommendations and proposals with some or all of the members of our executive management team for compensation and uses them as one factor in determining and approving the compensation for our executive officers. In addition, the level of attainment of each individual executive officer’s performance pursuant to the Company’s Executive Team Bonus Plan (described in “—Executive Team Bonus Plan”) is recommended by our Chief Executive Officer (other than his own, which is determined by the Compensation Committee) to the Compensation Committee for its final approval. Each executive officer on the executive management team for compensation recuses himself from all Compensation Committee deliberations regarding his own compensation.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Company has retained Meridian, a national compensation executive compensation consulting firm, to serve as an independent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Pursuant to its charter, the Compensation Committee has the authority to retain the services of external advisors, including compensation consultants, legal counsel, and other advisors, to assist in the performance of its responsibilities. Historically, the Compensation Committee has not retained its own compensation consultant but we anticipate that the Compensation Committee will engage its own independent compensation consultant following the IPO.</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2019, Meridian provided the following services to the Company:</w:t>
      </w:r>
    </w:p>
    <w:p>
      <w:pPr>
        <w:spacing w:after="0" w:line="131"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Developed a compensation benchmarking peer group and approach that is used to develop competitive market data references.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Provided competitive market data based on the compensation peer group for our executive officers.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the base salary levels, annual cash bonus opportunities, long-term incentive compensation opportunities, and perquisites of our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Provided an assessment of executive compensation trends within our industry.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jc w:val="both"/>
        <w:ind w:left="120" w:right="180" w:firstLine="440"/>
        <w:spacing w:after="0" w:line="257" w:lineRule="auto"/>
        <w:rPr>
          <w:sz w:val="20"/>
          <w:szCs w:val="20"/>
          <w:color w:val="auto"/>
        </w:rPr>
      </w:pPr>
      <w:r>
        <w:rPr>
          <w:rFonts w:ascii="Arial" w:cs="Arial" w:eastAsia="Arial" w:hAnsi="Arial"/>
          <w:sz w:val="18"/>
          <w:szCs w:val="18"/>
          <w:color w:val="auto"/>
        </w:rPr>
        <w:t>For purposes of comparing our executive compensation against the competitive market, the Compensation Committee reviews and considers the compensation levels and practices of a group of comparable retail companies. In December 2018, the Compensation Committee, with the input of data and analysis from Meridian and the executive management team for compensation (i.e., our Chief Executive Officer, Chief Human Resources Officer and Vice President of Compensation and Benefits), developed and approved the following compensation peer group for purposes of understanding the competitive market:</w:t>
      </w:r>
    </w:p>
    <w:p>
      <w:pPr>
        <w:sectPr>
          <w:pgSz w:w="11900" w:h="16838" w:orient="portrait"/>
          <w:cols w:equalWidth="0" w:num="1">
            <w:col w:w="11140"/>
          </w:cols>
          <w:pgMar w:left="320" w:top="459" w:right="439" w:bottom="1440" w:gutter="0" w:footer="0" w:header="0"/>
        </w:sectPr>
      </w:pPr>
    </w:p>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Advance Auto Parts,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Ascena Retail Group, Inc.</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AutoZone,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Burlington Stores,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Caleres,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Carter’s,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Dick’s Sporting Goods, Inc.</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DSW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Foot Locker, Inc.</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GameStop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Genesco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GNC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Tailored Brands,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Michaels Companies,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Urban Outfitters,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Williams-Sonoma, Inc.</w:t>
      </w:r>
    </w:p>
    <w:p>
      <w:pPr>
        <w:spacing w:after="0" w:line="200" w:lineRule="exact"/>
        <w:rPr>
          <w:sz w:val="20"/>
          <w:szCs w:val="20"/>
          <w:color w:val="auto"/>
        </w:rPr>
      </w:pPr>
    </w:p>
    <w:p>
      <w:pPr>
        <w:sectPr>
          <w:pgSz w:w="11900" w:h="16838" w:orient="portrait"/>
          <w:cols w:equalWidth="0" w:num="2">
            <w:col w:w="5280" w:space="720"/>
            <w:col w:w="5140"/>
          </w:cols>
          <w:pgMar w:left="320" w:top="459" w:right="439" w:bottom="1440" w:gutter="0" w:footer="0" w:header="0"/>
          <w:type w:val="continuous"/>
        </w:sectPr>
      </w:pPr>
    </w:p>
    <w:p>
      <w:pPr>
        <w:spacing w:after="0" w:line="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companies in this compensation peer group were selected using the following criteria:</w:t>
      </w:r>
    </w:p>
    <w:p>
      <w:pPr>
        <w:spacing w:after="0" w:line="131" w:lineRule="exact"/>
        <w:rPr>
          <w:sz w:val="20"/>
          <w:szCs w:val="20"/>
          <w:color w:val="auto"/>
        </w:rPr>
      </w:pPr>
    </w:p>
    <w:p>
      <w:pPr>
        <w:ind w:left="540" w:hanging="316"/>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Similar revenue size – 0.4x to 2.5x our last four fiscal quarters’ revenue as of the third quarter of 2018;</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Companies primarily in the retail business;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Similar business model and/or product.</w:t>
      </w:r>
    </w:p>
    <w:p>
      <w:pPr>
        <w:spacing w:after="0" w:line="2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This compensation peer group was used by the Compensation Committee during 2019 as a reference for understanding the compensation practices of companies in our industry sector and compensation peer group.</w:t>
      </w:r>
    </w:p>
    <w:p>
      <w:pPr>
        <w:spacing w:after="0" w:line="170"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To analyze the compensation practices of the companies in our compensation peer group, Meridian gathered data for the peer group companies from public filings (primarily proxy statements). This market data was then used as a reference point for the Compensation Committee to assess our current compensation levels in the course of its deliberations on compensation forms and amounts.</w:t>
      </w:r>
    </w:p>
    <w:p>
      <w:pPr>
        <w:spacing w:after="0" w:line="16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Compensation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12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December 2019, the Compensation Committee, with the input of data and analysis from Meridian, approved the same compensation peer group for 2020 as described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entered into employment agreements with each of our Named Executive Officers and all of our other executive officers to help ensure the retention of those executive officers who are critical to the future success of the Company. For additional information regarding our employment agreements, see “—Employment Agreements with Named Executive Officers.”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Considerations in Setting 2019 Compensation</w:t>
      </w:r>
    </w:p>
    <w:p>
      <w:pPr>
        <w:spacing w:after="0" w:line="121"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Compensation Committee believes that to attract, retain, and motivate the Company’s executive officer talent, it is critical to review the compensation of each Named Executive Officer on an annual basis in relation to the Company’s compensation peer group using the appropriate job matches by position and performance.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type w:val="continuous"/>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Meridian performs executive officer compensation benchmarking analyses for the Company each year, and the Compensation Committee reviews the Company’s compensation peer group annually to ensure that there is an appropriate mix of retail companies for comparison purposes.</w:t>
      </w:r>
    </w:p>
    <w:p>
      <w:pPr>
        <w:spacing w:after="0" w:line="12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approving 2019 compensation for our Named Executive Officers, the Compensation Committee took into consideration the recommendation of the executive management team for compensation (i.e., our Chief Executive Officer, Chief Human Resources Officer and Vice President of Compensation and Benefits) relating to the total compensation package for our Named Executive Officers, which was determined based on guidance from Meridian regarding peer group data and position matching. Based on Company-wide operating results and the extent to which individual performance objectives were met in 2018, the Compensation Committee determined the total 2019 compensation opportunity for each of our Named Executive Officers. Our Compensation Committee believes that the total 2019 compensation opportunity for our Named Executive Officers was competitive while at the same time being responsible to our equityholders because a majority of the total 2019 compensation opportunity was allocated to variable “at risk” compensation, paid only upon achievement of both individual and Company performance objectives.</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setting executive officer compensation, the Compensation Committee generally strives to remain in the range of the 50th to 60th percentile of our compensation peer group for total annual target compensation which corresponds closely to our annual revenue placement within our peer group. For 2019: (i) total annual target compensation (i.e., base salary, annual target bonus and annual target equity grant) was between the 50th to the 60th percentile of our compensation peer group; (ii) base salary was between the 25th and 50th percentile of our compensation peer group; (iii) annual target bonuses were approximately around the 75th percentile of our compensation peer group; and (iv) the total target value of annual equity grants was between the 50th and 75th percentile of our compensation peer group.</w:t>
      </w:r>
    </w:p>
    <w:p>
      <w:pPr>
        <w:spacing w:after="0" w:line="178"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The following is a summary of key considerations that affected the development of 2019 compensation decisions for our Named Executive Officers, and which the Compensation Committee believes will continue to affect its compensation decisions in future fiscal years:</w:t>
      </w:r>
    </w:p>
    <w:p>
      <w:pPr>
        <w:spacing w:after="0" w:line="12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Use of Market Data</w:t>
      </w:r>
      <w:r>
        <w:rPr>
          <w:rFonts w:ascii="Arial" w:cs="Arial" w:eastAsia="Arial" w:hAnsi="Arial"/>
          <w:sz w:val="17"/>
          <w:szCs w:val="17"/>
          <w:color w:val="auto"/>
        </w:rPr>
        <w:t>. We establish target compensation levels that are consistent with market practice and internal equity considerations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responsibility and contribution) relative to base salaries, cash bonuses, and long-term equity compensation, as well as with the assessment of the appropriate pay mix for a particular position. In order to gauge the competitiveness of our compensation programs, we also review compensation practices and pay opportunities from our compensation peer group. We attempt to position ourselves to attract and retain qualified executive officers in the face of competitive pressures in relevant labor markets.</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Emphasis on Performance</w:t>
      </w:r>
      <w:r>
        <w:rPr>
          <w:rFonts w:ascii="Arial" w:cs="Arial" w:eastAsia="Arial" w:hAnsi="Arial"/>
          <w:sz w:val="16"/>
          <w:szCs w:val="16"/>
          <w:color w:val="auto"/>
        </w:rPr>
        <w:t>. Our compensation program provides increased pay opportunity correlated with superior performance over the long</w:t>
      </w:r>
      <w:r>
        <w:rPr>
          <w:rFonts w:ascii="Arial" w:cs="Arial" w:eastAsia="Arial" w:hAnsi="Arial"/>
          <w:sz w:val="16"/>
          <w:szCs w:val="16"/>
          <w:i w:val="1"/>
          <w:iCs w:val="1"/>
          <w:color w:val="auto"/>
        </w:rPr>
        <w:t xml:space="preserve"> </w:t>
      </w:r>
      <w:r>
        <w:rPr>
          <w:rFonts w:ascii="Arial" w:cs="Arial" w:eastAsia="Arial" w:hAnsi="Arial"/>
          <w:sz w:val="16"/>
          <w:szCs w:val="16"/>
          <w:color w:val="auto"/>
        </w:rPr>
        <w:t>term. When evaluating base salary, individual performance is the primary driver that determines each Named Executive Officer’s annual increase, if any. Historically, we have used both cash bonuses and performance vesting equity awards to reward Company and individual performance.</w:t>
      </w:r>
    </w:p>
    <w:p>
      <w:pPr>
        <w:spacing w:after="0" w:line="14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Importance of Company Results</w:t>
      </w:r>
      <w:r>
        <w:rPr>
          <w:rFonts w:ascii="Arial" w:cs="Arial" w:eastAsia="Arial" w:hAnsi="Arial"/>
          <w:sz w:val="17"/>
          <w:szCs w:val="17"/>
          <w:color w:val="auto"/>
        </w:rPr>
        <w:t>. In determining the amount of cash bonus for each Named Executive Officer, we may consider performance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our success in implementing our business strategies that yield long-term benefits, such as developing a more exciting and productive experience in our stores and increasing the productivity of all of our assets. The Compensation Committee believes it is important to hold our Named Executive Officers accountable for overall Company results. Under the Company’s Executive Team Bonus Plan as in effect during 2019, 90% of the payout was tied to Company performance metrics and the remaining 10% was tied to individual performance metrics. The same weighting of Company and individual performance metrics also applies to the Executive Team Bonus Plan in effect for 2020.</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Compensation Policies and Practices</w:t>
      </w:r>
    </w:p>
    <w:p>
      <w:pPr>
        <w:spacing w:after="0" w:line="121"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color w:val="auto"/>
        </w:rPr>
        <w:t>Either during 2019 or in connection with or following the IPO where noted, we either adopted or maintained the following executive officer compensation policies and practices, which include policies and practices that we have implemented to drive performance as well as policies and practices that either prohibit or minimize behaviors that we do not believe serve our equityholders’ long-term interests:</w:t>
      </w:r>
    </w:p>
    <w:p>
      <w:pPr>
        <w:spacing w:after="0" w:line="71"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Composition of Compensation Committee</w:t>
      </w:r>
      <w:r>
        <w:rPr>
          <w:rFonts w:ascii="Arial" w:cs="Arial" w:eastAsia="Arial" w:hAnsi="Arial"/>
          <w:sz w:val="18"/>
          <w:szCs w:val="18"/>
          <w:color w:val="auto"/>
        </w:rPr>
        <w:t>. The Compensation Committee is comprised solely of nonemployee directors.</w:t>
      </w:r>
    </w:p>
    <w:p>
      <w:pPr>
        <w:spacing w:after="0" w:line="130" w:lineRule="exact"/>
        <w:rPr>
          <w:rFonts w:ascii="Arial" w:cs="Arial" w:eastAsia="Arial" w:hAnsi="Arial"/>
          <w:sz w:val="18"/>
          <w:szCs w:val="18"/>
          <w:color w:val="auto"/>
        </w:rPr>
      </w:pPr>
    </w:p>
    <w:p>
      <w:pPr>
        <w:ind w:left="1080" w:right="560" w:hanging="424"/>
        <w:spacing w:after="0" w:line="34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i w:val="1"/>
          <w:iCs w:val="1"/>
          <w:color w:val="auto"/>
        </w:rPr>
        <w:t>Compensation Committee Advisor</w:t>
      </w:r>
      <w:r>
        <w:rPr>
          <w:rFonts w:ascii="Arial" w:cs="Arial" w:eastAsia="Arial" w:hAnsi="Arial"/>
          <w:sz w:val="16"/>
          <w:szCs w:val="16"/>
          <w:color w:val="auto"/>
        </w:rPr>
        <w:t>. We anticipate that the Compensation Committee will engage its own independent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following the IPO. The Company has historically retained Meridian as an advisor on executive pay related items.</w:t>
      </w:r>
    </w:p>
    <w:p>
      <w:pPr>
        <w:spacing w:after="0" w:line="29" w:lineRule="exact"/>
        <w:rPr>
          <w:rFonts w:ascii="Arial" w:cs="Arial" w:eastAsia="Arial" w:hAnsi="Arial"/>
          <w:sz w:val="16"/>
          <w:szCs w:val="16"/>
          <w:color w:val="auto"/>
        </w:rPr>
      </w:pPr>
    </w:p>
    <w:p>
      <w:pPr>
        <w:ind w:left="1080" w:hanging="424"/>
        <w:spacing w:after="0" w:line="254"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Annual Executive Officer Compensation Review</w:t>
      </w:r>
      <w:r>
        <w:rPr>
          <w:rFonts w:ascii="Arial" w:cs="Arial" w:eastAsia="Arial" w:hAnsi="Arial"/>
          <w:sz w:val="18"/>
          <w:szCs w:val="18"/>
          <w:color w:val="auto"/>
        </w:rPr>
        <w:t>. The Compensation Committee conducted an annual review and approval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strategy, including a review and determination of our compensation peer group used for comparative purposes. In determining the base salary, bonus, long-term incentives, and perquisites for each of our Named Executive Officers, the Compensation Committee meets in March of each fiscal year to review and approve each executive officer’s compensation as compared to the Company’s compensation peer group. The Compensation Committee considers the data provided by Meridian and the recommendations provided by the Company’s executive management team for compensation and, in that context, approves the compensation for each Named Executive Officer.</w:t>
      </w:r>
    </w:p>
    <w:p>
      <w:pPr>
        <w:spacing w:after="0" w:line="10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Executive Officer Compensation Practices</w:t>
      </w:r>
      <w:r>
        <w:rPr>
          <w:rFonts w:ascii="Arial" w:cs="Arial" w:eastAsia="Arial" w:hAnsi="Arial"/>
          <w:sz w:val="18"/>
          <w:szCs w:val="18"/>
          <w:color w:val="auto"/>
        </w:rPr>
        <w:t>. Our compensation philosophy and related corporate governance policies and practices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complemented by several specific compensation practices that are designed to align our executive officer compensation with long-term equityholder interests, including the following:</w:t>
      </w:r>
    </w:p>
    <w:p>
      <w:pPr>
        <w:spacing w:after="0" w:line="89" w:lineRule="exact"/>
        <w:rPr>
          <w:rFonts w:ascii="Arial" w:cs="Arial" w:eastAsia="Arial" w:hAnsi="Arial"/>
          <w:sz w:val="18"/>
          <w:szCs w:val="18"/>
          <w:color w:val="auto"/>
        </w:rPr>
      </w:pPr>
    </w:p>
    <w:p>
      <w:pPr>
        <w:ind w:left="1540" w:right="280" w:hanging="331"/>
        <w:spacing w:after="0" w:line="277"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Annual Performance Review</w:t>
      </w:r>
      <w:r>
        <w:rPr>
          <w:rFonts w:ascii="Arial" w:cs="Arial" w:eastAsia="Arial" w:hAnsi="Arial"/>
          <w:sz w:val="18"/>
          <w:szCs w:val="18"/>
          <w:color w:val="auto"/>
        </w:rPr>
        <w:t>. The Compensation Committee engages in an annual performance review of each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based on our corporate results and individual performance.</w:t>
      </w:r>
    </w:p>
    <w:p>
      <w:pPr>
        <w:spacing w:after="0" w:line="75" w:lineRule="exact"/>
        <w:rPr>
          <w:rFonts w:ascii="Arial" w:cs="Arial" w:eastAsia="Arial" w:hAnsi="Arial"/>
          <w:sz w:val="18"/>
          <w:szCs w:val="18"/>
          <w:color w:val="auto"/>
        </w:rPr>
      </w:pPr>
    </w:p>
    <w:p>
      <w:pPr>
        <w:ind w:left="1540" w:hanging="331"/>
        <w:spacing w:after="0" w:line="263"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Compensation At Risk</w:t>
      </w:r>
      <w:r>
        <w:rPr>
          <w:rFonts w:ascii="Arial" w:cs="Arial" w:eastAsia="Arial" w:hAnsi="Arial"/>
          <w:sz w:val="18"/>
          <w:szCs w:val="18"/>
          <w:color w:val="auto"/>
        </w:rPr>
        <w:t>. Our executive officer compensation program is designed so that a majority of compensation is “at risk”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performance, in the form of both short-term cash and long-term equity incentives to align the interests of our executive officers and equityholders.</w:t>
      </w:r>
    </w:p>
    <w:p>
      <w:pPr>
        <w:spacing w:after="0" w:line="89" w:lineRule="exact"/>
        <w:rPr>
          <w:rFonts w:ascii="Arial" w:cs="Arial" w:eastAsia="Arial" w:hAnsi="Arial"/>
          <w:sz w:val="18"/>
          <w:szCs w:val="18"/>
          <w:color w:val="auto"/>
        </w:rPr>
      </w:pPr>
    </w:p>
    <w:p>
      <w:pPr>
        <w:ind w:left="1540" w:right="460" w:hanging="331"/>
        <w:spacing w:after="0" w:line="263"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No Defined Benefit Pension or Nonqualified Deferred Compensation Plans</w:t>
      </w:r>
      <w:r>
        <w:rPr>
          <w:rFonts w:ascii="Arial" w:cs="Arial" w:eastAsia="Arial" w:hAnsi="Arial"/>
          <w:sz w:val="18"/>
          <w:szCs w:val="18"/>
          <w:color w:val="auto"/>
        </w:rPr>
        <w:t>. We do not currently offer, nor do we have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defined benefit pension arrangements or nonqualified deferred compensation plans or arrangements to our executive officers.</w:t>
      </w:r>
    </w:p>
    <w:p>
      <w:pPr>
        <w:spacing w:after="0" w:line="89" w:lineRule="exact"/>
        <w:rPr>
          <w:rFonts w:ascii="Arial" w:cs="Arial" w:eastAsia="Arial" w:hAnsi="Arial"/>
          <w:sz w:val="18"/>
          <w:szCs w:val="18"/>
          <w:color w:val="auto"/>
        </w:rPr>
      </w:pPr>
    </w:p>
    <w:p>
      <w:pPr>
        <w:ind w:left="1540" w:right="120" w:hanging="331"/>
        <w:spacing w:after="0" w:line="259"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Nominal Special Health or Welfare Benefits</w:t>
      </w:r>
      <w:r>
        <w:rPr>
          <w:rFonts w:ascii="Arial" w:cs="Arial" w:eastAsia="Arial" w:hAnsi="Arial"/>
          <w:sz w:val="18"/>
          <w:szCs w:val="18"/>
          <w:color w:val="auto"/>
        </w:rPr>
        <w:t>. Our executive officers participate in broad-based company-sponsored health and</w:t>
      </w:r>
      <w:r>
        <w:rPr>
          <w:rFonts w:ascii="Arial" w:cs="Arial" w:eastAsia="Arial" w:hAnsi="Arial"/>
          <w:sz w:val="18"/>
          <w:szCs w:val="18"/>
          <w:i w:val="1"/>
          <w:iCs w:val="1"/>
          <w:color w:val="auto"/>
        </w:rPr>
        <w:t xml:space="preserve"> </w:t>
      </w:r>
      <w:r>
        <w:rPr>
          <w:rFonts w:ascii="Arial" w:cs="Arial" w:eastAsia="Arial" w:hAnsi="Arial"/>
          <w:sz w:val="18"/>
          <w:szCs w:val="18"/>
          <w:color w:val="auto"/>
        </w:rPr>
        <w:t>welfare benefits programs on the same basis as our other full-time, salaried employees. However, in order to maintain continuity of leadership by encouraging physical well-being, the Compensation Committee has approved reimbursement for annual physicals for each of the Named Executive Officers in 2019.</w:t>
      </w:r>
    </w:p>
    <w:p>
      <w:pPr>
        <w:spacing w:after="0" w:line="92" w:lineRule="exact"/>
        <w:rPr>
          <w:rFonts w:ascii="Arial" w:cs="Arial" w:eastAsia="Arial" w:hAnsi="Arial"/>
          <w:sz w:val="18"/>
          <w:szCs w:val="18"/>
          <w:color w:val="auto"/>
        </w:rPr>
      </w:pPr>
    </w:p>
    <w:p>
      <w:pPr>
        <w:ind w:left="1540" w:right="400" w:hanging="331"/>
        <w:spacing w:after="0" w:line="277"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No Post-Employment Tax Reimbursements</w:t>
      </w:r>
      <w:r>
        <w:rPr>
          <w:rFonts w:ascii="Arial" w:cs="Arial" w:eastAsia="Arial" w:hAnsi="Arial"/>
          <w:sz w:val="18"/>
          <w:szCs w:val="18"/>
          <w:color w:val="auto"/>
        </w:rPr>
        <w:t>. We do not provide any tax reimbursement payments (including “gross-ups”) on any</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or change-in-control payments or benefits.</w:t>
      </w:r>
    </w:p>
    <w:p>
      <w:pPr>
        <w:spacing w:after="0" w:line="75" w:lineRule="exact"/>
        <w:rPr>
          <w:rFonts w:ascii="Arial" w:cs="Arial" w:eastAsia="Arial" w:hAnsi="Arial"/>
          <w:sz w:val="18"/>
          <w:szCs w:val="18"/>
          <w:color w:val="auto"/>
        </w:rPr>
      </w:pPr>
    </w:p>
    <w:p>
      <w:pPr>
        <w:ind w:left="1540" w:right="20" w:hanging="331"/>
        <w:spacing w:after="0" w:line="257" w:lineRule="auto"/>
        <w:tabs>
          <w:tab w:leader="none" w:pos="1540" w:val="left"/>
        </w:tabs>
        <w:numPr>
          <w:ilvl w:val="1"/>
          <w:numId w:val="81"/>
        </w:numPr>
        <w:rPr>
          <w:rFonts w:ascii="Arial" w:cs="Arial" w:eastAsia="Arial" w:hAnsi="Arial"/>
          <w:sz w:val="18"/>
          <w:szCs w:val="18"/>
          <w:color w:val="auto"/>
        </w:rPr>
      </w:pPr>
      <w:r>
        <w:rPr>
          <w:rFonts w:ascii="Arial" w:cs="Arial" w:eastAsia="Arial" w:hAnsi="Arial"/>
          <w:sz w:val="18"/>
          <w:szCs w:val="18"/>
          <w:i w:val="1"/>
          <w:iCs w:val="1"/>
          <w:color w:val="auto"/>
        </w:rPr>
        <w:t>No Options Granted with Exercise Price Below Fair Market Value, with Pre-Offering Fair Market Value determined based on Third-Party Valuations</w:t>
      </w:r>
      <w:r>
        <w:rPr>
          <w:rFonts w:ascii="Arial" w:cs="Arial" w:eastAsia="Arial" w:hAnsi="Arial"/>
          <w:sz w:val="18"/>
          <w:szCs w:val="18"/>
          <w:color w:val="auto"/>
        </w:rPr>
        <w:t>. All options have been granted with exercise prices equal to the fair market value of our Membership Units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grant. We believe that such equity awards provide an appropriate long-term incentive for our executive officers, since the options reward them only to the extent that the value of our Membership Units increases and equityholders realize value following their grant date. Prior to the IPO, the Board determined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60"/>
        <w:spacing w:after="0" w:line="263" w:lineRule="auto"/>
        <w:rPr>
          <w:sz w:val="20"/>
          <w:szCs w:val="20"/>
          <w:color w:val="auto"/>
        </w:rPr>
      </w:pPr>
      <w:r>
        <w:rPr>
          <w:rFonts w:ascii="Arial" w:cs="Arial" w:eastAsia="Arial" w:hAnsi="Arial"/>
          <w:sz w:val="18"/>
          <w:szCs w:val="18"/>
          <w:color w:val="auto"/>
        </w:rPr>
        <w:t>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89" w:lineRule="exact"/>
        <w:rPr>
          <w:sz w:val="20"/>
          <w:szCs w:val="20"/>
          <w:color w:val="auto"/>
        </w:rPr>
      </w:pPr>
    </w:p>
    <w:p>
      <w:pPr>
        <w:ind w:left="1540" w:right="180" w:hanging="331"/>
        <w:spacing w:after="0" w:line="259" w:lineRule="auto"/>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Multi-Year Time Vesting and Performance Vesting Requirements for Equity Awards</w:t>
      </w:r>
      <w:r>
        <w:rPr>
          <w:rFonts w:ascii="Arial" w:cs="Arial" w:eastAsia="Arial" w:hAnsi="Arial"/>
          <w:sz w:val="18"/>
          <w:szCs w:val="18"/>
          <w:color w:val="auto"/>
        </w:rPr>
        <w:t>. The options and restricted units granted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vest over multi-year periods, consistent with current market practice and our retention objectives. In addition, certain options granted to our executive officers are subject to performance-based vesting requirements, and restricted units are subject to a liquidity event vesting requirement.</w:t>
      </w:r>
    </w:p>
    <w:p>
      <w:pPr>
        <w:spacing w:after="0" w:line="92" w:lineRule="exact"/>
        <w:rPr>
          <w:rFonts w:ascii="Arial" w:cs="Arial" w:eastAsia="Arial" w:hAnsi="Arial"/>
          <w:sz w:val="18"/>
          <w:szCs w:val="18"/>
          <w:color w:val="auto"/>
        </w:rPr>
      </w:pPr>
    </w:p>
    <w:p>
      <w:pPr>
        <w:ind w:left="1540" w:right="620" w:hanging="331"/>
        <w:spacing w:after="0" w:line="277" w:lineRule="auto"/>
        <w:tabs>
          <w:tab w:leader="none" w:pos="154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Hedging and Pledging Prohibited</w:t>
      </w:r>
      <w:r>
        <w:rPr>
          <w:rFonts w:ascii="Arial" w:cs="Arial" w:eastAsia="Arial" w:hAnsi="Arial"/>
          <w:sz w:val="18"/>
          <w:szCs w:val="18"/>
          <w:color w:val="auto"/>
        </w:rPr>
        <w:t>. We prohibit our executive officers from hedging our securities, pledging our securities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for loans, or holding our securities in margin accounts.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2019 Compensation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key elements of our executive officer compensation program for our Named Executive Officers:</w:t>
      </w:r>
    </w:p>
    <w:p>
      <w:pPr>
        <w:sectPr>
          <w:pgSz w:w="11900" w:h="16838" w:orient="portrait"/>
          <w:cols w:equalWidth="0" w:num="1">
            <w:col w:w="11100"/>
          </w:cols>
          <w:pgMar w:left="320" w:top="459" w:right="479" w:bottom="1440" w:gutter="0" w:footer="0" w:header="0"/>
        </w:sect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Component</w:t>
            </w:r>
          </w:p>
        </w:tc>
        <w:tc>
          <w:tcPr>
            <w:tcW w:w="4620" w:type="dxa"/>
            <w:vAlign w:val="bottom"/>
          </w:tcPr>
          <w:p>
            <w:pPr>
              <w:ind w:left="2060"/>
              <w:spacing w:after="0"/>
              <w:rPr>
                <w:sz w:val="20"/>
                <w:szCs w:val="20"/>
                <w:color w:val="auto"/>
              </w:rPr>
            </w:pPr>
            <w:r>
              <w:rPr>
                <w:rFonts w:ascii="Arial" w:cs="Arial" w:eastAsia="Arial" w:hAnsi="Arial"/>
                <w:sz w:val="14"/>
                <w:szCs w:val="14"/>
                <w:b w:val="1"/>
                <w:bCs w:val="1"/>
                <w:color w:val="auto"/>
              </w:rPr>
              <w:t>Purpose</w:t>
            </w:r>
          </w:p>
        </w:tc>
      </w:tr>
      <w:tr>
        <w:trPr>
          <w:trHeight w:val="224"/>
        </w:trPr>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Base salary</w:t>
            </w:r>
          </w:p>
        </w:tc>
        <w:tc>
          <w:tcPr>
            <w:tcW w:w="220" w:type="dxa"/>
            <w:vAlign w:val="bottom"/>
          </w:tcPr>
          <w:p>
            <w:pPr>
              <w:spacing w:after="0"/>
              <w:rPr>
                <w:sz w:val="19"/>
                <w:szCs w:val="19"/>
                <w:color w:val="auto"/>
              </w:rPr>
            </w:pPr>
          </w:p>
        </w:tc>
        <w:tc>
          <w:tcPr>
            <w:tcW w:w="46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  Compensate for services rendered each year</w:t>
            </w:r>
          </w:p>
        </w:tc>
      </w:tr>
      <w:tr>
        <w:trPr>
          <w:trHeight w:val="403"/>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Annual cash</w:t>
            </w:r>
          </w:p>
        </w:tc>
        <w:tc>
          <w:tcPr>
            <w:tcW w:w="4620" w:type="dxa"/>
            <w:vAlign w:val="bottom"/>
          </w:tcPr>
          <w:p>
            <w:pPr>
              <w:ind w:left="100"/>
              <w:spacing w:after="0"/>
              <w:rPr>
                <w:sz w:val="20"/>
                <w:szCs w:val="20"/>
                <w:color w:val="auto"/>
              </w:rPr>
            </w:pPr>
            <w:r>
              <w:rPr>
                <w:rFonts w:ascii="Arial" w:cs="Arial" w:eastAsia="Arial" w:hAnsi="Arial"/>
                <w:sz w:val="18"/>
                <w:szCs w:val="18"/>
                <w:color w:val="auto"/>
              </w:rPr>
              <w:t>•  Encourage achievement of our corporate performance</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incentive bonus</w:t>
            </w:r>
          </w:p>
        </w:tc>
        <w:tc>
          <w:tcPr>
            <w:tcW w:w="4620" w:type="dxa"/>
            <w:vAlign w:val="bottom"/>
          </w:tcPr>
          <w:p>
            <w:pPr>
              <w:ind w:left="360"/>
              <w:spacing w:after="0"/>
              <w:rPr>
                <w:sz w:val="20"/>
                <w:szCs w:val="20"/>
                <w:color w:val="auto"/>
              </w:rPr>
            </w:pPr>
            <w:r>
              <w:rPr>
                <w:rFonts w:ascii="Arial" w:cs="Arial" w:eastAsia="Arial" w:hAnsi="Arial"/>
                <w:sz w:val="18"/>
                <w:szCs w:val="18"/>
                <w:color w:val="auto"/>
              </w:rPr>
              <w:t>objectives</w:t>
            </w: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  Reward those individuals who significantly impact our</w:t>
            </w:r>
          </w:p>
        </w:tc>
      </w:tr>
      <w:tr>
        <w:trPr>
          <w:trHeight w:val="230"/>
        </w:trPr>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corporate results</w:t>
            </w:r>
          </w:p>
        </w:tc>
      </w:tr>
      <w:tr>
        <w:trPr>
          <w:trHeight w:val="647"/>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Long-term equity</w:t>
            </w:r>
          </w:p>
        </w:tc>
        <w:tc>
          <w:tcPr>
            <w:tcW w:w="4620" w:type="dxa"/>
            <w:vAlign w:val="bottom"/>
          </w:tcPr>
          <w:p>
            <w:pPr>
              <w:ind w:left="100"/>
              <w:spacing w:after="0"/>
              <w:rPr>
                <w:sz w:val="20"/>
                <w:szCs w:val="20"/>
                <w:color w:val="auto"/>
              </w:rPr>
            </w:pPr>
            <w:r>
              <w:rPr>
                <w:rFonts w:ascii="Arial" w:cs="Arial" w:eastAsia="Arial" w:hAnsi="Arial"/>
                <w:sz w:val="18"/>
                <w:szCs w:val="18"/>
                <w:color w:val="auto"/>
              </w:rPr>
              <w:t>•  Align executive officer and equityholder interests by</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incentives</w:t>
            </w:r>
          </w:p>
        </w:tc>
        <w:tc>
          <w:tcPr>
            <w:tcW w:w="4620" w:type="dxa"/>
            <w:vAlign w:val="bottom"/>
          </w:tcPr>
          <w:p>
            <w:pPr>
              <w:ind w:left="360"/>
              <w:spacing w:after="0"/>
              <w:rPr>
                <w:sz w:val="20"/>
                <w:szCs w:val="20"/>
                <w:color w:val="auto"/>
              </w:rPr>
            </w:pPr>
            <w:r>
              <w:rPr>
                <w:rFonts w:ascii="Arial" w:cs="Arial" w:eastAsia="Arial" w:hAnsi="Arial"/>
                <w:sz w:val="18"/>
                <w:szCs w:val="18"/>
                <w:color w:val="auto"/>
                <w:w w:val="94"/>
              </w:rPr>
              <w:t>creating a link between executive compensation and our</w:t>
            </w:r>
          </w:p>
        </w:tc>
      </w:tr>
      <w:tr>
        <w:trPr>
          <w:trHeight w:val="230"/>
        </w:trPr>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long-term performance</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771"/>
        <w:spacing w:after="0"/>
        <w:rPr>
          <w:sz w:val="20"/>
          <w:szCs w:val="20"/>
          <w:color w:val="auto"/>
        </w:rPr>
      </w:pPr>
      <w:r>
        <w:rPr>
          <w:rFonts w:ascii="Arial" w:cs="Arial" w:eastAsia="Arial" w:hAnsi="Arial"/>
          <w:sz w:val="14"/>
          <w:szCs w:val="1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7260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 w:lineRule="exact"/>
        <w:rPr>
          <w:sz w:val="20"/>
          <w:szCs w:val="20"/>
          <w:color w:val="auto"/>
        </w:rPr>
      </w:pPr>
    </w:p>
    <w:p>
      <w:pPr>
        <w:ind w:left="271" w:right="260" w:hanging="271"/>
        <w:spacing w:after="0" w:line="257"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position, experience, job responsibilities, and performance</w:t>
      </w:r>
    </w:p>
    <w:p>
      <w:pPr>
        <w:ind w:left="251" w:hanging="251"/>
        <w:spacing w:after="0"/>
        <w:tabs>
          <w:tab w:leader="none" w:pos="2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Company performance (90% weighting)</w:t>
      </w:r>
    </w:p>
    <w:p>
      <w:pPr>
        <w:spacing w:after="0" w:line="9" w:lineRule="exact"/>
        <w:rPr>
          <w:rFonts w:ascii="Arial" w:cs="Arial" w:eastAsia="Arial" w:hAnsi="Arial"/>
          <w:sz w:val="18"/>
          <w:szCs w:val="18"/>
          <w:color w:val="auto"/>
        </w:rPr>
      </w:pPr>
    </w:p>
    <w:p>
      <w:pPr>
        <w:ind w:left="631" w:right="740" w:hanging="271"/>
        <w:spacing w:after="0" w:line="250" w:lineRule="auto"/>
        <w:tabs>
          <w:tab w:leader="none" w:pos="612"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Total Company EBITDA Dollars (40% weighting)</w:t>
      </w:r>
    </w:p>
    <w:p>
      <w:pPr>
        <w:ind w:left="611" w:hanging="251"/>
        <w:spacing w:after="0"/>
        <w:tabs>
          <w:tab w:leader="none" w:pos="611"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Total Company Sales (weighted 40%)</w:t>
      </w:r>
    </w:p>
    <w:p>
      <w:pPr>
        <w:spacing w:after="0" w:line="9" w:lineRule="exact"/>
        <w:rPr>
          <w:rFonts w:ascii="Arial" w:cs="Arial" w:eastAsia="Arial" w:hAnsi="Arial"/>
          <w:sz w:val="18"/>
          <w:szCs w:val="18"/>
          <w:color w:val="auto"/>
        </w:rPr>
      </w:pPr>
    </w:p>
    <w:p>
      <w:pPr>
        <w:ind w:left="611" w:hanging="251"/>
        <w:spacing w:after="0"/>
        <w:tabs>
          <w:tab w:leader="none" w:pos="611" w:val="left"/>
        </w:tabs>
        <w:numPr>
          <w:ilvl w:val="1"/>
          <w:numId w:val="83"/>
        </w:numPr>
        <w:rPr>
          <w:rFonts w:ascii="Arial" w:cs="Arial" w:eastAsia="Arial" w:hAnsi="Arial"/>
          <w:sz w:val="18"/>
          <w:szCs w:val="18"/>
          <w:color w:val="auto"/>
        </w:rPr>
      </w:pPr>
      <w:r>
        <w:rPr>
          <w:rFonts w:ascii="Arial" w:cs="Arial" w:eastAsia="Arial" w:hAnsi="Arial"/>
          <w:sz w:val="18"/>
          <w:szCs w:val="18"/>
          <w:color w:val="auto"/>
        </w:rPr>
        <w:t>ROIC Percentage (weighted 10%)</w:t>
      </w:r>
    </w:p>
    <w:p>
      <w:pPr>
        <w:spacing w:after="0" w:line="9" w:lineRule="exact"/>
        <w:rPr>
          <w:rFonts w:ascii="Arial" w:cs="Arial" w:eastAsia="Arial" w:hAnsi="Arial"/>
          <w:sz w:val="18"/>
          <w:szCs w:val="18"/>
          <w:color w:val="auto"/>
        </w:rPr>
      </w:pPr>
    </w:p>
    <w:p>
      <w:pPr>
        <w:ind w:left="251" w:hanging="251"/>
        <w:spacing w:after="0"/>
        <w:tabs>
          <w:tab w:leader="none" w:pos="2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Individual performance (10% weighting)</w:t>
      </w:r>
    </w:p>
    <w:p>
      <w:pPr>
        <w:spacing w:after="0" w:line="9" w:lineRule="exact"/>
        <w:rPr>
          <w:rFonts w:ascii="Arial" w:cs="Arial" w:eastAsia="Arial" w:hAnsi="Arial"/>
          <w:sz w:val="18"/>
          <w:szCs w:val="18"/>
          <w:color w:val="auto"/>
        </w:rPr>
      </w:pPr>
    </w:p>
    <w:p>
      <w:pPr>
        <w:ind w:left="251" w:hanging="251"/>
        <w:spacing w:after="0"/>
        <w:tabs>
          <w:tab w:leader="none" w:pos="2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Options</w:t>
      </w:r>
    </w:p>
    <w:p>
      <w:pPr>
        <w:spacing w:after="0" w:line="22" w:lineRule="exact"/>
        <w:rPr>
          <w:rFonts w:ascii="Arial" w:cs="Arial" w:eastAsia="Arial" w:hAnsi="Arial"/>
          <w:sz w:val="18"/>
          <w:szCs w:val="18"/>
          <w:color w:val="auto"/>
        </w:rPr>
      </w:pPr>
    </w:p>
    <w:p>
      <w:pPr>
        <w:ind w:left="251" w:hanging="251"/>
        <w:spacing w:after="0"/>
        <w:tabs>
          <w:tab w:leader="none" w:pos="2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Restricted Units</w:t>
      </w:r>
    </w:p>
    <w:p>
      <w:pPr>
        <w:spacing w:after="0" w:line="425" w:lineRule="exact"/>
        <w:rPr>
          <w:sz w:val="20"/>
          <w:szCs w:val="20"/>
          <w:color w:val="auto"/>
        </w:rPr>
      </w:pPr>
    </w:p>
    <w:p>
      <w:pPr>
        <w:sectPr>
          <w:pgSz w:w="11900" w:h="16838" w:orient="portrait"/>
          <w:cols w:equalWidth="0" w:num="2">
            <w:col w:w="6620" w:space="309"/>
            <w:col w:w="4171"/>
          </w:cols>
          <w:pgMar w:left="320" w:top="459" w:right="479" w:bottom="1440" w:gutter="0" w:footer="0" w:header="0"/>
          <w:type w:val="continuous"/>
        </w:sectPr>
      </w:pPr>
    </w:p>
    <w:p>
      <w:pPr>
        <w:spacing w:after="0" w:line="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addition to these key compensation elements, our Named Executive Officers are provided certain other compensation including perquisites and other benefits, as described in “—Other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pay our Named Executive Officers base salaries to compensate them for services rendered each year. Base salary is a regular cash payment, the amount of which is based on position, experience, job responsibilities, and performance after considering the following primary factors: internal review of the executive officer’s compensation, relative to both U.S. national market targets and other compensation peer group executive officers’ salaries, and the Compensation Committee’s assessment of the executive officer’s individual prior performance and internal pay equity. Salary levels are typically considered annually as part of our performance review process but can be adjusted in connection with a promotion or other change in job responsibility.</w:t>
      </w:r>
    </w:p>
    <w:p>
      <w:pPr>
        <w:spacing w:after="0" w:line="19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March 2019, in connection with its annual review of our executive officer compensation program, the Compensation Committee evaluated the base salaries of our executive officers, including the Named Executive Officers other than Mr. Lawrence (who commenced employment with us on February 11, 2019 and whose base salary was determined in connection with the negotiation of the employment agreement he entered into when 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joined our Company), taking into consideration the competitive market analysis prepared by Meridian, the recommendations of the executive management team for compensation (i.e., our Chief Executive Officer, Chief Human Resources Officer and Vice President of Compensation and Benefits), and the other factors described above in “Governance of Executive Compensation Program.” Following this review, the Compensation Committee determined to increase the base salaries of our executive officers, other than our Mr. Hicks and Mr. Lawrence, to better position their compensation against the competitive market. The Compensation Committee considered but did not make a base salary increase for Mr. Hicks because he declined an increase for 2019. All base salary increases were effective from the date approved by the Compensation Committee and did not apply retroactively from the beginning of the fiscal year.</w:t>
      </w:r>
    </w:p>
    <w:p>
      <w:pPr>
        <w:spacing w:after="0" w:line="195"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Effective on October 20, 2019, the Compensation Committee increased the base salary of Mr. Lawrence from $685,000 to $705,000 and of Mr. Johnson from $459,500 to $480,000, reflecting the increased responsibility assumed by Mr. Lawrence for all marketing operations and by Mr. Johnson for our customer care operations during 2019 and again without retroactive effect.</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table summarizes the base salaries of the Named Executive Officers for fiscal years 2018 and 2019, in each case at rate in effect on the last day of such fiscal year. The actual salary amounts earned by the Named Executive Officers for 2019 are reported in the Summary Compensation Table.</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Fiscal</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Fiscal</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2018 Base</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2019 Base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Salary ($)</w:t>
            </w: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5"/>
              </w:rPr>
              <w:t>Salary ($)</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Ken C. Hicks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1,100,000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1,100,000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Michael P. Mullican</w:t>
            </w:r>
          </w:p>
        </w:tc>
        <w:tc>
          <w:tcPr>
            <w:tcW w:w="820" w:type="dxa"/>
            <w:vAlign w:val="bottom"/>
          </w:tcPr>
          <w:p>
            <w:pPr>
              <w:jc w:val="right"/>
              <w:spacing w:after="0"/>
              <w:rPr>
                <w:sz w:val="20"/>
                <w:szCs w:val="20"/>
                <w:color w:val="auto"/>
              </w:rPr>
            </w:pPr>
            <w:r>
              <w:rPr>
                <w:rFonts w:ascii="Arial" w:cs="Arial" w:eastAsia="Arial" w:hAnsi="Arial"/>
                <w:sz w:val="18"/>
                <w:szCs w:val="18"/>
                <w:color w:val="auto"/>
              </w:rPr>
              <w:t>475,000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489,500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Arial" w:cs="Arial" w:eastAsia="Arial" w:hAnsi="Arial"/>
                <w:sz w:val="18"/>
                <w:szCs w:val="18"/>
                <w:color w:val="auto"/>
                <w:w w:val="91"/>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P. Lawrence</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Sam J. Johnson</w:t>
            </w:r>
          </w:p>
        </w:tc>
        <w:tc>
          <w:tcPr>
            <w:tcW w:w="820" w:type="dxa"/>
            <w:vAlign w:val="bottom"/>
          </w:tcPr>
          <w:p>
            <w:pPr>
              <w:jc w:val="right"/>
              <w:spacing w:after="0"/>
              <w:rPr>
                <w:sz w:val="20"/>
                <w:szCs w:val="20"/>
                <w:color w:val="auto"/>
              </w:rPr>
            </w:pPr>
            <w:r>
              <w:rPr>
                <w:rFonts w:ascii="Arial" w:cs="Arial" w:eastAsia="Arial" w:hAnsi="Arial"/>
                <w:sz w:val="18"/>
                <w:szCs w:val="18"/>
                <w:color w:val="auto"/>
              </w:rPr>
              <w:t>446,250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480,000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Arial" w:cs="Arial" w:eastAsia="Arial" w:hAnsi="Arial"/>
                <w:sz w:val="18"/>
                <w:szCs w:val="18"/>
                <w:color w:val="auto"/>
                <w:w w:val="91"/>
              </w:rPr>
              <w:t>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D. Attaway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91"/>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March 2020, in connection with its annual review of our executive officer compensation program, the Compensation Committee increased the base salary of each Named Executive Officer (except Mr. Hicks, who declined an increase), reflecting the Compensation Committee’s assessment of the executive’s individual contributions and performance during the 2019 . In order to bring the base salaries of the Named Executive Officers closer to the 50th percentile of our compensation peer group, the Compensation Committee increased the base salary of Mr. Mullican to $508,000, Mr. Lawrence to $730,000, Mr. Johnson to $498,500, and Mr. Attaway to $465,500.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Team Bonus Plan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seek to have a significant portion of the compensation of our executive officers, including the Named Executive Officers, tied to performance.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accomplish this objective, we provide our executive officers with the opportunity to earn cash bonuses to encourage the achievement of both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and individual performance objectives and to reward those individuals who significantly impact our corporate results.</w:t>
      </w:r>
    </w:p>
    <w:p>
      <w:pPr>
        <w:spacing w:after="0" w:line="21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March 2019, the Compensation Committee approved the Executive Team Bonus Plan, an incentive bonus plan which provided an opportunity for our executive officers, including the Named Executive Officers, to earn annual cash bonuses based on our ability to achieve both Company and individual performance objectives. The Compensation Committee approves the performance goals for each year’s Executive Team Bonus Plan and believes that the targets it set for 2019 were challenging to achieve and reasonable and fairly incentivized participants. By setting the targets described below, the Compensation Committee established what it believed were stretch goals that would incentivize and reward exceptional employee performance without any guarantee that we would meet or exceed any such metrics in the prevailing business environment. The level of attainment of Company performance targets, other than total Company Adjusted EBITDA dollars, or Total Company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EBITDA Dollars, and total Company sales, and of individual performance targets, other than his own, are recommended by Mr. Hicks to the Compensation Committee for its final approval.</w:t>
      </w:r>
    </w:p>
    <w:p>
      <w:pPr>
        <w:spacing w:after="0" w:line="17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following table sets forth the metrics, the weighting of each metric and the minimum, target, and maximum levels of achievement (in each case, expressed as a percentage of the target payout), as well as the percentage of target bonus payout to each of the Chief Executive Officer and all other Named Executive Officers at each level of achievement (expressed as a percentage of their target bonus opportunity) under the Executive Team Bonus Plan.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actual Adjusted EBITDA dollars result of 80% of the Total Company EBITDA Dollars target as set and approved by the Compensation Committee.</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Level of Achievement</w:t>
            </w: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 of Target Bonus Payout</w:t>
            </w: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7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Metrics</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Weighting</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Threshold</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Target</w:t>
            </w: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18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Maximum</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CEO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Others</w:t>
            </w:r>
          </w:p>
        </w:tc>
        <w:tc>
          <w:tcPr>
            <w:tcW w:w="0" w:type="dxa"/>
            <w:vAlign w:val="bottom"/>
          </w:tcPr>
          <w:p>
            <w:pPr>
              <w:spacing w:after="0"/>
              <w:rPr>
                <w:sz w:val="1"/>
                <w:szCs w:val="1"/>
                <w:color w:val="auto"/>
              </w:rPr>
            </w:pPr>
          </w:p>
        </w:tc>
      </w:tr>
      <w:tr>
        <w:trPr>
          <w:trHeight w:val="195"/>
        </w:trPr>
        <w:tc>
          <w:tcPr>
            <w:tcW w:w="23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Company Performance</w:t>
            </w:r>
          </w:p>
        </w:tc>
        <w:tc>
          <w:tcPr>
            <w:tcW w:w="5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Total Company</w:t>
            </w: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EBITDA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Dollars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1780" w:type="dxa"/>
            <w:vAlign w:val="bottom"/>
            <w:gridSpan w:val="3"/>
          </w:tcPr>
          <w:p>
            <w:pPr>
              <w:ind w:left="500"/>
              <w:spacing w:after="0" w:line="201" w:lineRule="exact"/>
              <w:rPr>
                <w:sz w:val="20"/>
                <w:szCs w:val="20"/>
                <w:color w:val="auto"/>
              </w:rPr>
            </w:pPr>
            <w:r>
              <w:rPr>
                <w:rFonts w:ascii="Arial" w:cs="Arial" w:eastAsia="Arial" w:hAnsi="Arial"/>
                <w:sz w:val="18"/>
                <w:szCs w:val="18"/>
                <w:color w:val="auto"/>
              </w:rPr>
              <w:t>Total Company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Sales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93%</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ROIC %</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Arial" w:cs="Arial" w:eastAsia="Arial" w:hAnsi="Arial"/>
                <w:sz w:val="18"/>
                <w:szCs w:val="18"/>
                <w:b w:val="1"/>
                <w:bCs w:val="1"/>
                <w:color w:val="auto"/>
              </w:rPr>
              <w:t>Individual</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80"/>
              <w:spacing w:after="0" w:line="198" w:lineRule="exact"/>
              <w:rPr>
                <w:sz w:val="20"/>
                <w:szCs w:val="20"/>
                <w:color w:val="auto"/>
              </w:rPr>
            </w:pPr>
            <w:r>
              <w:rPr>
                <w:rFonts w:ascii="Arial" w:cs="Arial" w:eastAsia="Arial" w:hAnsi="Arial"/>
                <w:sz w:val="18"/>
                <w:szCs w:val="18"/>
                <w:color w:val="auto"/>
                <w:w w:val="91"/>
              </w:rPr>
              <w:t>Does not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20"/>
                <w:szCs w:val="20"/>
                <w:color w:val="auto"/>
              </w:rPr>
            </w:pPr>
            <w:r>
              <w:rPr>
                <w:rFonts w:ascii="Arial" w:cs="Arial" w:eastAsia="Arial" w:hAnsi="Arial"/>
                <w:sz w:val="18"/>
                <w:szCs w:val="18"/>
                <w:b w:val="1"/>
                <w:bCs w:val="1"/>
                <w:color w:val="auto"/>
              </w:rPr>
              <w:t>Performance</w:t>
            </w: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Individual</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meet all</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Meets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Goals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expectations</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expectations</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Outstanding</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Company Performance Metrics</w:t>
      </w:r>
    </w:p>
    <w:p>
      <w:pPr>
        <w:spacing w:after="0" w:line="117"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Under the Executive Team Bonus Plan, there is a Company performance component that represents 90% of each Named Executive Officer’s annual bonus opportunity. The Company performance metrics and weighting of total target bonus under the Executive Team Bonus Plan for 2019 were as follows for the Named Executive Officers: (i) Total Company EBITDA Dollars weighted at 40%; (ii) total Company sales weighted at 40%; and</w:t>
      </w:r>
    </w:p>
    <w:p>
      <w:pPr>
        <w:spacing w:after="0" w:line="2" w:lineRule="exact"/>
        <w:rPr>
          <w:sz w:val="20"/>
          <w:szCs w:val="20"/>
          <w:color w:val="auto"/>
        </w:rPr>
      </w:pPr>
    </w:p>
    <w:p>
      <w:pPr>
        <w:ind w:left="120" w:right="40" w:hanging="4"/>
        <w:spacing w:after="0" w:line="260" w:lineRule="auto"/>
        <w:tabs>
          <w:tab w:leader="none" w:pos="4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ROIC Percentage weighted at 10%. The level of achievement of these targets is subject to the final determination and approval of the Compensation Committee.</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Compensation Committee chose Adjusted EBITDA, sales and ROIC Percentage as the three Company performance metrics under the Executive Team Bonus Plan for the following reasons: (i) Adjusted EBITDA reflects the profitability of the Company, (ii) sales represents the growth of the Company; and (iii) ROIC Percentage represents the Company’s return on its investments.</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Total Company sales are defined as the sales on our income statement. The Company’s ROIC Percentage is calculated as follows: (i) the numerator is defined as Adjusted EBITDA plus rent minus estimated taxes (24.5% tax rate assumption); and (ii) 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Individual Performance Metrics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Under the Executive Team Bonus Plan, there is an individual performance component that represents 10% of each Named Executive Officer’s annual bonus opportunity. The maximum payout under the individual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3" w:lineRule="auto"/>
        <w:rPr>
          <w:sz w:val="20"/>
          <w:szCs w:val="20"/>
          <w:color w:val="auto"/>
        </w:rPr>
      </w:pPr>
      <w:r>
        <w:rPr>
          <w:rFonts w:ascii="Arial" w:cs="Arial" w:eastAsia="Arial" w:hAnsi="Arial"/>
          <w:sz w:val="16"/>
          <w:szCs w:val="16"/>
          <w:color w:val="auto"/>
        </w:rPr>
        <w:t>performance component is three times (or 30% of his target bonus) for Mr. Hicks and two times (or 20% of his target bonus) for the other Named Executive Officers, with a minimum possible payout of zero if there is a failure to achieve the individual performance metrics and a threshold payout at 50% of the individual performance metric target bonus if it is determined that there was a reasonable, but not full, level of achievement of the applicable metrics. The level of achievement of each Named Executive Officer’s individual goals is determined holistically by Mr. Hicks and then recommended by him to the Compensation Committee for final approval (the Compensation Committee determines the level of achievement for Mr. Hicks without his input) ). The individual performance metrics (none of which are individually weighted) for each of our Named Executive Officers for 2019 were as follows: (i) for Mr. Hicks, blended attainment of the performance goals applicable to the whole executive officer team; (ii) for Mr. Mullican, increasing the productivity of our assets, improving our liquidity and balance sheet metrics, creating flexibility to re-finance our long-term debt, building an industry leading finance organization, and rigorously managing our expenses; (iii) for Mr. Lawrence, driving a power merchandiser strategy, developing a more exciting and productive shopping experience in our stores, creating a meaningful online business, and building an industry leading retail team;</w:t>
      </w:r>
    </w:p>
    <w:p>
      <w:pPr>
        <w:spacing w:after="0" w:line="5" w:lineRule="exact"/>
        <w:rPr>
          <w:sz w:val="20"/>
          <w:szCs w:val="20"/>
          <w:color w:val="auto"/>
        </w:rPr>
      </w:pPr>
    </w:p>
    <w:p>
      <w:pPr>
        <w:ind w:left="120" w:right="120" w:hanging="4"/>
        <w:spacing w:after="0" w:line="273" w:lineRule="auto"/>
        <w:tabs>
          <w:tab w:leader="none" w:pos="425" w:val="left"/>
        </w:tabs>
        <w:numPr>
          <w:ilvl w:val="0"/>
          <w:numId w:val="85"/>
        </w:numPr>
        <w:rPr>
          <w:rFonts w:ascii="Arial" w:cs="Arial" w:eastAsia="Arial" w:hAnsi="Arial"/>
          <w:sz w:val="17"/>
          <w:szCs w:val="17"/>
          <w:color w:val="auto"/>
        </w:rPr>
      </w:pPr>
      <w:r>
        <w:rPr>
          <w:rFonts w:ascii="Arial" w:cs="Arial" w:eastAsia="Arial" w:hAnsi="Arial"/>
          <w:sz w:val="17"/>
          <w:szCs w:val="17"/>
          <w:color w:val="auto"/>
        </w:rPr>
        <w:t>for Mr. Johnson, driving a power merchandiser strategy, developing a more exiting and productive shopping experience in our stores, building an industry leading retail team, and increasing the productivity of all of our assets; and (v) for Mr. Attaway, increasing the productivity of all our assets, driving a power merchandiser strategy, developing a more exciting and productive shopping experience in our stores, delivering top priority projects by ensuring prioritization of resources and adherence to schedule, and reducing total company shrink to deliver budget.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Achievement of Performance Goals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Bonus amounts are payable in a lump sum cash amount, and the payment with respect to any bonus amount under the Executive Team Bonus Plan is subject to a participant’s continued employment through the payment date, which is typically in April following the end of the applicable fiscal year. Actual annual cash incentive awards were calculated by multiplying each Named Executive Officer’s weighted average base salary for 2019 by his target bonus opportunity, which was then adjusted by an overall achievement factor based on the combined weighted achievement of the Company and individual performance metrics.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2019 Company performance metric results: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Level of Achievement</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Achievement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4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Metrics</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2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Achievement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 of</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209"/>
        </w:trPr>
        <w:tc>
          <w:tcPr>
            <w:tcW w:w="1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Company</w:t>
            </w:r>
          </w:p>
        </w:tc>
        <w:tc>
          <w:tcPr>
            <w:tcW w:w="180" w:type="dxa"/>
            <w:vAlign w:val="bottom"/>
            <w:tcBorders>
              <w:top w:val="single" w:sz="8" w:color="CCEEFF"/>
            </w:tcBorders>
            <w:shd w:val="clear" w:color="auto" w:fill="CCEEFF"/>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Company EBITDA Dollars</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$317.3 million</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$323.2 million</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101.9%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b w:val="1"/>
                <w:bCs w:val="1"/>
                <w:color w:val="auto"/>
              </w:rPr>
              <w:t>Performance</w:t>
            </w:r>
          </w:p>
        </w:tc>
        <w:tc>
          <w:tcPr>
            <w:tcW w:w="6020" w:type="dxa"/>
            <w:vAlign w:val="bottom"/>
            <w:gridSpan w:val="3"/>
          </w:tcPr>
          <w:p>
            <w:pPr>
              <w:ind w:left="180"/>
              <w:spacing w:after="0"/>
              <w:rPr>
                <w:sz w:val="20"/>
                <w:szCs w:val="20"/>
                <w:color w:val="auto"/>
              </w:rPr>
            </w:pPr>
            <w:r>
              <w:rPr>
                <w:rFonts w:ascii="Arial" w:cs="Arial" w:eastAsia="Arial" w:hAnsi="Arial"/>
                <w:sz w:val="18"/>
                <w:szCs w:val="18"/>
                <w:color w:val="auto"/>
              </w:rPr>
              <w:t>Total Company Sales</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$4.94 billion</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$4.83 billion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97.9%</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6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ROIC %</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13.7%</w:t>
            </w:r>
          </w:p>
        </w:tc>
        <w:tc>
          <w:tcPr>
            <w:tcW w:w="1460" w:type="dxa"/>
            <w:vAlign w:val="bottom"/>
            <w:gridSpan w:val="2"/>
            <w:shd w:val="clear" w:color="auto" w:fill="CCEEFF"/>
          </w:tcPr>
          <w:p>
            <w:pPr>
              <w:jc w:val="center"/>
              <w:ind w:left="239"/>
              <w:spacing w:after="0"/>
              <w:rPr>
                <w:sz w:val="20"/>
                <w:szCs w:val="20"/>
                <w:color w:val="auto"/>
              </w:rPr>
            </w:pPr>
            <w:r>
              <w:rPr>
                <w:rFonts w:ascii="Arial" w:cs="Arial" w:eastAsia="Arial" w:hAnsi="Arial"/>
                <w:sz w:val="18"/>
                <w:szCs w:val="18"/>
                <w:color w:val="auto"/>
                <w:w w:val="90"/>
              </w:rPr>
              <w:t>14.0%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It was determined that each Named Executive Officers achieved his applicable individual performance goals at the targeted level of performance for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summarizes the fiscal 2019 bonus earned by each Named Executive Officer under the Executive Team Bonus Plan based on actual performance, as compared to the target opportunity, for each of our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 of Salary</w:t>
            </w: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 of Salary</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Earned (%) for</w:t>
            </w:r>
          </w:p>
        </w:tc>
        <w:tc>
          <w:tcPr>
            <w:tcW w:w="13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Achievement of</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Earned (%) for</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Combined</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Achievement of</w:t>
            </w: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Overall</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2019 Base</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8"/>
              </w:rPr>
              <w:t>Target Bonus</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8"/>
              </w:rPr>
              <w:t>Target Bonus</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Company</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Individual</w:t>
            </w:r>
          </w:p>
        </w:tc>
        <w:tc>
          <w:tcPr>
            <w:tcW w:w="11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Actual Bonus</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8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Achievement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11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94"/>
              </w:rPr>
              <w:t xml:space="preserve">Salary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w:t>
            </w:r>
          </w:p>
        </w:tc>
        <w:tc>
          <w:tcPr>
            <w:tcW w:w="82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1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Goals</w:t>
            </w: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Goals</w:t>
            </w:r>
          </w:p>
        </w:tc>
        <w:tc>
          <w:tcPr>
            <w:tcW w:w="11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Factor (%)</w:t>
            </w:r>
          </w:p>
        </w:tc>
        <w:tc>
          <w:tcPr>
            <w:tcW w:w="9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 xml:space="preserve">Achieved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Ken C. Hicks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1,100,000</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1,650,000</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154.9</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169.9</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1,868,667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Michael P. Mullican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487,822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487,822</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505,353</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P. Lawrence(2)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690,730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828,876</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858,663</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Sam J. Johnson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463,840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463,840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480,509</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D. Attaway</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446,495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446,495</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93.6</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462,541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54"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Bonus payments under the Executive Team Bonus Plan were calculated by multiplying each Named Executive Officer’s weighted average base salary for 2019 (assuming for this purpose the number of days determined by subtracting the last day of the fiscal year from the first day) by his target bonus opportunity, which was then adjusted by an overall achievement factor based on the combined weighted achievement of the Company and individual performance metrics.</w:t>
      </w:r>
    </w:p>
    <w:p>
      <w:pPr>
        <w:spacing w:after="0" w:line="2" w:lineRule="exact"/>
        <w:rPr>
          <w:rFonts w:ascii="Arial" w:cs="Arial" w:eastAsia="Arial" w:hAnsi="Arial"/>
          <w:sz w:val="18"/>
          <w:szCs w:val="18"/>
          <w:color w:val="auto"/>
        </w:rPr>
      </w:pPr>
    </w:p>
    <w:p>
      <w:pPr>
        <w:ind w:left="540" w:right="180" w:hanging="424"/>
        <w:spacing w:after="0" w:line="270"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Under the terms of the Executive Team Bonus Plan, annual bonuses are only prorated for participants who commence employment on or after February 15 of the applicable fiscal year. Because Mr. Lawrence commenced employment with us on February 11, 2019, his bonus payment was not prorated based on the number of days he worked in 2019. Mr. Lawrence’s target bonus amount under the Executive Team Bonus Plan was agreed upon as the result of negotiations in connection with the commencement of his employment in order to incentivize him to join our Company. The target bonus amounts of each other Named Executive Officer are the same as those in effect for 2018 and none of our Named Executive Officers received an increase to their target bonus amount for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Sign-on Bonus Payment</w:t>
      </w:r>
    </w:p>
    <w:p>
      <w:pPr>
        <w:spacing w:after="0" w:line="12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Pursuant to Mr. Lawrence’s employment agreement, dated January 29, 2019, he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his employment agreement), in either case, before he had completed twelve months of employment (i.e., before February 11, 2020), he would have been required to repay to the Company a pro-rated portion of the sign-on bonus, calculated based on the number of whole months remaining in such 12 month period from the termination date. Mr. Lawrence’s employment agreement was negotiated at arm’s-length, and the sign-on bonus was designed to make him whole for compensation to which he may have been entitled from his prior employer, and to provide him with market-competitive compensation and benefits.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Equity Incentive Compensation</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Named Executive Officers are provided long-term equity incentive compensation in the form of annual equity awards. The use of long-term equity incentives creates a link between executive compensation and our long-term performance and growth, thereby creating alignment between executive officer and equityholder interests.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Compensation Committee believes that long-term incentive compensation is an effective means for incentivizing our executive officers, including the Named Executive Officers, to increase equity value over a multi-year period, provides a meaningful reward for appreciation in the value of our equity and long-term value creation, and motivates them to remain employed with us. Our equity award grant practices are designed to reflect a balance between:</w:t>
      </w:r>
    </w:p>
    <w:p>
      <w:pPr>
        <w:spacing w:after="0" w:line="92" w:lineRule="exact"/>
        <w:rPr>
          <w:sz w:val="20"/>
          <w:szCs w:val="20"/>
          <w:color w:val="auto"/>
        </w:rPr>
      </w:pPr>
    </w:p>
    <w:p>
      <w:pPr>
        <w:ind w:left="540" w:hanging="316"/>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desire to motivate, retain, and reward executive talent;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need to remain competitive in recruiting;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effectively managing the dilution of equityholders’ interests.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2011 Equity Plan became effective on August 30, 2011 and has been subsequently amended on multiple occasions to increase the number of Membership Units available for issuance thereunder, most recently on August 26, 2020. Under the 2011 Equity Plan, we granted each Named Executive Officer options to purchase Membership Units of the Company, or Options, and phantom units that may be settled in Membership Units of the Company, or Restricted Units. Following the effectiveness of our 2020 Equity Plan, no further awards will be granted under the 2011 Equity Plan. However, all outstanding awards granted under the 2011 Equity Plan will continue to be governed by the existing terms of the 2011 Equity Plan and the applicable award agreements. We have filed a registration statement on Form S-8 under the Securities Act to register shares of our common stock or securities convertible into or exchangeable for shares of our common stock issued pursuant to our 2011 Equity Plan, our 2020 Equity Plan and the ESPP.</w:t>
      </w:r>
    </w:p>
    <w:p>
      <w:pPr>
        <w:spacing w:after="0" w:line="16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use equity awards in the form of Options and Restricted Units to deliver the annual long-term incentive compensation opportunities to our executive officers, including the Named Executive Officers, and to address special situations as they may arise from time to time. The Compensation Committee believes that Options, when granted with exercise prices equal to the fair market value of our Membership Units on the date of grant, provide an appropriate long-term incentive for our executive officers, since the Options reward them only to the extent the price of our Membership Units increases and equityholders realize value following their grant date. The Compensation Committee believes that Restricted Unit awards help us to retain our executive officers and reward them for long-term stock price appreciation while at the same time providing some value to the recipient. The Compensation Committee also believes that Restricted Unit awards helps us to manage dilution to existing equityholders and provide greater transparency and predictability to our executive officers regarding the ultimate value of their compensation opportunities.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determining the appropriate mix of Options and Restricted Units, the Compensation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As discussed above, the Compensation Committee determines the amount of long-term incentive compensation for our executive officers as part of its annual compensation review and after taking into consideration the recommendations of the executive management team for compensation (i.e., our Chief Executive Officer, Chief Human Resources Officer and Vice President of Compensation and Benefits) which are based on a competitive market analysis, criticality of position and individual performance (both historical and expected future performance), the accounting impact of the proposed awards on our earnings, our “burn rate” in relation to the retail sector benchmarks, and the other factors described above in “Governance of Executive Compensation Program.”</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information regarding long-term equity incentive compensation, see “—Equity Compensation Plans.”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under 2011 Equity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Options</w:t>
      </w:r>
    </w:p>
    <w:p>
      <w:pPr>
        <w:spacing w:after="0" w:line="117"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The Company has granted Options subject to time-based vesting, or Time Options, and Options subject to performance-based vesting, or Performance Options, to each Named Executive Officer pursuant to different forms of Option award agreements under the 2011 Equity Plan, as described below, each an Option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Option Agreements of the Chief Executive Officer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CEO Option Agreement</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September 16, 2018, the Company granted 518,135 Time Options and 259,068 Performance Options with an exercise price of $5.44 to Mr. Hicks pursuant to an Option Agreement under the 2011 Equity Plan, or the 2018 CEO Option Agreement.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vesting of Time Options, the 2018 CEO Option Agreement provides:</w:t>
      </w:r>
    </w:p>
    <w:p>
      <w:pPr>
        <w:spacing w:after="0" w:line="131" w:lineRule="exact"/>
        <w:rPr>
          <w:sz w:val="20"/>
          <w:szCs w:val="20"/>
          <w:color w:val="auto"/>
        </w:rPr>
      </w:pPr>
    </w:p>
    <w:p>
      <w:pPr>
        <w:ind w:left="1080" w:right="44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15"/>
          <w:szCs w:val="15"/>
          <w:color w:val="auto"/>
        </w:rPr>
        <w:t>th</w:t>
      </w:r>
      <w:r>
        <w:rPr>
          <w:rFonts w:ascii="Arial" w:cs="Arial" w:eastAsia="Arial" w:hAnsi="Arial"/>
          <w:sz w:val="18"/>
          <w:szCs w:val="18"/>
          <w:color w:val="auto"/>
        </w:rPr>
        <w:t xml:space="preserve"> of the Time Options become vested and exercisable on each monthly anniversary of the vesting commencement date (April 5, 2018), subject to Mr. Hicks’ continued service through the applicable vesting date.</w:t>
      </w:r>
    </w:p>
    <w:p>
      <w:pPr>
        <w:spacing w:after="0" w:line="75"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Mr. Hicks remained in service through such vesting date, will become vested and exercisable as of such termination.</w:t>
      </w:r>
    </w:p>
    <w:p>
      <w:pPr>
        <w:spacing w:after="0" w:line="70" w:lineRule="exact"/>
        <w:rPr>
          <w:rFonts w:ascii="Arial" w:cs="Arial" w:eastAsia="Arial" w:hAnsi="Arial"/>
          <w:sz w:val="17"/>
          <w:szCs w:val="17"/>
          <w:color w:val="auto"/>
        </w:rPr>
      </w:pPr>
    </w:p>
    <w:p>
      <w:pPr>
        <w:jc w:val="both"/>
        <w:ind w:left="1080" w:right="280" w:hanging="424"/>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connection with any Change of Control (as defined in the 2011 Equity Plan), any then-outstanding and unvested portion of the Time Option will become vested and exercisable as to 100% of the Membership Units that are subject to such unvested portion, immediately prior to such Change of Control.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vesting of Performance Options, the 2018 CEO Option Agreement provides:</w:t>
      </w:r>
    </w:p>
    <w:p>
      <w:pPr>
        <w:spacing w:after="0" w:line="131" w:lineRule="exact"/>
        <w:rPr>
          <w:sz w:val="20"/>
          <w:szCs w:val="20"/>
          <w:color w:val="auto"/>
        </w:rPr>
      </w:pPr>
    </w:p>
    <w:p>
      <w:pPr>
        <w:jc w:val="both"/>
        <w:ind w:left="1080" w:right="20" w:hanging="424"/>
        <w:spacing w:after="0" w:line="311"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Performance Options will be eligible to become vested and exercisable, or Earned, with respect to a percentage of Membership Units that are subject to the Performance Options based on the Company’s level of achievement of consolidated Adjusted EBITDA for the fiscal year in which the grant date occurs, such period, the Option Grant Year, in accordance with the following terms and conditions:</w:t>
      </w:r>
    </w:p>
    <w:p>
      <w:pPr>
        <w:spacing w:after="0" w:line="54" w:lineRule="exact"/>
        <w:rPr>
          <w:rFonts w:ascii="Arial" w:cs="Arial" w:eastAsia="Arial" w:hAnsi="Arial"/>
          <w:sz w:val="16"/>
          <w:szCs w:val="16"/>
          <w:color w:val="auto"/>
        </w:rPr>
      </w:pPr>
    </w:p>
    <w:p>
      <w:pPr>
        <w:ind w:left="1540" w:right="40" w:hanging="331"/>
        <w:spacing w:after="0" w:line="293" w:lineRule="auto"/>
        <w:tabs>
          <w:tab w:leader="none" w:pos="154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Performance Options will become Earned based on the Company’s level of achievement of consolidated Adjusted EBITDA for the Option Grant Year and thereafter become vested and exercisable based on elapsed time, in accordance with the terms set forth in the Option Agreement, such that the portion of the Performance Options that has been Earned shall become vested and exercisable on the vesting date required by the Option Agreement; provided that no portion of the Performance Options shall become Earned (and thereby become eligible to become vested and exercisable), unless Mr. Hicks remains in service through the date on which the Compensation Committee determines that the applicable condition(s) to becoming Earned has been satisfied.</w:t>
      </w:r>
    </w:p>
    <w:p>
      <w:pPr>
        <w:spacing w:after="0" w:line="69" w:lineRule="exact"/>
        <w:rPr>
          <w:rFonts w:ascii="Arial" w:cs="Arial" w:eastAsia="Arial" w:hAnsi="Arial"/>
          <w:sz w:val="16"/>
          <w:szCs w:val="16"/>
          <w:color w:val="auto"/>
        </w:rPr>
      </w:pPr>
    </w:p>
    <w:p>
      <w:pPr>
        <w:ind w:left="2200" w:hanging="545"/>
        <w:spacing w:after="0" w:line="275" w:lineRule="auto"/>
        <w:tabs>
          <w:tab w:leader="none" w:pos="2200" w:val="left"/>
        </w:tabs>
        <w:numPr>
          <w:ilvl w:val="2"/>
          <w:numId w:val="89"/>
        </w:numPr>
        <w:rPr>
          <w:rFonts w:ascii="Arial" w:cs="Arial" w:eastAsia="Arial" w:hAnsi="Arial"/>
          <w:sz w:val="17"/>
          <w:szCs w:val="17"/>
          <w:color w:val="auto"/>
        </w:rPr>
      </w:pPr>
      <w:r>
        <w:rPr>
          <w:rFonts w:ascii="Arial" w:cs="Arial" w:eastAsia="Arial" w:hAnsi="Arial"/>
          <w:sz w:val="17"/>
          <w:szCs w:val="17"/>
          <w:color w:val="auto"/>
        </w:rPr>
        <w:t>If the Company’s actual consolidated Adjusted EBITDA for the Option Grant Year is: (i) equal to or greater than the “high performance target,” then 100% of the Performance Option shall be Earned; (ii) less than the “high performance target” but equal to or greater than the “low performance target,” then a specified percentage (based on a linear performance scale) of the Performance Option shall be Earned; and (iii) less than the “low performance target,” then none of the Membership Units that are subject to the Performance Option shall be Earned.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200" w:hanging="545"/>
        <w:spacing w:after="0" w:line="255" w:lineRule="auto"/>
        <w:tabs>
          <w:tab w:leader="none" w:pos="2200" w:val="left"/>
        </w:tabs>
        <w:numPr>
          <w:ilvl w:val="2"/>
          <w:numId w:val="90"/>
        </w:numPr>
        <w:rPr>
          <w:rFonts w:ascii="Arial" w:cs="Arial" w:eastAsia="Arial" w:hAnsi="Arial"/>
          <w:sz w:val="18"/>
          <w:szCs w:val="18"/>
          <w:color w:val="auto"/>
        </w:rPr>
      </w:pPr>
      <w:r>
        <w:rPr>
          <w:rFonts w:ascii="Arial" w:cs="Arial" w:eastAsia="Arial" w:hAnsi="Arial"/>
          <w:sz w:val="18"/>
          <w:szCs w:val="18"/>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monthly anniversary of the last day of the Option Grant Year in equal installments, such that 100% of the portion of the Performance Option that has been Earned shall be vested and exercisable on the third anniversary of the last day of the Option Grant Year.</w:t>
      </w:r>
    </w:p>
    <w:p>
      <w:pPr>
        <w:spacing w:after="0" w:line="97" w:lineRule="exact"/>
        <w:rPr>
          <w:rFonts w:ascii="Arial" w:cs="Arial" w:eastAsia="Arial" w:hAnsi="Arial"/>
          <w:sz w:val="18"/>
          <w:szCs w:val="18"/>
          <w:color w:val="auto"/>
        </w:rPr>
      </w:pPr>
    </w:p>
    <w:p>
      <w:pPr>
        <w:ind w:left="2200" w:right="20" w:hanging="545"/>
        <w:spacing w:after="0" w:line="273" w:lineRule="auto"/>
        <w:tabs>
          <w:tab w:leader="none" w:pos="2200" w:val="left"/>
        </w:tabs>
        <w:numPr>
          <w:ilvl w:val="2"/>
          <w:numId w:val="90"/>
        </w:numPr>
        <w:rPr>
          <w:rFonts w:ascii="Arial" w:cs="Arial" w:eastAsia="Arial" w:hAnsi="Arial"/>
          <w:sz w:val="17"/>
          <w:szCs w:val="17"/>
          <w:color w:val="auto"/>
        </w:rPr>
      </w:pPr>
      <w:r>
        <w:rPr>
          <w:rFonts w:ascii="Arial" w:cs="Arial" w:eastAsia="Arial" w:hAnsi="Arial"/>
          <w:sz w:val="17"/>
          <w:szCs w:val="17"/>
          <w:color w:val="auto"/>
        </w:rPr>
        <w:t>The 2018 CEO Option Agreement further provides that (i) if any portion of the Performance Option that has not been Earned remains outstanding and unvested as of February 2, 2022, and (ii) the Compensation Committee determines that the fair market value of a Membership Unit of the Company as of such date equals or exceeds the applicable target Membership Unit price, then 100% of the portion of the Performance Options that has not been Earned as of such date shall become vested and exercisable immediately upon such determination. No portion of the Performance Options may become vested pursuant to this paragraph following a termination of service for any reason.</w:t>
      </w:r>
    </w:p>
    <w:p>
      <w:pPr>
        <w:spacing w:after="0" w:line="83" w:lineRule="exact"/>
        <w:rPr>
          <w:rFonts w:ascii="Arial" w:cs="Arial" w:eastAsia="Arial" w:hAnsi="Arial"/>
          <w:sz w:val="17"/>
          <w:szCs w:val="17"/>
          <w:color w:val="auto"/>
        </w:rPr>
      </w:pPr>
    </w:p>
    <w:p>
      <w:pPr>
        <w:ind w:left="1540" w:right="40" w:hanging="331"/>
        <w:spacing w:after="0" w:line="259" w:lineRule="auto"/>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Upon a termination of service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in service through such vesting date, will become vested and exercisable as of such termination.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connection with a Change of Control:</w:t>
      </w:r>
    </w:p>
    <w:p>
      <w:pPr>
        <w:spacing w:after="0" w:line="130" w:lineRule="exact"/>
        <w:rPr>
          <w:rFonts w:ascii="Arial" w:cs="Arial" w:eastAsia="Arial" w:hAnsi="Arial"/>
          <w:sz w:val="18"/>
          <w:szCs w:val="18"/>
          <w:color w:val="auto"/>
        </w:rPr>
      </w:pPr>
    </w:p>
    <w:p>
      <w:pPr>
        <w:ind w:left="1540" w:right="100" w:hanging="331"/>
        <w:spacing w:after="0" w:line="263" w:lineRule="auto"/>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such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540" w:hanging="331"/>
        <w:spacing w:after="0" w:line="257" w:lineRule="auto"/>
        <w:tabs>
          <w:tab w:leader="none" w:pos="15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of the 2019 fiscal year end, the Performance Options granted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CEO Option Agreement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March 7, 2019, the Company granted 694,301 Time Options and 341,969 Performance Options with an exercise price of $5.26 to Mr. Hicks pursuant to an Option Agreement under the 2011 Equity Plan, or the 2019 CEO Option Agreement.</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2019 CEO Option Agreement is substantially similar to the 2018 CEO Option Agreement, except that (i) vesting is measured from the grant date (not an earlier vesting commencement date), and (ii) with respect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any portion of the Performance Option that has not been Earned and remains outstanding and unvested following the Compensation Committee’s determination for the Option Grant Year, the applicable target Membership Unit price is different and the measurement date is January 28, 2023.</w:t>
      </w:r>
    </w:p>
    <w:p>
      <w:pPr>
        <w:spacing w:after="0" w:line="124" w:lineRule="exact"/>
        <w:rPr>
          <w:sz w:val="20"/>
          <w:szCs w:val="20"/>
          <w:color w:val="auto"/>
        </w:rPr>
      </w:pPr>
    </w:p>
    <w:p>
      <w:pPr>
        <w:jc w:val="both"/>
        <w:ind w:left="120" w:right="240" w:firstLine="440"/>
        <w:spacing w:after="0" w:line="287" w:lineRule="auto"/>
        <w:rPr>
          <w:sz w:val="20"/>
          <w:szCs w:val="20"/>
          <w:color w:val="auto"/>
        </w:rPr>
      </w:pPr>
      <w:r>
        <w:rPr>
          <w:rFonts w:ascii="Arial" w:cs="Arial" w:eastAsia="Arial" w:hAnsi="Arial"/>
          <w:sz w:val="16"/>
          <w:szCs w:val="16"/>
          <w:color w:val="auto"/>
        </w:rPr>
        <w:t>As described above, in order for the Performance Options to vest under the 2019 CEO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EBITDA dollar amount of</w:t>
      </w:r>
    </w:p>
    <w:p>
      <w:pPr>
        <w:spacing w:after="0" w:line="2"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$323.2 million. Accordingly, 100% of the Performance Options granted under the 2019 CEO Option Agreement were Earned and will vest pursuant to the applicable time vesting provisions for Performance Options in the 2019 CEO Option Agreement.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CEO Option Agreement</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March 5, 2020, the Company granted 870,757 Time Options with an exercise price of $5.49 to Mr. Hicks pursuant to an Option Agreement under the 2011 Equity Plan, or the 2020 CEO Option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regard to vesting of Time Options, the 2020 CEO Option Agreement provides:</w:t>
      </w:r>
    </w:p>
    <w:p>
      <w:pPr>
        <w:spacing w:after="0" w:line="131" w:lineRule="exact"/>
        <w:rPr>
          <w:sz w:val="20"/>
          <w:szCs w:val="20"/>
          <w:color w:val="auto"/>
        </w:rPr>
      </w:pPr>
    </w:p>
    <w:p>
      <w:pPr>
        <w:ind w:left="1080" w:right="80" w:hanging="424"/>
        <w:spacing w:after="0" w:line="301"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1/48</w:t>
      </w:r>
      <w:r>
        <w:rPr>
          <w:rFonts w:ascii="Arial" w:cs="Arial" w:eastAsia="Arial" w:hAnsi="Arial"/>
          <w:sz w:val="13"/>
          <w:szCs w:val="13"/>
          <w:color w:val="auto"/>
        </w:rPr>
        <w:t>th</w:t>
      </w:r>
      <w:r>
        <w:rPr>
          <w:rFonts w:ascii="Arial" w:cs="Arial" w:eastAsia="Arial" w:hAnsi="Arial"/>
          <w:sz w:val="16"/>
          <w:szCs w:val="16"/>
          <w:color w:val="auto"/>
        </w:rPr>
        <w:t xml:space="preserve"> of the Time Options become vested and exercisable on each monthly anniversary of the grant date, subject to Mr. Hicks’ continued service through the applicable vesting date; provided, that if his service is terminated by the Company without Cause or due to his resignation for Good Reason (as such terms are defined in Mr. Hicks’ employment agreement) at any time prior to the sixth monthly anniversary of the grant date, then 6/48</w:t>
      </w:r>
      <w:r>
        <w:rPr>
          <w:rFonts w:ascii="Arial" w:cs="Arial" w:eastAsia="Arial" w:hAnsi="Arial"/>
          <w:sz w:val="13"/>
          <w:szCs w:val="13"/>
          <w:color w:val="auto"/>
        </w:rPr>
        <w:t>th</w:t>
      </w:r>
      <w:r>
        <w:rPr>
          <w:rFonts w:ascii="Arial" w:cs="Arial" w:eastAsia="Arial" w:hAnsi="Arial"/>
          <w:sz w:val="16"/>
          <w:szCs w:val="16"/>
          <w:color w:val="auto"/>
        </w:rPr>
        <w:t xml:space="preserve"> of the Time Options shall be vested and exercisable on the date of such termination.</w:t>
      </w:r>
    </w:p>
    <w:p>
      <w:pPr>
        <w:spacing w:after="0" w:line="62" w:lineRule="exact"/>
        <w:rPr>
          <w:rFonts w:ascii="Arial" w:cs="Arial" w:eastAsia="Arial" w:hAnsi="Arial"/>
          <w:sz w:val="16"/>
          <w:szCs w:val="16"/>
          <w:color w:val="auto"/>
        </w:rPr>
      </w:pPr>
    </w:p>
    <w:p>
      <w:pPr>
        <w:ind w:left="1080" w:right="360" w:hanging="424"/>
        <w:spacing w:after="0" w:line="286"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he remained in service through such vesting date, will become vested and exercisable as of such termination.</w:t>
      </w:r>
    </w:p>
    <w:p>
      <w:pPr>
        <w:spacing w:after="0" w:line="70" w:lineRule="exact"/>
        <w:rPr>
          <w:rFonts w:ascii="Arial" w:cs="Arial" w:eastAsia="Arial" w:hAnsi="Arial"/>
          <w:sz w:val="17"/>
          <w:szCs w:val="17"/>
          <w:color w:val="auto"/>
        </w:rPr>
      </w:pPr>
    </w:p>
    <w:p>
      <w:pPr>
        <w:ind w:left="1080" w:right="180" w:hanging="424"/>
        <w:spacing w:after="0" w:line="342"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Option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2016 Executive Option Agreement</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On March 27, 2016, the Company granted 118,337 Time Options with an exercise price of $5.30 (repriced down from $5.96 by the Compensation Committee in 2018) to Mr. Attaway pursuant to an Option Agreement under the 2011 Equity Plan, or the 2016 Executive Option Agreement.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2016 Executive Option Agreement is substantially similar to the 2018 CEO Option Agreement, except that it contains the following vesting schedule with respect to the Time Options:</w:t>
      </w:r>
    </w:p>
    <w:p>
      <w:pPr>
        <w:spacing w:after="0" w:line="76" w:lineRule="exact"/>
        <w:rPr>
          <w:sz w:val="20"/>
          <w:szCs w:val="20"/>
          <w:color w:val="auto"/>
        </w:rPr>
      </w:pPr>
    </w:p>
    <w:p>
      <w:pPr>
        <w:ind w:left="1080" w:right="4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25% of the Time Options become vested and exercisable on each anniversary of the grant date, subject to Mr. Attaway’s continued service through the applicable vesting date.</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Pursuant to the 2016 Executive Option Agreement, the Company also granted Mr. Attaway 59,169 Performance Options, which, after failing to achieve the performance goal initially applicable in 2016, could only become vested if the Compensation Committee certified that the Company achieved the target Membership Unit price of $12.25 as of February 1, 2020. Because the market value of a Membership Unit was $5.49 as of February 1, 2020, the Compensation Committee determined that the Performance Options granted to Mr. Attaway pursuant to the 2016 Executive Option Agreement were forfeited on that date.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2017 Executive Option Agreement</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Johnson, and Attaway pursuant to an Option Agreement under the 2011 Equity Plan, or the 2017 Executive Option Agreement:</w:t>
      </w:r>
    </w:p>
    <w:p>
      <w:pPr>
        <w:spacing w:after="0" w:line="76" w:lineRule="exact"/>
        <w:rPr>
          <w:sz w:val="20"/>
          <w:szCs w:val="20"/>
          <w:color w:val="auto"/>
        </w:rPr>
      </w:pPr>
    </w:p>
    <w:p>
      <w:pPr>
        <w:ind w:left="1080" w:right="2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March 23, 2017, the Company granted 98,523 Time Options and 49,261 Performance Options with an exercise price of $5.30 (repriced down from $6.03 by the Compensation Committee in 2018) to Mr. Mullican;</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June 6, 2017, the Company granted 73,892 Time Options and 36,946 Performance Options with an exercise price of $5.30 (repriced down from $6.03 by the Compensation Committee in 2018) to Mr. Johnson;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On March 23, 2017, the Company granted 123,154 Time Options and 61,576 Performance Options with an exercise price of $5.30 (repriced down from $6.03 by the Compensation Committee in 2018) to Mr. Attaway.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2017 Executive Option Agreement is substantially similar to the 2018 CEO Option Agreement, except as described below.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Time Options:</w:t>
      </w:r>
    </w:p>
    <w:p>
      <w:pPr>
        <w:spacing w:after="0" w:line="131" w:lineRule="exact"/>
        <w:rPr>
          <w:sz w:val="20"/>
          <w:szCs w:val="20"/>
          <w:color w:val="auto"/>
        </w:rPr>
      </w:pPr>
    </w:p>
    <w:p>
      <w:pPr>
        <w:ind w:left="1080" w:right="18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25% of the Time Options become vested and exercisable on each anniversary of the grant date, subject to the grantee’s continued service through the applicable vesting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Performance Options:</w:t>
      </w:r>
    </w:p>
    <w:p>
      <w:pPr>
        <w:spacing w:after="0" w:line="131" w:lineRule="exact"/>
        <w:rPr>
          <w:sz w:val="20"/>
          <w:szCs w:val="20"/>
          <w:color w:val="auto"/>
        </w:rPr>
      </w:pPr>
    </w:p>
    <w:p>
      <w:pPr>
        <w:ind w:left="1080" w:right="220" w:hanging="424"/>
        <w:spacing w:after="0" w:line="296"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anniversary of the last day of the Option Grant Year in equal installments of 25%, such that 100% of the portion of the Performance Option that has been Earned shall be vested and exercisable on the third anniversary of the last day of the Option Grant Year.</w:t>
      </w:r>
    </w:p>
    <w:p>
      <w:pPr>
        <w:spacing w:after="0" w:line="66" w:lineRule="exact"/>
        <w:rPr>
          <w:rFonts w:ascii="Arial" w:cs="Arial" w:eastAsia="Arial" w:hAnsi="Arial"/>
          <w:sz w:val="16"/>
          <w:szCs w:val="16"/>
          <w:color w:val="auto"/>
        </w:rPr>
      </w:pPr>
    </w:p>
    <w:p>
      <w:pPr>
        <w:ind w:left="1080" w:hanging="424"/>
        <w:spacing w:after="0" w:line="25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any portion of the Performance Option that has not been Earned and remains outstanding and unvested following the Compensation Committee’s determination for the Option Grant Year, if the Compensation Committee determines that the fair market value of a Membership Unit of the Company as of February 1, 2021 equals or exceeds the applicable target Membership Unit price, then 100% of the Performance Options that have not been Earned as of such date shall become vested and exercisable immediately upon such determination, subject to continued service.</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For 2017, the Compensation Committee determined on March 6, 2018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as determined by the linear performance scale,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-862965</wp:posOffset>
            </wp:positionV>
            <wp:extent cx="285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Executive Option Agreement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Johnson, and Attaway pursuant to an Option Agreement under the 2011 Equity Plan, or the 2018 Executive Option Agreement:</w:t>
      </w:r>
    </w:p>
    <w:p>
      <w:pPr>
        <w:spacing w:after="0" w:line="76" w:lineRule="exact"/>
        <w:rPr>
          <w:sz w:val="20"/>
          <w:szCs w:val="20"/>
          <w:color w:val="auto"/>
        </w:rPr>
      </w:pPr>
    </w:p>
    <w:p>
      <w:pPr>
        <w:ind w:left="1080" w:right="26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April 5, 2018, the Company granted 128,825 Time Options and 64,412 Performance Options with an exercise price of $5.23 to Mr. Mullican;</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April 5, 2018, the Company granted 104,670 Time Options and 52,335 Performance Options with an exercise price of $5.23 to Mr. Johnson; and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On April 5, 2018, the Company granted 112,722 Time Options and 56,361 Performance Options with an exercise price of $5.23 to Mr. Attaway.</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2018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the target Membership Unit price is different and the measurement date is February 2, 2022 for each of Messrs. Mullican, Johnson, and Attaway.</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the 2019 fiscal year end, the Performance Options granted under the 2018 Executive Option Agreement had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Executive Option Agreement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Lawrence, Johnson, and Attaway pursuant to an Option Agreement under the 2011 Equity Plan, or the 2019 Executive Option Agreement:</w:t>
      </w:r>
    </w:p>
    <w:p>
      <w:pPr>
        <w:spacing w:after="0" w:line="76"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March 7, 2019,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138,861 Time Options and 68,393 Performance Options with an exercise price of $5.26 to Mr. Mullican;</w:t>
      </w:r>
    </w:p>
    <w:p>
      <w:pPr>
        <w:spacing w:after="0" w:line="130"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411,270 Time Options and 106,865 Performance Options with an exercise price of $5.26 to Mr. Lawrence in connection with the commencement of his employment with us, pursuant to his employment agreement;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121,504 Time Options and 59,844 Performance Options with an exercise price of $5.26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7"/>
        </w:numPr>
        <w:rPr>
          <w:rFonts w:ascii="Arial" w:cs="Arial" w:eastAsia="Arial" w:hAnsi="Arial"/>
          <w:sz w:val="18"/>
          <w:szCs w:val="18"/>
          <w:color w:val="auto"/>
        </w:rPr>
      </w:pPr>
      <w:r>
        <w:rPr>
          <w:rFonts w:ascii="Arial" w:cs="Arial" w:eastAsia="Arial" w:hAnsi="Arial"/>
          <w:sz w:val="18"/>
          <w:szCs w:val="18"/>
          <w:color w:val="auto"/>
        </w:rPr>
        <w:t>112,824 Time Options and 55,570 Performance Options with an exercise price of $5.26 to Mr. Attaway.</w:t>
      </w:r>
    </w:p>
    <w:p>
      <w:pPr>
        <w:spacing w:after="0" w:line="225"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2019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(i) the target Membership Unit price is different and the measurement date is February 3, 2023 for each of Messrs. Mullican, Johnson, and Attaway, and (ii) the target Membership Unit price is different and the measurement date is January 28, 2023 for Mr. Lawrence.</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As described above, in order for the Performance Options to vest under the 2019 Executive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Executive Option Agreement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Lawrence, Johnson, and Attaway pursuant to an Option Agreement under the 2011 Equity Plan, or the 2020 Executive Option Agreement:</w:t>
      </w:r>
    </w:p>
    <w:p>
      <w:pPr>
        <w:spacing w:after="0" w:line="76"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March 5, 2020,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156,736 Time Options with an exercise price of $5.49 to Mr. Mullican;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217,689 Time Options with an exercise price of $5.49 to Mr. Lawrence;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156,736 Time Options with an exercise price of $5.49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113,198 Time Options with an exercise price of $5.49 to Mr. Attaway.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vesting of Time Options, the 2020 Executive Option Agreement provides:</w:t>
      </w:r>
    </w:p>
    <w:p>
      <w:pPr>
        <w:spacing w:after="0" w:line="131" w:lineRule="exact"/>
        <w:rPr>
          <w:sz w:val="20"/>
          <w:szCs w:val="20"/>
          <w:color w:val="auto"/>
        </w:rPr>
      </w:pPr>
    </w:p>
    <w:p>
      <w:pPr>
        <w:ind w:left="1080" w:right="12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25% of the Time Options become vested and exercisable on each anniversary of the grant date, subject to the grantee’s continued service through the applicable vesting date.</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Upon a termination of the grantee’s service at any time by reason of death or disability, that portion of the Time Option that would have become vested and exercisable on the vesting date of the Time Option immediately following the date of such termination, had the grantee remained in service through such vesting date, will become vested and exercisable as of such termination.</w:t>
      </w:r>
    </w:p>
    <w:p>
      <w:pPr>
        <w:spacing w:after="0" w:line="70" w:lineRule="exact"/>
        <w:rPr>
          <w:rFonts w:ascii="Arial" w:cs="Arial" w:eastAsia="Arial" w:hAnsi="Arial"/>
          <w:sz w:val="17"/>
          <w:szCs w:val="17"/>
          <w:color w:val="auto"/>
        </w:rPr>
      </w:pPr>
    </w:p>
    <w:p>
      <w:pPr>
        <w:ind w:left="1080" w:right="160" w:hanging="424"/>
        <w:spacing w:after="0" w:line="34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Company has granted Restricted Units to each Named Executive Officer pursuant to different forms of Restricted Unit award agreements under the 2011 Equity Plan, as described below, each a Restricted Unit Agreement. As of February 1, 2020, the Company had not recognized stock-based compensation expense for Restricted Units, some of which are subject to both a service-based vesting condition and a liquidity event-based vesting condition and others which are subject to a service-based vesting condition, a Company performance vesting condition, and a liquidity event-based vesting condition, because in each case the liquidity event had not occurred and, therefore, cannot be considered probable. In the period in which the Company’s liquidity event is probable (e.g., in connection with the IPO), the Company recorded a cumulative one-time equity-based compensation expense determined using the grant date fair values. Equity-based compensation related to remaining time-based service after the liquidity event will be recorded over the remaining requisite service period.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Restricted Unit Agreements of the CEO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Independent Non-Employee Director Restricted Unit Agreement</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On March 6, 2018, the Company granted 19,121 Restricted Units to Mr. Hicks for his service as a member of the Board pursuant to a Restricted Unit Agreement under the 2011 Equity Plan, or the 2018 Independent Non-Employee Director Restricted Unit Agreement.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2018 Independent Non-Employee Directors Restricted Unit Agreement provides that, subject to Mr. Hicks’ continued service on such date, 100% of the Restricted Units shall vest on the earliest of (i) March 6, 2019, (ii) his termination of service due to death or disability or (iii) a Change of Control. The Restricted Units under the 2018 Independent Non-Employee Directors Restricted Unit Agreement became fully vested on March 6, 2019.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CEO Restricted Unit Agreement</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On September 16, 2018, the Company granted 735,295 Restricted Units to Mr. Hicks pursuant to a Restricted Unit Agreement under the 2011 Equity Plan, or as amended on January 30, 2019, the 2018 CEO Restricted Unit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2018 CEO Restricted Unit Agreement provides:</w:t>
      </w:r>
    </w:p>
    <w:p>
      <w:pPr>
        <w:spacing w:after="0" w:line="131" w:lineRule="exact"/>
        <w:rPr>
          <w:sz w:val="20"/>
          <w:szCs w:val="20"/>
          <w:color w:val="auto"/>
        </w:rPr>
      </w:pPr>
    </w:p>
    <w:p>
      <w:pPr>
        <w:ind w:left="1080" w:right="180" w:hanging="424"/>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Settlement of Restricted Units is conditioned on satisfaction of two vesting requirements before the seventh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92" w:lineRule="exact"/>
        <w:rPr>
          <w:rFonts w:ascii="Arial" w:cs="Arial" w:eastAsia="Arial" w:hAnsi="Arial"/>
          <w:sz w:val="18"/>
          <w:szCs w:val="18"/>
          <w:color w:val="auto"/>
        </w:rPr>
      </w:pPr>
    </w:p>
    <w:p>
      <w:pPr>
        <w:ind w:left="1540" w:hanging="331"/>
        <w:spacing w:after="0" w:line="263" w:lineRule="auto"/>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earliest to occur of: (i) the consummation of the IPO, and (ii) the date of a Change of Control, any of the foregoing (i) and (ii) being an Initial Vesting Event, if Mr. Hicks is in continuous service on the date of the Initial Vesting Event.</w:t>
      </w:r>
    </w:p>
    <w:p>
      <w:pPr>
        <w:spacing w:after="0" w:line="89"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(2) Provided that Mr. Hicks is in continuous service on each applicable vesting date described below, the Time and Service Based Requirement will be satisfied as to the following percentages of the Restricted Units:</w:t>
      </w:r>
    </w:p>
    <w:p>
      <w:pPr>
        <w:spacing w:after="0" w:line="75" w:lineRule="exact"/>
        <w:rPr>
          <w:rFonts w:ascii="Arial" w:cs="Arial" w:eastAsia="Arial" w:hAnsi="Arial"/>
          <w:sz w:val="18"/>
          <w:szCs w:val="18"/>
          <w:color w:val="auto"/>
        </w:rPr>
      </w:pPr>
    </w:p>
    <w:p>
      <w:pPr>
        <w:ind w:left="2200" w:right="40" w:hanging="545"/>
        <w:spacing w:after="0" w:line="263" w:lineRule="auto"/>
        <w:tabs>
          <w:tab w:leader="none" w:pos="220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 If the Initial Vesting Event occurs prior to the 24</w:t>
      </w:r>
      <w:r>
        <w:rPr>
          <w:rFonts w:ascii="Arial" w:cs="Arial" w:eastAsia="Arial" w:hAnsi="Arial"/>
          <w:sz w:val="15"/>
          <w:szCs w:val="15"/>
          <w:color w:val="auto"/>
        </w:rPr>
        <w:t>th</w:t>
      </w:r>
      <w:r>
        <w:rPr>
          <w:rFonts w:ascii="Arial" w:cs="Arial" w:eastAsia="Arial" w:hAnsi="Arial"/>
          <w:sz w:val="18"/>
          <w:szCs w:val="18"/>
          <w:color w:val="auto"/>
        </w:rPr>
        <w:t xml:space="preserve"> monthly anniversary of the vesting commencement date (June 22, 2018), the total number of Restricted Units that will vest on the Initial Vesting Event shall be increased by 1/24</w:t>
      </w:r>
      <w:r>
        <w:rPr>
          <w:rFonts w:ascii="Arial" w:cs="Arial" w:eastAsia="Arial" w:hAnsi="Arial"/>
          <w:sz w:val="15"/>
          <w:szCs w:val="15"/>
          <w:color w:val="auto"/>
        </w:rPr>
        <w:t>th</w:t>
      </w:r>
      <w:r>
        <w:rPr>
          <w:rFonts w:ascii="Arial" w:cs="Arial" w:eastAsia="Arial" w:hAnsi="Arial"/>
          <w:sz w:val="18"/>
          <w:szCs w:val="18"/>
          <w:color w:val="auto"/>
        </w:rPr>
        <w:t xml:space="preserve"> upon each monthly anniversary of the vesting commencement date, and</w:t>
      </w:r>
    </w:p>
    <w:p>
      <w:pPr>
        <w:spacing w:after="0" w:line="89" w:lineRule="exact"/>
        <w:rPr>
          <w:rFonts w:ascii="Arial" w:cs="Arial" w:eastAsia="Arial" w:hAnsi="Arial"/>
          <w:sz w:val="18"/>
          <w:szCs w:val="18"/>
          <w:color w:val="auto"/>
        </w:rPr>
      </w:pPr>
    </w:p>
    <w:p>
      <w:pPr>
        <w:ind w:left="2200" w:right="20" w:hanging="545"/>
        <w:spacing w:after="0" w:line="277" w:lineRule="auto"/>
        <w:tabs>
          <w:tab w:leader="none" w:pos="2200" w:val="left"/>
        </w:tabs>
        <w:numPr>
          <w:ilvl w:val="2"/>
          <w:numId w:val="100"/>
        </w:numPr>
        <w:rPr>
          <w:rFonts w:ascii="Arial" w:cs="Arial" w:eastAsia="Arial" w:hAnsi="Arial"/>
          <w:sz w:val="18"/>
          <w:szCs w:val="18"/>
          <w:color w:val="auto"/>
        </w:rPr>
      </w:pPr>
      <w:r>
        <w:rPr>
          <w:rFonts w:ascii="Arial" w:cs="Arial" w:eastAsia="Arial" w:hAnsi="Arial"/>
          <w:sz w:val="18"/>
          <w:szCs w:val="18"/>
          <w:color w:val="auto"/>
        </w:rPr>
        <w:t>(ii) If the Initial Vesting Event occurs on or after the 24</w:t>
      </w:r>
      <w:r>
        <w:rPr>
          <w:rFonts w:ascii="Arial" w:cs="Arial" w:eastAsia="Arial" w:hAnsi="Arial"/>
          <w:sz w:val="15"/>
          <w:szCs w:val="15"/>
          <w:color w:val="auto"/>
        </w:rPr>
        <w:t>th</w:t>
      </w:r>
      <w:r>
        <w:rPr>
          <w:rFonts w:ascii="Arial" w:cs="Arial" w:eastAsia="Arial" w:hAnsi="Arial"/>
          <w:sz w:val="18"/>
          <w:szCs w:val="18"/>
          <w:color w:val="auto"/>
        </w:rPr>
        <w:t xml:space="preserve"> monthly anniversary of the vesting commencement date, all of the Restricted Units will vest on the Initial Vesting Event;</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provided, that, if Mr. Hicks is in continuous service on the date of a Change of Control, then the Time and Service Based Requirement will thereupon be satisfied as to 100% of the Restricted Units.</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Restricted Units Vested at Initial Vesting Event.</w:t>
      </w:r>
    </w:p>
    <w:p>
      <w:pPr>
        <w:spacing w:after="0" w:line="130" w:lineRule="exact"/>
        <w:rPr>
          <w:rFonts w:ascii="Arial" w:cs="Arial" w:eastAsia="Arial" w:hAnsi="Arial"/>
          <w:sz w:val="18"/>
          <w:szCs w:val="18"/>
          <w:color w:val="auto"/>
        </w:rPr>
      </w:pPr>
    </w:p>
    <w:p>
      <w:pPr>
        <w:ind w:left="1540" w:right="40" w:hanging="331"/>
        <w:spacing w:after="0" w:line="257"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Mr. Hicks is in continuous service on the date of the Initial Vesting Event, then (i) if the Initial Vesting Event is a Change of Control, all (100%) of the Restricted Units will become vested upon the Change of Control, and (ii) if the Initial Vesting Event is an IPO, the Restricted Units shall become vested as of the IPO based on the vesting schedule set forth in clause (2) above and any then-unvested Restricted Units shall be subject to continued vesting on the vesting schedule set forth below with regard to “Restricted Units Vested after IPO,” if applicable.</w:t>
      </w:r>
    </w:p>
    <w:p>
      <w:pPr>
        <w:spacing w:after="0" w:line="93" w:lineRule="exact"/>
        <w:rPr>
          <w:rFonts w:ascii="Arial" w:cs="Arial" w:eastAsia="Arial" w:hAnsi="Arial"/>
          <w:sz w:val="18"/>
          <w:szCs w:val="18"/>
          <w:color w:val="auto"/>
        </w:rPr>
      </w:pPr>
    </w:p>
    <w:p>
      <w:pPr>
        <w:ind w:left="1540" w:right="120" w:hanging="331"/>
        <w:spacing w:after="0" w:line="263"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Mr. Hicks’ continuous service terminates for any reason prior to the date of the Initial Vesting Event, then all Restricted Units, including those Restricted Units that met the Time and Service Based Requirement at the time of Mr. Hicks’ termination of service, will be forfeited as of the date of his termination of service.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Units Vested after IPO.</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Mr. Hicks was in continuous service on the date of the IPO, then with respect to any unvested Restricted Units as of such date, vesting will continue under the Time and Service Based Requirement as set forth in clause (2) above, each vesting date a Subsequent Vesting Event. If his service is terminated at any time, any then-unvested Restricted Units shall be forfeited as of the date of his termination of service.</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2018 CEO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CEO Restricted Unit Agreement</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March 5, 2020, the Company granted 303,279 Restricted Units to Mr. Hicks pursuant to a Restricted Unit Agreement under the 2011 Equity Plan, or the 2020 CEO Restricted Unit Agreement.</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2020 CEO Restricted Unit Agreement provides that only “Earned Restricted Units” are eligible to become vested in accordance with the vesting schedule set forth therein. Restricted Units become “Earned Restricted Units” based on (i) the Company’s level of achievement of consolidated Adjusted EBITDA for the fiscal year in which the grant date occurs, such period, the RU Grant Year, or (ii) the Company’s achievement of a specified target Membership Unit price, or (iii) a Change of Control occurring during the RU Grant Year, in each case of clauses (i) and (ii) above in accordance with the performance targets set forth in the 2020 CEO Restricted Unit Agreement.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Company’s actual consolidated Adjusted EBITDA for the RU Grant Year is: (i) equal to or greater than the “high performance target,” then</w:t>
      </w:r>
    </w:p>
    <w:p>
      <w:pPr>
        <w:spacing w:after="0" w:line="46" w:lineRule="exact"/>
        <w:rPr>
          <w:sz w:val="20"/>
          <w:szCs w:val="20"/>
          <w:color w:val="auto"/>
        </w:rPr>
      </w:pPr>
    </w:p>
    <w:p>
      <w:pPr>
        <w:ind w:left="120" w:right="380"/>
        <w:spacing w:after="0" w:line="277" w:lineRule="auto"/>
        <w:rPr>
          <w:sz w:val="20"/>
          <w:szCs w:val="20"/>
          <w:color w:val="auto"/>
        </w:rPr>
      </w:pPr>
      <w:r>
        <w:rPr>
          <w:rFonts w:ascii="Arial" w:cs="Arial" w:eastAsia="Arial" w:hAnsi="Arial"/>
          <w:sz w:val="17"/>
          <w:szCs w:val="17"/>
          <w:color w:val="auto"/>
        </w:rPr>
        <w:t>100% of the Restricted Units shall be Earned Restricted Units; (ii) less than the “high performance target” but equal to or greater than the “low performance target,” then a specified percentage (based on a linear performance scale) of the Restricted Units shall be Earned Restricted Units; and (iii) less than the “low performance target,” then none of the Restricted Units shall become Earned Restricted Units.</w:t>
      </w:r>
    </w:p>
    <w:p>
      <w:pPr>
        <w:spacing w:after="0" w:line="173"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2020 CEO Restricted Unit Agreement provides that if prior to consummation of an IPO or Change of Control (i) any Restricted Units that have not become Earned Restricted Units remain outstanding and unvested as of February 2, 2024, and (ii) the Compensation Committee determines that the fair market value of a Membership Unit of the Company as of such date equals or exceeds the applicable target Membership Unit price, then 100% of the Restricted Units that have not become Earned Restricted Units as of such date shall become Earned Restricted Units immediately upon such determination by the Compensation Committee. No Restricted Units may become Earned Restricted Units pursuant to this paragraph following a termination of service for any reason or following the consummation of an IPO or Change of Control.</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2020 CEO Restricted Unit Agreement further provides that (i) if a Change of Control occurs during the RU Grant Year, then all outstanding Restricted Units shall automatically become Earned Restricted Units immediately prior to such Change of Control and (ii) if a Change of Control occurs following the RU Grant Year, any Restricted Units that are not Earned Restricted Units as of immediately prior to such Change of Control shall be automatically forfeited upon the consummation of such Change of Control.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regard to vesting, the 2020 CEO Restricted Unit Agreement provides:</w:t>
      </w:r>
    </w:p>
    <w:p>
      <w:pPr>
        <w:spacing w:after="0" w:line="131" w:lineRule="exact"/>
        <w:rPr>
          <w:sz w:val="20"/>
          <w:szCs w:val="20"/>
          <w:color w:val="auto"/>
        </w:rPr>
      </w:pPr>
    </w:p>
    <w:p>
      <w:pPr>
        <w:ind w:left="1080" w:right="40" w:hanging="424"/>
        <w:spacing w:after="0" w:line="311"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Earned Restricted Units have two vesting requirements that must occur before the 10th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54" w:lineRule="exact"/>
        <w:rPr>
          <w:rFonts w:ascii="Arial" w:cs="Arial" w:eastAsia="Arial" w:hAnsi="Arial"/>
          <w:sz w:val="16"/>
          <w:szCs w:val="16"/>
          <w:color w:val="auto"/>
        </w:rPr>
      </w:pPr>
    </w:p>
    <w:p>
      <w:pPr>
        <w:jc w:val="both"/>
        <w:ind w:left="1540" w:right="60" w:hanging="331"/>
        <w:spacing w:after="0" w:line="263"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earlier to occur of: (i) the consummation of the IPO, and (ii) the date of a Change of Control, any of the foregoing (i) and (ii) being an Initial Vesting Event, if Mr. Hicks is in continuous service on the date of the Initial Vesting Event.</w:t>
      </w:r>
    </w:p>
    <w:p>
      <w:pPr>
        <w:spacing w:after="0" w:line="89"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(2) Provided that Mr. Hicks is in continuous service on each applicable vesting date described below, the Time and Service Based Requirement will be satisfied as to the following percentages of the Earned Restricted Units:</w:t>
      </w:r>
    </w:p>
    <w:p>
      <w:pPr>
        <w:spacing w:after="0" w:line="75" w:lineRule="exact"/>
        <w:rPr>
          <w:rFonts w:ascii="Arial" w:cs="Arial" w:eastAsia="Arial" w:hAnsi="Arial"/>
          <w:sz w:val="18"/>
          <w:szCs w:val="18"/>
          <w:color w:val="auto"/>
        </w:rPr>
      </w:pPr>
    </w:p>
    <w:p>
      <w:pPr>
        <w:ind w:left="2200" w:hanging="545"/>
        <w:spacing w:after="0" w:line="296" w:lineRule="auto"/>
        <w:tabs>
          <w:tab w:leader="none" w:pos="2200" w:val="left"/>
        </w:tabs>
        <w:numPr>
          <w:ilvl w:val="2"/>
          <w:numId w:val="103"/>
        </w:numPr>
        <w:rPr>
          <w:rFonts w:ascii="Arial" w:cs="Arial" w:eastAsia="Arial" w:hAnsi="Arial"/>
          <w:sz w:val="16"/>
          <w:szCs w:val="16"/>
          <w:color w:val="auto"/>
        </w:rPr>
      </w:pPr>
      <w:r>
        <w:rPr>
          <w:rFonts w:ascii="Arial" w:cs="Arial" w:eastAsia="Arial" w:hAnsi="Arial"/>
          <w:sz w:val="16"/>
          <w:szCs w:val="16"/>
          <w:color w:val="auto"/>
        </w:rPr>
        <w:t>(i) If the Initial Vesting Event occurs prior to the 48</w:t>
      </w:r>
      <w:r>
        <w:rPr>
          <w:rFonts w:ascii="Arial" w:cs="Arial" w:eastAsia="Arial" w:hAnsi="Arial"/>
          <w:sz w:val="13"/>
          <w:szCs w:val="13"/>
          <w:color w:val="auto"/>
        </w:rPr>
        <w:t>th</w:t>
      </w:r>
      <w:r>
        <w:rPr>
          <w:rFonts w:ascii="Arial" w:cs="Arial" w:eastAsia="Arial" w:hAnsi="Arial"/>
          <w:sz w:val="16"/>
          <w:szCs w:val="16"/>
          <w:color w:val="auto"/>
        </w:rPr>
        <w:t xml:space="preserve"> monthly anniversary of the grant date, the total number of Earned Restricted Units that will vest on the Initial Vesting Event shall be increased by 1/48</w:t>
      </w:r>
      <w:r>
        <w:rPr>
          <w:rFonts w:ascii="Arial" w:cs="Arial" w:eastAsia="Arial" w:hAnsi="Arial"/>
          <w:sz w:val="13"/>
          <w:szCs w:val="13"/>
          <w:color w:val="auto"/>
        </w:rPr>
        <w:t>th</w:t>
      </w:r>
      <w:r>
        <w:rPr>
          <w:rFonts w:ascii="Arial" w:cs="Arial" w:eastAsia="Arial" w:hAnsi="Arial"/>
          <w:sz w:val="16"/>
          <w:szCs w:val="16"/>
          <w:color w:val="auto"/>
        </w:rPr>
        <w:t xml:space="preserve"> upon each monthly anniversary of the grant date; provided, that, if Mr. Hicks’ service is terminated by the Company without Cause or due to his resignation for Good Reason (as such terms are defined in Mr. Hicks’ employment agreement) prior to the sixth monthly anniversary of the grant date, then 6/48</w:t>
      </w:r>
      <w:r>
        <w:rPr>
          <w:rFonts w:ascii="Arial" w:cs="Arial" w:eastAsia="Arial" w:hAnsi="Arial"/>
          <w:sz w:val="13"/>
          <w:szCs w:val="13"/>
          <w:color w:val="auto"/>
        </w:rPr>
        <w:t>th</w:t>
      </w:r>
      <w:r>
        <w:rPr>
          <w:rFonts w:ascii="Arial" w:cs="Arial" w:eastAsia="Arial" w:hAnsi="Arial"/>
          <w:sz w:val="16"/>
          <w:szCs w:val="16"/>
          <w:color w:val="auto"/>
        </w:rPr>
        <w:t xml:space="preserve"> of the Earned Restricted Units will vest on the Initial Vesting Event, and</w:t>
      </w:r>
    </w:p>
    <w:p>
      <w:pPr>
        <w:spacing w:after="0" w:line="66" w:lineRule="exact"/>
        <w:rPr>
          <w:rFonts w:ascii="Arial" w:cs="Arial" w:eastAsia="Arial" w:hAnsi="Arial"/>
          <w:sz w:val="16"/>
          <w:szCs w:val="16"/>
          <w:color w:val="auto"/>
        </w:rPr>
      </w:pPr>
    </w:p>
    <w:p>
      <w:pPr>
        <w:ind w:left="2200" w:right="20" w:hanging="545"/>
        <w:spacing w:after="0" w:line="277" w:lineRule="auto"/>
        <w:tabs>
          <w:tab w:leader="none" w:pos="220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(ii) If the Initial Vesting Event occurs on or after the 48</w:t>
      </w:r>
      <w:r>
        <w:rPr>
          <w:rFonts w:ascii="Arial" w:cs="Arial" w:eastAsia="Arial" w:hAnsi="Arial"/>
          <w:sz w:val="15"/>
          <w:szCs w:val="15"/>
          <w:color w:val="auto"/>
        </w:rPr>
        <w:t>th</w:t>
      </w:r>
      <w:r>
        <w:rPr>
          <w:rFonts w:ascii="Arial" w:cs="Arial" w:eastAsia="Arial" w:hAnsi="Arial"/>
          <w:sz w:val="18"/>
          <w:szCs w:val="18"/>
          <w:color w:val="auto"/>
        </w:rPr>
        <w:t xml:space="preserve"> monthly anniversary of the grant date, all of the Earned Restricted Units will vest on the Initial Vesting Event;</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provided, that, if Mr. Hicks is in continuous service on the date of a Change of Control, then the Time and Service Based Requirement will thereupon be satisfied as to 100% of the Earned Restricted Units.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Earned 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Earned Restricted Units Vested at Initial Vesting Event.</w:t>
      </w:r>
    </w:p>
    <w:p>
      <w:pPr>
        <w:spacing w:after="0" w:line="130" w:lineRule="exact"/>
        <w:rPr>
          <w:rFonts w:ascii="Arial" w:cs="Arial" w:eastAsia="Arial" w:hAnsi="Arial"/>
          <w:sz w:val="18"/>
          <w:szCs w:val="18"/>
          <w:color w:val="auto"/>
        </w:rPr>
      </w:pPr>
    </w:p>
    <w:p>
      <w:pPr>
        <w:ind w:left="1540" w:right="120" w:hanging="331"/>
        <w:spacing w:after="0" w:line="257"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Mr. Hicks is in continuous service on the date of the Initial Vesting Event, then (i) if the Initial Vesting Event is a Change of Control, all of the Earned Restricted Units will become vested upon the Change of Control, and (ii) if the Initial Vesting Event is an IPO, the Earned Restricted Units shall become vested as of the IPO based on the vesting schedule set forth in clause (2) above and any then-unvested Earned Restricted Units shall be subject to continued vesting on the vesting schedule set forth below with regard to “Earned Restricted Units Vested after IPO,” if applicable.</w:t>
      </w:r>
    </w:p>
    <w:p>
      <w:pPr>
        <w:spacing w:after="0" w:line="93" w:lineRule="exact"/>
        <w:rPr>
          <w:rFonts w:ascii="Arial" w:cs="Arial" w:eastAsia="Arial" w:hAnsi="Arial"/>
          <w:sz w:val="18"/>
          <w:szCs w:val="18"/>
          <w:color w:val="auto"/>
        </w:rPr>
      </w:pPr>
    </w:p>
    <w:p>
      <w:pPr>
        <w:ind w:left="1540" w:right="60" w:hanging="331"/>
        <w:spacing w:after="0" w:line="263"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Mr. Hicks’ continuous service terminates for any reason prior to the date of the Initial Vesting Event, then all Restricted Units (including those Earned Restricted Units that met the Time and Service Based Requirement at the time of his termination of service) will be forfeited as of the date of his termination of service.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Earned Restricted Units Vested after IPO.</w:t>
      </w:r>
    </w:p>
    <w:p>
      <w:pPr>
        <w:spacing w:after="0" w:line="130" w:lineRule="exact"/>
        <w:rPr>
          <w:rFonts w:ascii="Arial" w:cs="Arial" w:eastAsia="Arial" w:hAnsi="Arial"/>
          <w:sz w:val="18"/>
          <w:szCs w:val="18"/>
          <w:color w:val="auto"/>
        </w:rPr>
      </w:pPr>
    </w:p>
    <w:p>
      <w:pPr>
        <w:ind w:left="1540" w:right="100" w:hanging="331"/>
        <w:spacing w:after="0" w:line="259"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Mr. Hicks was in continuous service on the date of the IPO, then with respect to any unvested Earned Restricted Units as of such date, vesting will continue under the Time and Service Based Requirement schedule as set forth in clause (2) above, each vesting date, a Subsequent Vesting Event. If his service is terminated, any then-unvested Earned Restricted Units shall be forfeited as of the date of his termination of service.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2020 CEO Restricted Unit Agreement provides that within 30 days following the occurrence of the Initial Vesting Event or any Subsequent Vesting Event as set forth above, Earned Restricted Units that vest as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Initial Vesting Event or any Subsequent Vesting Event shall be settled; provided, that if the Initial Vesting Event is an IPO, the Earned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Restricted Unit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Executive Restricted Unit Agreement</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granted the following awards of Restricted Units to each of Messrs. Mullican, Johnson, and Attaway pursuant to a Restricted Unit Agreement under the 2011 Equity Plan, or the 2018 Executive Restricted Unit Agreement.</w:t>
      </w:r>
    </w:p>
    <w:p>
      <w:pPr>
        <w:spacing w:after="0" w:line="76"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June 22, 2018,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377,359 Restricted Units to Mr. Mullican;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235,850 Restricted Units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141,510 Restricted Units to Mr. Attaway.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regard to vesting, the 2018 Executive Restricted Unit Agreement provides:</w:t>
      </w:r>
    </w:p>
    <w:p>
      <w:pPr>
        <w:spacing w:after="0" w:line="131" w:lineRule="exact"/>
        <w:rPr>
          <w:sz w:val="20"/>
          <w:szCs w:val="20"/>
          <w:color w:val="auto"/>
        </w:rPr>
      </w:pPr>
    </w:p>
    <w:p>
      <w:pPr>
        <w:jc w:val="both"/>
        <w:ind w:left="1080" w:right="180" w:hanging="424"/>
        <w:spacing w:after="0" w:line="287" w:lineRule="auto"/>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Settlement of Restricted Units is conditioned on satisfaction of two vesting requirements before the fifth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 and (2) below:</w:t>
      </w:r>
    </w:p>
    <w:p>
      <w:pPr>
        <w:spacing w:after="0" w:line="116" w:lineRule="exact"/>
        <w:rPr>
          <w:sz w:val="20"/>
          <w:szCs w:val="20"/>
          <w:color w:val="auto"/>
        </w:rPr>
      </w:pPr>
    </w:p>
    <w:p>
      <w:pPr>
        <w:jc w:val="both"/>
        <w:ind w:left="1540" w:hanging="331"/>
        <w:spacing w:after="0" w:line="263" w:lineRule="auto"/>
        <w:tabs>
          <w:tab w:leader="none" w:pos="1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earlier to occur of: (i) the consummation of the IPO, and (ii) the date of a Change of Control, any of the foregoing (i) and (ii) being an Initial Vesting Event, if the grantee is in continuous service on the date of the Initial Vesting Event.</w:t>
      </w:r>
    </w:p>
    <w:p>
      <w:pPr>
        <w:spacing w:after="0" w:line="89"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(2) Provided that the grantee is in continuous service on each applicable vesting date described below, the Time and Service Based Requirement will be satisfied as to the following percentages of the Restricted Units:</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 25% on or after the first anniversary of the grant date but prior to the second anniversary of the grant date,</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(ii) 25% on or after the second anniversary of the grant date but prior to the third anniversary of the grant date,</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(iii) 25% on or after the third anniversary of the grant date but prior to the fourth anniversary of the grant date, and</w:t>
      </w:r>
    </w:p>
    <w:p>
      <w:pPr>
        <w:spacing w:after="0" w:line="142" w:lineRule="exact"/>
        <w:rPr>
          <w:rFonts w:ascii="Arial" w:cs="Arial" w:eastAsia="Arial" w:hAnsi="Arial"/>
          <w:sz w:val="17"/>
          <w:szCs w:val="17"/>
          <w:color w:val="auto"/>
        </w:rPr>
      </w:pPr>
    </w:p>
    <w:p>
      <w:pPr>
        <w:ind w:left="2200" w:hanging="545"/>
        <w:spacing w:after="0"/>
        <w:tabs>
          <w:tab w:leader="none" w:pos="22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(iv) 25% on or after the fourth anniversary of the grant date;</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provided, that, if the grantee is in continuous service on the date of a Change of Control, then the Time and Service Based Requirement will thereupon be satisfied as to 100% of the Restricted Units.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Restricted Units Vested at Initial Vesting Event.</w:t>
      </w:r>
    </w:p>
    <w:p>
      <w:pPr>
        <w:spacing w:after="0" w:line="130" w:lineRule="exact"/>
        <w:rPr>
          <w:rFonts w:ascii="Arial" w:cs="Arial" w:eastAsia="Arial" w:hAnsi="Arial"/>
          <w:sz w:val="18"/>
          <w:szCs w:val="18"/>
          <w:color w:val="auto"/>
        </w:rPr>
      </w:pPr>
    </w:p>
    <w:p>
      <w:pPr>
        <w:ind w:left="1540" w:right="460" w:hanging="331"/>
        <w:spacing w:after="0" w:line="277" w:lineRule="auto"/>
        <w:tabs>
          <w:tab w:leader="none" w:pos="154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If the grantee is in continuous service on the date of the Initial Vesting Event, then (i) if the Initial Vesting Event is a Change of Control, all of the Restricted Units will become vested upon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86" w:lineRule="auto"/>
        <w:rPr>
          <w:sz w:val="20"/>
          <w:szCs w:val="20"/>
          <w:color w:val="auto"/>
        </w:rPr>
      </w:pPr>
      <w:r>
        <w:rPr>
          <w:rFonts w:ascii="Arial" w:cs="Arial" w:eastAsia="Arial" w:hAnsi="Arial"/>
          <w:sz w:val="17"/>
          <w:szCs w:val="17"/>
          <w:color w:val="auto"/>
        </w:rPr>
        <w:t>Change of Control, and (ii) if the Initial Vesting Event is an IPO, the Restricted Units shall become vested as of the IPO based on the vesting schedule set forth in clause (2) above and any then-unvested Restricted Units shall be subject to continued vesting on the vesting schedule set forth below with regard to “Restricted Units Vested after IPO,” if applicable.</w:t>
      </w:r>
    </w:p>
    <w:p>
      <w:pPr>
        <w:spacing w:after="0" w:line="71" w:lineRule="exact"/>
        <w:rPr>
          <w:sz w:val="20"/>
          <w:szCs w:val="20"/>
          <w:color w:val="auto"/>
        </w:rPr>
      </w:pPr>
    </w:p>
    <w:p>
      <w:pPr>
        <w:jc w:val="both"/>
        <w:ind w:left="1540" w:right="160" w:hanging="331"/>
        <w:spacing w:after="0" w:line="263" w:lineRule="auto"/>
        <w:tabs>
          <w:tab w:leader="none" w:pos="15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grantee’s continuous service terminates for any reason prior to the date of the Initial Vesting Event, then all Restricted Units, including all Restricted Units that met the Time and Service Based Requirement at the time of the grantee’s termination of service, will be forfeited as of the date of the grantee’s termination of service.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Restricted Units Vested after IPO.</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grantee is in continuous service on the date of this offering, then with respect to any unvested Restricted Units as of such date, vesting will continue under the Time and Service Based Requirement as set forth in clause (2) above, each vesting date a Subsequent Vesting Event. If the grantee’s service is terminated, any then-unvested Restricted Units shall be forfeited as of the date of the grantee’s termination of service.</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2018 Executive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Executive Restricted Unit Agreement</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On March 7, 2019, the Company granted 142,586 Restricted Units to Mr. Lawrence in connection with the commencement of his employment with us pursuant to a Restricted Unit Agreement under the 2011 Equity Plan, or the 2019 Executive Restricted Unit Agreement. The 2019 Executive Restricted Unit Agreement is identical to the 2018 Executive Restricted Unit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Executive Restricted Unit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granted the following awards of Restricted Units to each of Messrs. Mullican, Lawrence, Johnson, and Attaway pursuant to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Unit Agreement under the 2011 Equity Plan, or the 2020 Executive Restricted Unit Agreement:</w:t>
      </w:r>
    </w:p>
    <w:p>
      <w:pPr>
        <w:spacing w:after="0" w:line="116" w:lineRule="exact"/>
        <w:rPr>
          <w:sz w:val="20"/>
          <w:szCs w:val="20"/>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On March 5, 2020,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54,591 Restricted Units to Mr. Mullican;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75,820 Restricted Units to Mr. Lawrence;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54,591 Restricted Units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39,427 Restricted Units to Mr. Attaway.</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2020 Executive Restricted Unit Agreement is substantially similar to the 2020 CEO Restricted Unit Agreement, except that it contains the following vesting schedule with respect to the Time and Service Based Requirement:</w:t>
      </w:r>
    </w:p>
    <w:p>
      <w:pPr>
        <w:spacing w:after="0" w:line="76" w:lineRule="exact"/>
        <w:rPr>
          <w:sz w:val="20"/>
          <w:szCs w:val="20"/>
          <w:color w:val="auto"/>
        </w:rPr>
      </w:pPr>
    </w:p>
    <w:p>
      <w:pPr>
        <w:ind w:left="1080" w:right="860" w:hanging="424"/>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Provided that the grantee is in continuous service on each applicable vesting date described below, the Time and Service Based Requirement will be satisfied as to the following percentages of the Earned Restricted Units:</w:t>
      </w:r>
    </w:p>
    <w:p>
      <w:pPr>
        <w:spacing w:after="0" w:line="75" w:lineRule="exact"/>
        <w:rPr>
          <w:rFonts w:ascii="Arial" w:cs="Arial" w:eastAsia="Arial" w:hAnsi="Arial"/>
          <w:sz w:val="18"/>
          <w:szCs w:val="18"/>
          <w:color w:val="auto"/>
        </w:rPr>
      </w:pPr>
    </w:p>
    <w:p>
      <w:pPr>
        <w:ind w:left="1540" w:right="520" w:hanging="331"/>
        <w:spacing w:after="0" w:line="342" w:lineRule="auto"/>
        <w:tabs>
          <w:tab w:leader="none" w:pos="154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 25% on or after the date of determination by the Compensation Committee of the Company’s actual consolidated Adjusted EBITDA for the RU Grant Year but prior to the second anniversary of the vesting commencement date (February 2, 2020),</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540" w:hanging="331"/>
        <w:spacing w:after="0" w:line="277" w:lineRule="auto"/>
        <w:tabs>
          <w:tab w:leader="none" w:pos="1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(ii) 50% on or after the second anniversary of the vesting commencement date but prior to the third anniversary of the vesting commencement date,</w:t>
      </w:r>
    </w:p>
    <w:p>
      <w:pPr>
        <w:spacing w:after="0" w:line="75" w:lineRule="exact"/>
        <w:rPr>
          <w:rFonts w:ascii="Arial" w:cs="Arial" w:eastAsia="Arial" w:hAnsi="Arial"/>
          <w:sz w:val="18"/>
          <w:szCs w:val="18"/>
          <w:color w:val="auto"/>
        </w:rPr>
      </w:pPr>
    </w:p>
    <w:p>
      <w:pPr>
        <w:ind w:left="1540" w:right="540" w:hanging="331"/>
        <w:spacing w:after="0" w:line="277" w:lineRule="auto"/>
        <w:tabs>
          <w:tab w:leader="none" w:pos="1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(iii) 75% on or after the third anniversary of the vesting commencement date but prior to the fourth anniversary of the vesting commencement date,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(iv) 100% on or after the fourth anniversary of the vesting commencement date.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Restricted Unit Awards Granted in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August 26, 2020, the Company granted the following awards of Restricted Units to each of the Named Executive Officers pursuant to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Unit Agreement under the 2011 Equity Plan, or the August 2020 Restricted Unit Agreement:</w:t>
      </w:r>
    </w:p>
    <w:p>
      <w:pPr>
        <w:spacing w:after="0" w:line="116" w:lineRule="exact"/>
        <w:rPr>
          <w:sz w:val="20"/>
          <w:szCs w:val="20"/>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777,203 to Mr. Hicks;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345,424 to Mr. Mullican;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345,424 to Mr. Lawrence;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345,424 to Mr. Johnson;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86,356 to Mr. Attaway.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August 2020 Restricted Unit Agreement provides:</w:t>
      </w:r>
    </w:p>
    <w:p>
      <w:pPr>
        <w:spacing w:after="0" w:line="131" w:lineRule="exact"/>
        <w:rPr>
          <w:sz w:val="20"/>
          <w:szCs w:val="20"/>
          <w:color w:val="auto"/>
        </w:rPr>
      </w:pPr>
    </w:p>
    <w:p>
      <w:pPr>
        <w:ind w:left="1080" w:right="120" w:hanging="424"/>
        <w:spacing w:after="0" w:line="287" w:lineRule="auto"/>
        <w:tabs>
          <w:tab w:leader="none" w:pos="10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Settlement of Restricted Units is conditioned on satisfaction of two vesting requirements before the tenth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 and (2) below:</w:t>
      </w:r>
    </w:p>
    <w:p>
      <w:pPr>
        <w:spacing w:after="0" w:line="116" w:lineRule="exact"/>
        <w:rPr>
          <w:sz w:val="20"/>
          <w:szCs w:val="20"/>
          <w:color w:val="auto"/>
        </w:rPr>
      </w:pPr>
    </w:p>
    <w:p>
      <w:pPr>
        <w:ind w:left="1540" w:right="60" w:hanging="331"/>
        <w:spacing w:after="0" w:line="25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earliest to occur of: (i) the consummation of the IPO, (ii) the consummation of an acquisition of the Company or one of its affiliates by, or merger of the Company or one of its affiliates with, a publicly traded special purpose acquisition company, which consummation does not thereupon result in a Change of Control, or a SPAC Event, and (iii) the date of a Change of Control, any of the foregoing (i) to (iii) being an Initial Vesting Event, if the executive is in continuous service on the date of the Initial Vesting Event.</w:t>
      </w:r>
    </w:p>
    <w:p>
      <w:pPr>
        <w:spacing w:after="0" w:line="93"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(2) Provided that the executive is in continuous service on each applicable vesting date described below, the Time and Service Based Requirement will be satisfied as to the following percentages of the Restricted Units:</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25% on or after the first anniversary of the grant date but prior to the second anniversary of the grant date, and</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75% on or after the second anniversary of the grant date;</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provided, that, if the executive is in continuous service on the date of a Change of Control, then the Time and Service Based Requirement will thereupon be satisfied as to 100% of the Restricted Units.</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Restricted Units Vested at Initial Vesting Event.</w:t>
      </w:r>
    </w:p>
    <w:p>
      <w:pPr>
        <w:spacing w:after="0" w:line="130" w:lineRule="exact"/>
        <w:rPr>
          <w:rFonts w:ascii="Arial" w:cs="Arial" w:eastAsia="Arial" w:hAnsi="Arial"/>
          <w:sz w:val="18"/>
          <w:szCs w:val="18"/>
          <w:color w:val="auto"/>
        </w:rPr>
      </w:pPr>
    </w:p>
    <w:p>
      <w:pPr>
        <w:ind w:left="1540" w:right="180" w:hanging="331"/>
        <w:spacing w:after="0" w:line="311" w:lineRule="auto"/>
        <w:tabs>
          <w:tab w:leader="none" w:pos="154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If the executive is in continuous service on the date of the Initial Vesting Event, then (i) if the Initial Vesting Event is a Change of Control, all (100%) of the Restricted Units will become vested upon the Change of Control, and (ii) if the Initial Vesting Event is a SPAC Event or an IPO, the Restricted Units shall become vested as of the SPAC Event or IPO based on the vesting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00"/>
        <w:spacing w:after="0" w:line="308" w:lineRule="auto"/>
        <w:rPr>
          <w:sz w:val="20"/>
          <w:szCs w:val="20"/>
          <w:color w:val="auto"/>
        </w:rPr>
      </w:pPr>
      <w:r>
        <w:rPr>
          <w:rFonts w:ascii="Arial" w:cs="Arial" w:eastAsia="Arial" w:hAnsi="Arial"/>
          <w:sz w:val="17"/>
          <w:szCs w:val="17"/>
          <w:color w:val="auto"/>
        </w:rPr>
        <w:t>schedule set forth in clause (2) above and any then-unvested Restricted Units shall be subject to continued vesting on the vesting schedule set forth below with regard to “Restricted Units Vested after SPAC Event or IPO,” if applicable.</w:t>
      </w:r>
    </w:p>
    <w:p>
      <w:pPr>
        <w:spacing w:after="0" w:line="52" w:lineRule="exact"/>
        <w:rPr>
          <w:sz w:val="20"/>
          <w:szCs w:val="20"/>
          <w:color w:val="auto"/>
        </w:rPr>
      </w:pPr>
    </w:p>
    <w:p>
      <w:pPr>
        <w:ind w:left="1540" w:right="40" w:hanging="331"/>
        <w:spacing w:after="0" w:line="263"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the executive’s continuous service terminates for any reason prior to the date of the Initial Vesting Event, then all Restricted Units, including those Restricted Units that met the Time and Service Based Requirement at the time of the termination of service, will be forfeited as of the date of termination of service.</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Restricted Units Vested after SPAC Event or IPO.</w:t>
      </w:r>
    </w:p>
    <w:p>
      <w:pPr>
        <w:spacing w:after="0" w:line="130" w:lineRule="exact"/>
        <w:rPr>
          <w:rFonts w:ascii="Arial" w:cs="Arial" w:eastAsia="Arial" w:hAnsi="Arial"/>
          <w:sz w:val="18"/>
          <w:szCs w:val="18"/>
          <w:color w:val="auto"/>
        </w:rPr>
      </w:pPr>
    </w:p>
    <w:p>
      <w:pPr>
        <w:ind w:left="2200" w:right="60" w:hanging="545"/>
        <w:spacing w:after="0" w:line="291" w:lineRule="auto"/>
        <w:tabs>
          <w:tab w:leader="none" w:pos="22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If the executive is in continuous service on the date of the SPAC Event or the IPO, then with respect to any unvested Restricted Units as of such date, vesting will continue under the Time and Service Based Requirement as set forth in clause</w:t>
      </w:r>
    </w:p>
    <w:p>
      <w:pPr>
        <w:ind w:left="2200" w:right="140"/>
        <w:spacing w:after="0" w:line="323" w:lineRule="auto"/>
        <w:rPr>
          <w:rFonts w:ascii="Arial" w:cs="Arial" w:eastAsia="Arial" w:hAnsi="Arial"/>
          <w:sz w:val="16"/>
          <w:szCs w:val="16"/>
          <w:color w:val="auto"/>
        </w:rPr>
      </w:pPr>
      <w:r>
        <w:rPr>
          <w:rFonts w:ascii="Arial" w:cs="Arial" w:eastAsia="Arial" w:hAnsi="Arial"/>
          <w:sz w:val="16"/>
          <w:szCs w:val="16"/>
          <w:color w:val="auto"/>
        </w:rPr>
        <w:t>(2) above, each vesting date a Subsequent Vesting Event. If the executive’s service is terminated at any time following the SPAC Event or the IPO, any then-unvested Restricted Units shall be forfeited as of the date of termination of service.</w:t>
      </w:r>
    </w:p>
    <w:p>
      <w:pPr>
        <w:spacing w:after="0" w:line="13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August 2020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IPO Equity Awards under 2020 Equity Plan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Compensation Committee has adopted and our equityholders approved the 2020 Equity Plan. Equity awards under the 2020 Equity Plan are designed to reward our employees, including our Named Executive Officers, for long-term equityholder value creation. In determining equity awards for our Named Executive Officers, our Compensation Committee will take into account the Company’s overall financial performance as well as its performance versus competitor firms. The awards made under the 2020 Equity Plan concurrent with the IPO, as described below, were granted to ensure such individuals’ alignment with our equityholders’ interests and to provide a retention element to their compensation.</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the 2020 Equity Plan, concurrent with the pricing (in the case of options) and closing (in the case of restricted stock units) of the IPO, we granted 140,525 options in the aggregate and 12,772 restricted stock units in the aggregate to employees who are not Section 16 officers. The options have a per share exercise price equal to the initial public offering price.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maintain a 401(k) plan, which is intended to be qualified under Section 401(a) of the Code, with the 401(k) plan’s related trust intended to be tax exempt under Section 501(a) of the Code. Our 401(k) plan provides eligible U.S. employees, including the Named Executive Officers, with an opportunity to save for retirement on a tax-advantaged basis. Under our 401(k) plan, eligible employees may defer eligible compensation subject to applicable annual contribution limits imposed by the Code. As a tax-qualified retirement plan, contributions to the 401(k) plan and earnings on those contributions are not taxable to the employees until distributed from the plan. Employees are immediately and fully vested in their contributions. Employees are eligible for employer matching on the anniversary of their hire date and the completion of 1,000 work hours. We match up to 6% of employee eligible compensation based on the employee’s deferrals, up to applicable IRS limits, per calendar year for each employee and such matching contributions are immediately and fully vested.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Pension Benefits</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Other than with respect to our 401(k) plan, our U.S. employees, including the Named Executive Officers, do not participate in any plan that provides for retirement payments and benefits, or payments and benefits that will be provided primarily following retirement.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Nonqualified Deferred Compensation</w:t>
      </w:r>
    </w:p>
    <w:p>
      <w:pPr>
        <w:spacing w:after="0" w:line="11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During 2019, our employees, including the Named Executive Officers, did not contribute to, or earn any amounts with respect to, any defined contribution or other plan sponsored by us that provides for the deferral of compensation on a basis that is not tax-qualified.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Benefits</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generally available to all of our salaried full-time employees.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benefits described below are provided to the Named Executive Officers to eliminate potential distractions from performing their regular job duties and to promote productivity, health and wellbeing. We believe the cost of these programs is counterbalanced by an increase in productivity by the Named Executive Officers receiving access to them. All of the perquisites and personal benefits described below have been approved by, and future practices with respect to perquisites or other personal benefits will be approved by, and all such perquisites and personal benefits shall be subject to periodic review by, the Compensation Committee.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In order to maintain competitiveness in the market as well as to maintain continuity of leadership by encouraging physical and financial well-being, the Compensation Committee approved reimbursement for annual physicals (up to an amount of $2,000, with a tax gross-up for Mr. Hicks to cover such reimbursement in the additional amount of $2,032) and a financial planning allowance (in the amount of $5,000 with no tax gross up) for each of the Named Executive Officers in 2019.</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Hicks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Mr. Hicks’ employment agreement, he is entitled to certain perquisites. Specifically, during Mr. Hicks’ employment:</w:t>
      </w:r>
    </w:p>
    <w:p>
      <w:pPr>
        <w:spacing w:after="0" w:line="117" w:lineRule="exact"/>
        <w:rPr>
          <w:sz w:val="20"/>
          <w:szCs w:val="20"/>
          <w:color w:val="auto"/>
        </w:rPr>
      </w:pPr>
    </w:p>
    <w:p>
      <w:pPr>
        <w:ind w:left="560" w:right="260" w:hanging="4"/>
        <w:spacing w:after="0" w:line="308" w:lineRule="auto"/>
        <w:tabs>
          <w:tab w:leader="none" w:pos="77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hanging="4"/>
        <w:spacing w:after="0" w:line="277" w:lineRule="auto"/>
        <w:tabs>
          <w:tab w:leader="none" w:pos="82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he shall have use of a company-owned vehicle when in Katy, Texas with satellite radio and all maintenance and insurance costs with respect to such vehicle; and</w:t>
      </w:r>
    </w:p>
    <w:p>
      <w:pPr>
        <w:spacing w:after="0" w:line="62" w:lineRule="exact"/>
        <w:rPr>
          <w:rFonts w:ascii="Arial" w:cs="Arial" w:eastAsia="Arial" w:hAnsi="Arial"/>
          <w:sz w:val="18"/>
          <w:szCs w:val="18"/>
          <w:color w:val="auto"/>
        </w:rPr>
      </w:pPr>
    </w:p>
    <w:p>
      <w:pPr>
        <w:ind w:left="560" w:right="160" w:hanging="4"/>
        <w:spacing w:after="0" w:line="263" w:lineRule="auto"/>
        <w:tabs>
          <w:tab w:leader="none" w:pos="87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pay directly or reimburse him on a monthly basis for reasonable and necessary expenses incurred by him in connection with commuting from his residence in California to Katy, Texas (including jet card payments for private air travel, cost of catering on the flights and transportation to and from airports).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addition, Mr. Hicks is entitled to receive from the Company on a monthly basis an additional payment in an amount sufficient to indemnify him on a net after-tax basis for any income tax associated with the provision of any of the perquisites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Johnson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2019, pursuant to his employment agreement, the Company provided Mr. Johnson reimbursement for relocation expenses, with a tax gross-up.</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Attaway</w:t>
      </w:r>
    </w:p>
    <w:p>
      <w:pPr>
        <w:spacing w:after="0" w:line="117"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2019, Mr. Attaway received tax preparation reimbursement regarding his Allstar Managers unit subscription, which was offered to all employees who subscribed for units at that time. This benefit will cease to apply in 2020 by mutual agreement of the Company and Mr. Attaway.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and Change of Control Arrangements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Each Named Executive Officer is entitled to receive severance benefits under the terms of his employment agreement upon either termination by us without cause or a resignation by the Named Executive Officer for good reason. We provide these severance benefits in order to provide an overall compensation package that is competitive with that offered by the companies with whom we compete for executive talent. Severance benefits provide retention incentives and allow our executives to focus on our objectives without concern for their employment security in the event of a termination.</w:t>
      </w:r>
    </w:p>
    <w:p>
      <w:pPr>
        <w:spacing w:after="0" w:line="15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we have approved accelerated vesting provisions for Options and Restricted Units granted to Named Executive Officers in connection with a change of control, and limited acceleration in the cases of termination due to death or disability in the absence of a change of control. We believe these accelerated vesting provisions reflect current market practices, based on the collective knowledge and experiences of our Compensation Committee members and executive team for compensation, and allow us to attract and retain the highest level of talented and experienced executive officers. We also believe that these accelerated vesting provisions will encourage our executive officers to focus on continuing normal business operations, remain dedicated to innovating and exploring potential business combinations that may not be in their personal best interests, and maintain a balanced perspective in making overall business decisions during potentially uncertain periods. Please see “—Potential Payments Upon Termination or Change of Control” for additional information regarding accelerated vesting in connection with a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and Accounting Implications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Compensation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total compensation earned by our Named Executive Officers in the fiscal year ended February 1, 2020 (or</w:t>
      </w:r>
    </w:p>
    <w:p>
      <w:pPr>
        <w:spacing w:after="0" w:line="46"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2019). We have omitted from this table the columns for Change in Pension Value and Nonqualified Deferred Compensation Earnings, because no Named Executive Officer received such types of compensation during 2019.</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 Equity</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Option Awards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940" w:type="dxa"/>
            <w:vAlign w:val="bottom"/>
            <w:vMerge w:val="restart"/>
          </w:tcPr>
          <w:p>
            <w:pPr>
              <w:spacing w:after="0"/>
              <w:rPr>
                <w:sz w:val="12"/>
                <w:szCs w:val="12"/>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Year</w:t>
            </w:r>
          </w:p>
        </w:tc>
        <w:tc>
          <w:tcPr>
            <w:tcW w:w="8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2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52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860" w:type="dxa"/>
            <w:vAlign w:val="bottom"/>
          </w:tcPr>
          <w:p>
            <w:pPr>
              <w:ind w:left="260"/>
              <w:spacing w:after="0" w:line="158" w:lineRule="exact"/>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5"/>
                <w:szCs w:val="15"/>
                <w:color w:val="auto"/>
              </w:rPr>
            </w:pPr>
          </w:p>
        </w:tc>
        <w:tc>
          <w:tcPr>
            <w:tcW w:w="94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($)(5)</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($)(6)</w:t>
            </w:r>
          </w:p>
        </w:tc>
        <w:tc>
          <w:tcPr>
            <w:tcW w:w="2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3700" w:type="dxa"/>
            <w:vAlign w:val="bottom"/>
            <w:tcBorders>
              <w:top w:val="single" w:sz="8" w:color="CCEEFF"/>
            </w:tcBorders>
            <w:gridSpan w:val="2"/>
            <w:shd w:val="clear" w:color="auto" w:fill="CCEEFF"/>
          </w:tcPr>
          <w:p>
            <w:pPr>
              <w:spacing w:after="0" w:line="103" w:lineRule="exact"/>
              <w:rPr>
                <w:sz w:val="20"/>
                <w:szCs w:val="20"/>
                <w:color w:val="auto"/>
              </w:rPr>
            </w:pPr>
            <w:r>
              <w:rPr>
                <w:rFonts w:ascii="Arial" w:cs="Arial" w:eastAsia="Arial" w:hAnsi="Arial"/>
                <w:sz w:val="11"/>
                <w:szCs w:val="11"/>
                <w:color w:val="auto"/>
              </w:rPr>
              <w:t>Ken C. Hicks</w:t>
            </w: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Chairman, President, and Chief Executive Officer</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6"/>
              </w:rPr>
              <w:t>1,100,000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2,808,290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1,868,667</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1,089,042</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6,865,999</w:t>
            </w:r>
          </w:p>
        </w:tc>
        <w:tc>
          <w:tcPr>
            <w:tcW w:w="0" w:type="dxa"/>
            <w:vAlign w:val="bottom"/>
          </w:tcPr>
          <w:p>
            <w:pPr>
              <w:spacing w:after="0"/>
              <w:rPr>
                <w:sz w:val="1"/>
                <w:szCs w:val="1"/>
                <w:color w:val="auto"/>
              </w:rPr>
            </w:pPr>
          </w:p>
        </w:tc>
      </w:tr>
      <w:tr>
        <w:trPr>
          <w:trHeight w:val="130"/>
        </w:trPr>
        <w:tc>
          <w:tcPr>
            <w:tcW w:w="3700" w:type="dxa"/>
            <w:vAlign w:val="bottom"/>
            <w:gridSpan w:val="2"/>
          </w:tcPr>
          <w:p>
            <w:pPr>
              <w:spacing w:after="0" w:line="130" w:lineRule="exact"/>
              <w:rPr>
                <w:sz w:val="20"/>
                <w:szCs w:val="20"/>
                <w:color w:val="auto"/>
              </w:rPr>
            </w:pPr>
            <w:r>
              <w:rPr>
                <w:rFonts w:ascii="Arial" w:cs="Arial" w:eastAsia="Arial" w:hAnsi="Arial"/>
                <w:sz w:val="14"/>
                <w:szCs w:val="14"/>
                <w:color w:val="auto"/>
              </w:rPr>
              <w:t>Michael P. Mullican</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spacing w:after="0"/>
              <w:rPr>
                <w:sz w:val="20"/>
                <w:szCs w:val="20"/>
                <w:color w:val="auto"/>
              </w:rPr>
            </w:pPr>
            <w:r>
              <w:rPr>
                <w:rFonts w:ascii="Arial" w:cs="Arial" w:eastAsia="Arial" w:hAnsi="Arial"/>
                <w:sz w:val="14"/>
                <w:szCs w:val="14"/>
                <w:color w:val="auto"/>
              </w:rPr>
              <w:t>EVP, Chief Financial Officer</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487,827</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571,336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505,353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23,667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1,588,183</w:t>
            </w:r>
          </w:p>
        </w:tc>
        <w:tc>
          <w:tcPr>
            <w:tcW w:w="0" w:type="dxa"/>
            <w:vAlign w:val="bottom"/>
          </w:tcPr>
          <w:p>
            <w:pPr>
              <w:spacing w:after="0"/>
              <w:rPr>
                <w:sz w:val="1"/>
                <w:szCs w:val="1"/>
                <w:color w:val="auto"/>
              </w:rPr>
            </w:pPr>
          </w:p>
        </w:tc>
      </w:tr>
      <w:tr>
        <w:trPr>
          <w:trHeight w:val="130"/>
        </w:trPr>
        <w:tc>
          <w:tcPr>
            <w:tcW w:w="3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Steven P. Lawrence</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EVP, Chief Merchandising Officer(7)</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677,596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200,000</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1,428,983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858,663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3,165,242</w:t>
            </w:r>
          </w:p>
        </w:tc>
        <w:tc>
          <w:tcPr>
            <w:tcW w:w="0" w:type="dxa"/>
            <w:vAlign w:val="bottom"/>
          </w:tcPr>
          <w:p>
            <w:pPr>
              <w:spacing w:after="0"/>
              <w:rPr>
                <w:sz w:val="1"/>
                <w:szCs w:val="1"/>
                <w:color w:val="auto"/>
              </w:rPr>
            </w:pPr>
          </w:p>
        </w:tc>
      </w:tr>
      <w:tr>
        <w:trPr>
          <w:trHeight w:val="130"/>
        </w:trPr>
        <w:tc>
          <w:tcPr>
            <w:tcW w:w="3700" w:type="dxa"/>
            <w:vAlign w:val="bottom"/>
            <w:gridSpan w:val="2"/>
          </w:tcPr>
          <w:p>
            <w:pPr>
              <w:spacing w:after="0" w:line="130" w:lineRule="exact"/>
              <w:rPr>
                <w:sz w:val="20"/>
                <w:szCs w:val="20"/>
                <w:color w:val="auto"/>
              </w:rPr>
            </w:pPr>
            <w:r>
              <w:rPr>
                <w:rFonts w:ascii="Arial" w:cs="Arial" w:eastAsia="Arial" w:hAnsi="Arial"/>
                <w:sz w:val="14"/>
                <w:szCs w:val="14"/>
                <w:color w:val="auto"/>
              </w:rPr>
              <w:t>Samuel J. Johnson</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spacing w:after="0"/>
              <w:rPr>
                <w:sz w:val="20"/>
                <w:szCs w:val="20"/>
                <w:color w:val="auto"/>
              </w:rPr>
            </w:pPr>
            <w:r>
              <w:rPr>
                <w:rFonts w:ascii="Arial" w:cs="Arial" w:eastAsia="Arial" w:hAnsi="Arial"/>
                <w:sz w:val="14"/>
                <w:szCs w:val="14"/>
                <w:color w:val="auto"/>
              </w:rPr>
              <w:t>EVP, Retail Operations</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463,884</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499,922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480,509</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53,867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1,498,182</w:t>
            </w:r>
          </w:p>
        </w:tc>
        <w:tc>
          <w:tcPr>
            <w:tcW w:w="0" w:type="dxa"/>
            <w:vAlign w:val="bottom"/>
          </w:tcPr>
          <w:p>
            <w:pPr>
              <w:spacing w:after="0"/>
              <w:rPr>
                <w:sz w:val="1"/>
                <w:szCs w:val="1"/>
                <w:color w:val="auto"/>
              </w:rPr>
            </w:pPr>
          </w:p>
        </w:tc>
      </w:tr>
      <w:tr>
        <w:trPr>
          <w:trHeight w:val="130"/>
        </w:trPr>
        <w:tc>
          <w:tcPr>
            <w:tcW w:w="3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Kenneth D. Attaway</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EVP, Chief Operations Officer</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446,500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464,211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462,541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26,204</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1,399,456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Named Executive Officer’s base salary earned during 2019.</w:t>
      </w:r>
    </w:p>
    <w:p>
      <w:pPr>
        <w:spacing w:after="0" w:line="23"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Pursuant to Mr. Lawrence’s employment agreement, dated January 29, 2019, he received a sign-on bonus of $200,000, which was paid by the Company within the first 30 days of his commencement of employment. This sign-on bonus was subject to a pro-rata repayment obligation that expired on February 11, 2020, the first anniversary of Mr. Lawrence’s employment with us.</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w:t>
      </w:r>
    </w:p>
    <w:p>
      <w:pPr>
        <w:spacing w:after="0" w:line="1" w:lineRule="exact"/>
        <w:rPr>
          <w:rFonts w:ascii="Arial" w:cs="Arial" w:eastAsia="Arial" w:hAnsi="Arial"/>
          <w:sz w:val="16"/>
          <w:szCs w:val="16"/>
          <w:color w:val="auto"/>
        </w:rPr>
      </w:pPr>
    </w:p>
    <w:p>
      <w:pPr>
        <w:ind w:left="540" w:right="20"/>
        <w:spacing w:after="0" w:line="250" w:lineRule="auto"/>
        <w:rPr>
          <w:rFonts w:ascii="Arial" w:cs="Arial" w:eastAsia="Arial" w:hAnsi="Arial"/>
          <w:sz w:val="16"/>
          <w:szCs w:val="16"/>
          <w:color w:val="auto"/>
        </w:rPr>
      </w:pPr>
      <w:r>
        <w:rPr>
          <w:rFonts w:ascii="Arial" w:cs="Arial" w:eastAsia="Arial" w:hAnsi="Arial"/>
          <w:sz w:val="18"/>
          <w:szCs w:val="18"/>
          <w:color w:val="auto"/>
        </w:rPr>
        <w:t>In the period in which the Company’s liquidity event occurs (e.g., in connection with the IPO), the Company recorded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1"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Arial" w:cs="Arial" w:eastAsia="Arial" w:hAnsi="Arial"/>
          <w:sz w:val="16"/>
          <w:szCs w:val="16"/>
          <w:i w:val="1"/>
          <w:iCs w:val="1"/>
          <w:color w:val="auto"/>
        </w:rPr>
        <w:t>Equity and Unit-Based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to our audited consolidated financial statements included elsewhere in this prospectus. The grant date fair value of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3" w:lineRule="exact"/>
        <w:rPr>
          <w:rFonts w:ascii="Arial" w:cs="Arial" w:eastAsia="Arial" w:hAnsi="Arial"/>
          <w:sz w:val="16"/>
          <w:szCs w:val="16"/>
          <w:color w:val="auto"/>
        </w:rPr>
      </w:pPr>
    </w:p>
    <w:p>
      <w:pPr>
        <w:ind w:left="540" w:right="480" w:hanging="424"/>
        <w:spacing w:after="0" w:line="250"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annual incentive bonus amounts earned by each Named Executive Officer pursuant to the Executive Team Bonus Plan for 2019.</w:t>
      </w:r>
    </w:p>
    <w:p>
      <w:pPr>
        <w:ind w:left="540" w:hanging="424"/>
        <w:spacing w:after="0"/>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For a description of our perquisites, see “Other Compensation—Perquisites and Other Benefits” in this Compensation Discussion and Analysis.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color w:val="auto"/>
        </w:rPr>
        <w:t>“All Other Compensation” for Mr. Hicks includes the following perquisites, pursuant to Mr. Hicks’ employment agreement and which were approved by the Compensation Committee:</w:t>
      </w:r>
    </w:p>
    <w:p>
      <w:pPr>
        <w:spacing w:after="0" w:line="62" w:lineRule="exact"/>
        <w:rPr>
          <w:sz w:val="20"/>
          <w:szCs w:val="20"/>
          <w:color w:val="auto"/>
        </w:rPr>
      </w:pPr>
    </w:p>
    <w:p>
      <w:pPr>
        <w:ind w:left="1100" w:right="80" w:firstLine="7"/>
        <w:spacing w:after="0" w:line="342" w:lineRule="auto"/>
        <w:tabs>
          <w:tab w:leader="none" w:pos="131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$49,341 for monthly rent and utilities costs (including electric, gas, water, alarm, cable, housekeeping and internet but excluding meals and laundry) for a furnished rental apartment in the Katy, Texas area, which includes a $57,638 tax-gross up on these amounts;</w:t>
      </w:r>
    </w:p>
    <w:p>
      <w:pPr>
        <w:spacing w:after="0" w:line="15" w:lineRule="exact"/>
        <w:rPr>
          <w:rFonts w:ascii="Arial" w:cs="Arial" w:eastAsia="Arial" w:hAnsi="Arial"/>
          <w:sz w:val="16"/>
          <w:szCs w:val="16"/>
          <w:color w:val="auto"/>
        </w:rPr>
      </w:pPr>
    </w:p>
    <w:p>
      <w:pPr>
        <w:ind w:left="1100" w:right="120" w:firstLine="7"/>
        <w:spacing w:after="0" w:line="263" w:lineRule="auto"/>
        <w:tabs>
          <w:tab w:leader="none" w:pos="13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$14,002 for use of a Company-owned vehicle when in Katy, Texas with satellite radio and all maintenance and insurance costs with respect to such vehicle (calculated as described below), which includes a $16,959 tax gross-up on the cost of the Company vehicle usage; and</w:t>
      </w:r>
    </w:p>
    <w:p>
      <w:pPr>
        <w:spacing w:after="0" w:line="75" w:lineRule="exact"/>
        <w:rPr>
          <w:rFonts w:ascii="Arial" w:cs="Arial" w:eastAsia="Arial" w:hAnsi="Arial"/>
          <w:sz w:val="18"/>
          <w:szCs w:val="18"/>
          <w:color w:val="auto"/>
        </w:rPr>
      </w:pPr>
    </w:p>
    <w:p>
      <w:pPr>
        <w:ind w:left="1100" w:right="180" w:firstLine="7"/>
        <w:spacing w:after="0" w:line="311" w:lineRule="auto"/>
        <w:tabs>
          <w:tab w:leader="none" w:pos="1415" w:val="left"/>
        </w:tabs>
        <w:numPr>
          <w:ilvl w:val="0"/>
          <w:numId w:val="121"/>
        </w:numPr>
        <w:rPr>
          <w:rFonts w:ascii="Arial" w:cs="Arial" w:eastAsia="Arial" w:hAnsi="Arial"/>
          <w:sz w:val="16"/>
          <w:szCs w:val="16"/>
          <w:color w:val="auto"/>
        </w:rPr>
      </w:pPr>
      <w:r>
        <w:rPr>
          <w:rFonts w:ascii="Arial" w:cs="Arial" w:eastAsia="Arial" w:hAnsi="Arial"/>
          <w:sz w:val="16"/>
          <w:szCs w:val="16"/>
          <w:color w:val="auto"/>
        </w:rPr>
        <w:t>$744,754 for expenses incurred in connection with commuting from his residence in California to Katy, Texas (including jet card payments for private air travel, cost of meals on the flights and $3,314 for transportation to and from airports), which includes a $54,545 tax-gross up on the cost of flights and a $3,954 tax-gross up on the cost of transportation to and from his flights to his home.</w:t>
      </w:r>
    </w:p>
    <w:p>
      <w:pPr>
        <w:spacing w:after="0" w:line="41" w:lineRule="exact"/>
        <w:rPr>
          <w:sz w:val="20"/>
          <w:szCs w:val="20"/>
          <w:color w:val="auto"/>
        </w:rPr>
      </w:pPr>
    </w:p>
    <w:p>
      <w:pPr>
        <w:jc w:val="both"/>
        <w:ind w:left="560" w:right="380"/>
        <w:spacing w:after="0" w:line="342" w:lineRule="auto"/>
        <w:rPr>
          <w:sz w:val="20"/>
          <w:szCs w:val="20"/>
          <w:color w:val="auto"/>
        </w:rPr>
      </w:pPr>
      <w:r>
        <w:rPr>
          <w:rFonts w:ascii="Arial" w:cs="Arial" w:eastAsia="Arial" w:hAnsi="Arial"/>
          <w:sz w:val="16"/>
          <w:szCs w:val="16"/>
          <w:color w:val="auto"/>
        </w:rPr>
        <w:t>“All Other Compensation” for Mr. Hicks also includes: (i) $5,000 for financial planning services; (ii) $1,835 in connection with an executive physical and $2,032 in related tax gross-up; and (iii) $21,884 for the employer matching contribution by the Company under our 401(k) plan.</w:t>
      </w:r>
    </w:p>
    <w:p>
      <w:pPr>
        <w:spacing w:after="0" w:line="1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79"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“All Other Compensation” for Mr. Mullican includes: (i) $16,867 for the employer matching contribution by the Company under our 401(k) plan; (ii) $1,800 in connection with an executive physical; and (iii) $5,000 in connection with financial planning.</w:t>
      </w:r>
    </w:p>
    <w:p>
      <w:pPr>
        <w:spacing w:after="0" w:line="62"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color w:val="auto"/>
        </w:rPr>
        <w:t>“All Other Compensation” for Mr. Johnson includes: (i) $20,390 in relocation-related benefits and $14,722 in related tax gross-ups; (ii) $1,800 in connection with an executive physical; and (iii) $16,955 for the employer matching contribution by the Company under our 401(k) plan.</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Other Compensation” for Mr. Attaway includes: (i) $16,859 for the employer matching contribution by the Company under our 401(k) plan;</w:t>
      </w:r>
    </w:p>
    <w:p>
      <w:pPr>
        <w:spacing w:after="0" w:line="46" w:lineRule="exact"/>
        <w:rPr>
          <w:sz w:val="20"/>
          <w:szCs w:val="20"/>
          <w:color w:val="auto"/>
        </w:rPr>
      </w:pPr>
    </w:p>
    <w:p>
      <w:pPr>
        <w:ind w:left="560" w:right="340" w:hanging="4"/>
        <w:spacing w:after="0" w:line="260" w:lineRule="auto"/>
        <w:tabs>
          <w:tab w:leader="none" w:pos="8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$1,800 in connection with an executive physical; (iii) $5,000 in connection with financial planning; and (iv) $2,545 in connection with tax preparation assistance.</w:t>
      </w:r>
    </w:p>
    <w:p>
      <w:pPr>
        <w:spacing w:after="0" w:line="77"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 Accordingly, no amount is shown for this perquisite under the “All Other Compensation” column.</w:t>
      </w:r>
    </w:p>
    <w:p>
      <w:pPr>
        <w:spacing w:after="0" w:line="77" w:lineRule="exact"/>
        <w:rPr>
          <w:sz w:val="20"/>
          <w:szCs w:val="20"/>
          <w:color w:val="auto"/>
        </w:rPr>
      </w:pPr>
    </w:p>
    <w:p>
      <w:pPr>
        <w:ind w:left="540" w:right="360" w:hanging="424"/>
        <w:spacing w:after="0" w:line="277"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Mr. Lawrence commenced employment with us on February 11, 2019, after the beginning of the 2019 fiscal year. He did not participate in the 401(k) plan in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 WITH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entered into an employment agreement with each of our Named Executive Officers and certain other members of senior management to help ensure the retention of those executive officers critical to the future success of the Company. Each employment agreement sets forth standard terms summarizing annual base salary, bonus and benefits.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Each of Messrs. Hicks, Mullican, Lawrence, and Johnson are subject to the following restrictive covenants under their applicable employment agreements: (i) confidentiality during employment and perpetually upon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termination, (ii) irrevocable assignment of all rights of any intellectual property created during employment to the Company, (iii) non-competition during employment and for 24 months following termination, and (iv) non-solicitation of employees, no hire, and non-solicitation of customers for 24 months following termination. Mr. Attaway is subject to the following restrictive covenants under his employment agreement: (i) confidentiality during employment and perpetually upon termination, (ii) non-competition during employment and for six months following termination (or, if applicable, during the 24 month period following a qualifying termination of employment where he is entitled to severance payments), and (iii) non-solicitation of employees and non-interference with the Company’s business for six months following termination (or, if applicable, during the 24 month period following a qualifying termination of employment where he is entitled to severance payments).</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to the below, each of the employment agreements also provides for certain severance payments that may be due following termination of employment under certain circumstances, subject to execution of a release of claims and compliance with certain restrictive covenants, described under the heading “Potential Payments upon Termination of Employment or Change of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Hicks Employment Agreement</w:t>
      </w:r>
    </w:p>
    <w:p>
      <w:pPr>
        <w:spacing w:after="0" w:line="11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Pursuant to Mr. Hicks’ employment agreement, dated August 2, 2018, he serves as the President, Chief Executive Officer of the Company and Chairman of the Board, or the Hicks Employment Agreement. The following terms and events are provided by the Hicks Employment Agreement.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Hicks Employment Agreement has no specified employment term and may be terminated by either the Company or Mr. Hicks with a written notice of termination.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Mr. Hicks is entitled to an initial base salary of $1,100,000 (unchanged in 2020), which may be increased at the discretion of the Board or Compensation Committee. In addition, he is eligible to participate in the Executive Team Bonus Plan, pursuant to which he has a target bonus opportunity equal to 150% (unchanged in 2020) of his annual base salary, with a threshold bonus equal to 50% of the annual target bonus opportunity, if he does not achieve annual target performance goals, but achieves threshold performance targets as established by the Board or Compensation Committee, and a maximum bonus equal to 300% of his annual target bonus opportunity, if he achieves superior performance targets as established by the Board or Compensation Committee.</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Mr. Hicks is entitled to reimbursement for all reasonable business, entertainment and travel expenses incurred in performing services under the Hicks Employment Agreement in accordance with the Company’s expense reimbursement policy, including all travel expenses while away from the Katy, Texas area on business or at the request of and in the service of the Company.</w:t>
      </w:r>
    </w:p>
    <w:p>
      <w:pPr>
        <w:spacing w:after="0" w:line="184"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During Mr. Hicks’ employment: (i) the Company shall pay directly or reimburse him for reasonable monthly rent and utilities costs (including electric, gas, water, alarm, cable, housekeeping and internet but excluding meals and laundry) for a furnished rental apartment in the Katy, Texas area,</w:t>
      </w:r>
    </w:p>
    <w:p>
      <w:pPr>
        <w:ind w:left="120" w:right="40" w:hanging="4"/>
        <w:spacing w:after="0" w:line="292" w:lineRule="auto"/>
        <w:tabs>
          <w:tab w:leader="none" w:pos="385" w:val="left"/>
        </w:tabs>
        <w:numPr>
          <w:ilvl w:val="0"/>
          <w:numId w:val="124"/>
        </w:numPr>
        <w:rPr>
          <w:rFonts w:ascii="Arial" w:cs="Arial" w:eastAsia="Arial" w:hAnsi="Arial"/>
          <w:sz w:val="16"/>
          <w:szCs w:val="16"/>
          <w:color w:val="auto"/>
        </w:rPr>
      </w:pPr>
      <w:r>
        <w:rPr>
          <w:rFonts w:ascii="Arial" w:cs="Arial" w:eastAsia="Arial" w:hAnsi="Arial"/>
          <w:sz w:val="16"/>
          <w:szCs w:val="16"/>
          <w:color w:val="auto"/>
        </w:rPr>
        <w:t>he shall have use of a company-owned vehicle when in Katy, Texas with satellite radio and all maintenance and insurance costs with respect to such vehicle, and (iii) the Company shall pay directly or reimburse him on a monthly basis for reasonable and necessary expenses incurred by Mr. Hicks in connection with commuting from his residence in California to Katy, Texas (including jet card payments for private air travel, cost of meals on the flights and transportation to and from airports).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Mullican Employment Agreement</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Pursuant to Mr. Mullican’s employment agreement, dated January 6, 2017 and amended on December 11, 2017, he serves as Executive Vice President and Chief Financial Officer of the Company, or the Mullican Employment Agreement. The following terms and events are provided by the Mullican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Mullican Employment Agreement provides that Mr. Mullican’s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Mullican.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Mr. Mullican is entitled to an initial base salary of $475,000 ($508,000 in 2020), which may be increased at the discretion of the Board or Compensation Committee. In addition, he is eligible to participate in the Executive Team Bonus Plan, pursuant to which he has a target bonus opportunity equal to 100% of his annual base salary (unchanged in 2020), if he achieves pre-established performance targets, as determined by the Board or Compensation Committee.</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addition, Mr. Mullican is entitled to reimbursement for all reasonable business, entertainment and travel expenses incurred in performing services under the Mullican Employment Agreement in accordance with the Company’s expense reimbursement policy, including all travel expenses while away from home on business or at the request of and in the service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Lawrence Employment Agreement</w:t>
      </w:r>
    </w:p>
    <w:p>
      <w:pPr>
        <w:spacing w:after="0" w:line="11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Pursuant to Mr. Lawrence’s employment agreement, dated January 29, 2019, he serves as Executive Vice President and Chief Merchandising Officer of the Company, or the Lawrence Employment Agreement. The following terms and events are provided by the Lawrence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Lawrence Employment Agreement has no specified employment term and may be terminated by either the Company or Mr. Lawrence with a written notice of termination.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Mr. Lawrence is entitled to an initial base salary of $685,000 ($730,000 in 2020), which may be increased at the discretion of the Board or the Compensation Committee. In addition, he is eligible to participate in the Executive Team Bonus Plan, pursuant to which he has a target bonus opportunity equal to 120% of his annual base salary (unchanged in 2020), if he achieves pre-established performance targets, as determined by the Board or Compensation Committee.</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the Lawrence Employment Agreement, Mr. Lawrence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the employment agreement), in either case, before February 11, 2020, he would have been required to repay to the Company a pro-rated portion of the gross amount of the sign-on bonus, calculated based on the number of whole months remaining in such 12 month period from the termination date.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Mr. Lawrence is entitled to reimbursement for all reasonable business, entertainment and travel expenses incurred in performing services under the Lawrence Employment Agreement in accordance with the Company’s expense reimbursement policy, including all travel expenses while away from home on business or at the request of and in the service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Johnson Employment Agreement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Mr. Johnson’s employment agreement, dated April 17, 2017, he serves as Executive Vice President-Retail Operations of the Company, or the Johnson Employment Agreement. The following terms and events are provided by his employment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Johnson Employment Agreement provides that Mr. Johnson’s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Johnson.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Mr. Johnson is entitled to an initial base salary of $425,000 ($498,500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Mr. Johnson is entitled to reimbursement for all reasonable business, entertainment and travel expenses incurred in performing services under the Johnson Employment Agreement in accordance with the Company’s expense reimbursement policy, including all travel expenses while away from home on business or at the request of and in the service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Attaway Employment Agreement</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Pursuant to Mr. Attaway’s employment agreement dated July 1, 2009, as amended and restated on August 30, 2011 and further amended on August 6, 2012, he served as Executive Vice President, Operations of the Company and since October 2013 serves as our Executive Vice President, Chief Operations Officer, or the Attaway Employment Agreement. The following terms and events are provided by his employment agreement.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Attaway Employment Agreement provides that Mr. Attaway’s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Attaway.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Mr. Attaway is entitled to an initial base salary of $325,000 ($465,500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In addition, Mr. Attaway is entitled to reimbursement for all reasonable business expenses incurred in performing services under the Attaway Employment Agreement in accordance with the Company’s expense reimbursement policy, including all travel expenses while away from home on business or at the request of and in the service of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 BASED AWARDS IN 2019</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following table provides information with regard to each grant of plan-based awards made to a Named Executive Officer under any plan during the fiscal year ended February 1, 2020. For additional information regarding non-equity incentive plan awards, please see “—Executive Team Bonus Plan.” For additional information regarding equity incentive plan awards, please see “Long-Term Equity Incentive Compensation—Equity Awards under 2011 Equity Plan.”</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Grants of Plan Based Awards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Estimated Future Payouts</w:t>
            </w:r>
          </w:p>
        </w:tc>
        <w:tc>
          <w:tcPr>
            <w:tcW w:w="2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Estimated Future Payouts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224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Incentive Plan Awards(1)</w:t>
            </w:r>
          </w:p>
        </w:tc>
        <w:tc>
          <w:tcPr>
            <w:tcW w:w="2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Incentive Plan Awards(3)</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or Base</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 of</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Award</w:t>
            </w: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Threshold</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Maximum</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Threshold</w:t>
            </w: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6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t>
            </w:r>
          </w:p>
        </w:tc>
        <w:tc>
          <w:tcPr>
            <w:tcW w:w="1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8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Type</w:t>
            </w:r>
          </w:p>
        </w:tc>
        <w:tc>
          <w:tcPr>
            <w:tcW w:w="7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Date(2)</w:t>
            </w: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4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1"/>
              </w:rPr>
              <w:t>Options (#)</w:t>
            </w:r>
          </w:p>
        </w:tc>
        <w:tc>
          <w:tcPr>
            <w:tcW w:w="6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share)</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0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Ken C. Hicks</w:t>
            </w:r>
          </w:p>
        </w:tc>
        <w:tc>
          <w:tcPr>
            <w:tcW w:w="74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Annual</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825,000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1,650,000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4,950,000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694,301</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1,881,555</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119,962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341,969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926,735</w:t>
            </w:r>
          </w:p>
        </w:tc>
        <w:tc>
          <w:tcPr>
            <w:tcW w:w="0" w:type="dxa"/>
            <w:vAlign w:val="bottom"/>
          </w:tcPr>
          <w:p>
            <w:pPr>
              <w:spacing w:after="0"/>
              <w:rPr>
                <w:sz w:val="1"/>
                <w:szCs w:val="1"/>
                <w:color w:val="auto"/>
              </w:rPr>
            </w:pPr>
          </w:p>
        </w:tc>
      </w:tr>
      <w:tr>
        <w:trPr>
          <w:trHeight w:val="130"/>
        </w:trPr>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Michael P. Mullican</w:t>
            </w: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243,911</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487,822</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975,644</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138,861</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383,256</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23,992</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68,393</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188,080</w:t>
            </w: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Steve P. Lawrence</w:t>
            </w: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414,438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828,876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1,657,752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411,270</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1,135,105</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37,488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106,865</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293,878</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5"/>
              </w:rPr>
              <w:t>Restricted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rPr>
              <w:t>Units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142,586</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Sam J. Johnson</w:t>
            </w: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231,920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463,840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927,680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121,504</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335,351</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20,993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59,844</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164,571</w:t>
            </w:r>
          </w:p>
        </w:tc>
        <w:tc>
          <w:tcPr>
            <w:tcW w:w="0" w:type="dxa"/>
            <w:vAlign w:val="bottom"/>
          </w:tcPr>
          <w:p>
            <w:pPr>
              <w:spacing w:after="0"/>
              <w:rPr>
                <w:sz w:val="1"/>
                <w:szCs w:val="1"/>
                <w:color w:val="auto"/>
              </w:rPr>
            </w:pPr>
          </w:p>
        </w:tc>
      </w:tr>
      <w:tr>
        <w:trPr>
          <w:trHeight w:val="130"/>
        </w:trPr>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Ken D. Attaway</w:t>
            </w: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223,247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446,495</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892,990</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112,824</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311,394</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19,493</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55,570</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152,817</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2"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Amounts in the “Estimated Future Payouts Under Non-Equity Incentive Plan Awards” column relate to amounts payable to each Named Executive Officer in 2019 under our Executive Team Bonus Plan at threshold, target and maximum levels of performance, in each case calculated by multiplying each Named Executive Officer’s weighted average base salary for 2019 (assuming for this purpose the number of days determined by subtracting the last day of the fiscal year from the first day) by the applicable percentage at which the bonus would pay out based on the combined weighted achievement of the Company and individual performance metrics at each such level. The actual amounts paid to our Named Executive Officers are set forth in the “Summary Compensation Table” above and the calculation of the actual amounts paid is discussed more fully in “— Executive Team Bonus Plan” above.</w:t>
      </w:r>
    </w:p>
    <w:p>
      <w:pPr>
        <w:spacing w:after="0" w:line="5"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vesting schedule applicable to each Time Option, Performance Option, and Restricted Unit award is set forth in the “—Outstanding Equity Awards at Fiscal Year End Table” table.</w:t>
      </w:r>
    </w:p>
    <w:p>
      <w:pPr>
        <w:ind w:left="540" w:hanging="424"/>
        <w:spacing w:after="0"/>
        <w:tabs>
          <w:tab w:leader="none" w:pos="54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target level of achievement is the highest level of achievement possible under the equity incentive plan awards listed in this table.</w:t>
      </w:r>
    </w:p>
    <w:p>
      <w:pPr>
        <w:spacing w:after="0" w:line="20"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amounts reported in this column do not reflect the actual economic value realized by the Named Executive Officer. 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Arial" w:cs="Arial" w:eastAsia="Arial" w:hAnsi="Arial"/>
          <w:sz w:val="16"/>
          <w:szCs w:val="16"/>
          <w:i w:val="1"/>
          <w:iCs w:val="1"/>
          <w:color w:val="auto"/>
        </w:rPr>
        <w:t>Equity and Unit-Based Compensation</w:t>
      </w:r>
      <w:r>
        <w:rPr>
          <w:rFonts w:ascii="Arial" w:cs="Arial" w:eastAsia="Arial" w:hAnsi="Arial"/>
          <w:sz w:val="16"/>
          <w:szCs w:val="16"/>
          <w:color w:val="auto"/>
        </w:rPr>
        <w:t xml:space="preserve"> to our audited consolidated financial statements incorporated by reference in this prospectus. The grant date fair value of the Performance 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4"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w:t>
      </w:r>
    </w:p>
    <w:p>
      <w:pPr>
        <w:spacing w:after="0" w:line="1" w:lineRule="exact"/>
        <w:rPr>
          <w:rFonts w:ascii="Arial" w:cs="Arial" w:eastAsia="Arial" w:hAnsi="Arial"/>
          <w:sz w:val="16"/>
          <w:szCs w:val="16"/>
          <w:color w:val="auto"/>
        </w:rPr>
      </w:pPr>
    </w:p>
    <w:p>
      <w:pPr>
        <w:ind w:left="540"/>
        <w:spacing w:after="0" w:line="253" w:lineRule="auto"/>
        <w:rPr>
          <w:rFonts w:ascii="Arial" w:cs="Arial" w:eastAsia="Arial" w:hAnsi="Arial"/>
          <w:sz w:val="16"/>
          <w:szCs w:val="16"/>
          <w:color w:val="auto"/>
        </w:rPr>
      </w:pPr>
      <w:r>
        <w:rPr>
          <w:rFonts w:ascii="Arial" w:cs="Arial" w:eastAsia="Arial" w:hAnsi="Arial"/>
          <w:sz w:val="18"/>
          <w:szCs w:val="18"/>
          <w:color w:val="auto"/>
        </w:rPr>
        <w:t>In the period in which the Company’s liquidity event occurs (e.g., in connection with the IPO), the Company recorded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2019 FISCAL YEAR END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with regard to each outstanding equity award held by the Named Executive Officers on February 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 End Table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Incentive</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Incentive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Units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Unearned</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Shares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or Units</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Stock</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Units or</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Stock</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That</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that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Have</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Rights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Grant</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Unearned</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That Have</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04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Options</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98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Date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0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0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20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Date(4)</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(#)(5)</w:t>
            </w:r>
          </w:p>
        </w:tc>
        <w:tc>
          <w:tcPr>
            <w:tcW w:w="2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4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Ken C. Hicks</w:t>
            </w:r>
          </w:p>
        </w:tc>
        <w:tc>
          <w:tcPr>
            <w:tcW w:w="8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9/16/2018</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ind w:left="66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center"/>
              <w:ind w:left="168"/>
              <w:spacing w:after="0" w:line="13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6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200"/>
              <w:spacing w:after="0" w:line="135" w:lineRule="exact"/>
              <w:rPr>
                <w:sz w:val="20"/>
                <w:szCs w:val="20"/>
                <w:color w:val="auto"/>
              </w:rPr>
            </w:pPr>
            <w:r>
              <w:rPr>
                <w:rFonts w:ascii="Arial" w:cs="Arial" w:eastAsia="Arial" w:hAnsi="Arial"/>
                <w:sz w:val="14"/>
                <w:szCs w:val="14"/>
                <w:color w:val="auto"/>
                <w:w w:val="86"/>
              </w:rPr>
              <w:t>735,295</w:t>
            </w: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4,036,769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9/16/2018(7)</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226,674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291,461</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5.44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9/16/2028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9/16/2018(8)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259,068</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5.44</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9/16/2028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3/7/2019(9)</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144,640</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549,661</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3/7/2019(10)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341,969</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Michael P. Mullican</w:t>
            </w: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1"/>
              </w:rPr>
              <w:t>3/23/2017(11)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49,261</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49,262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3/23/2017(12)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13,916</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13,916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21,429</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4/5/2018(13)</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32,206</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96,619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4/5/2018(14)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64,412</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6/22/2018</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377,359</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2,071,700</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3/7/2019(15)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138,861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3/7/2019(16)</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68,393</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Steve P. Lawrence</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142,586</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782,797</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3/7/2019(17)</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411,270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3/7/2019(18)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106,865</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Sam J. Johnson</w:t>
            </w: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6/6/2017(19)</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36,946</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36,946</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6/6/2027</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6/6/2017(20)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10,436</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10,438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16,072</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6/6/2027</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4/5/2018(21)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26,167</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78,503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4/5/2018(22)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52,335</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6/22/2018</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235,850</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1,294,816</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3/7/2019(23)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121,504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3/7/2019(24)</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59,844</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 D. Attaway</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7/2/2015(25)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650,000</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1.66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8/30/2021</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7/2/2015(26)</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650,000</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1.66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8/30/2021</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3/27/2016(27)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88,752</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29,585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3/27/2026</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1"/>
              </w:rPr>
              <w:t>3/23/2017(28)</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61,576</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61,578</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3/23/2017(29)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17,394</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17,396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26,786</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4/5/2018(30)</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28,180</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84,542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4/5/2018(31)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56,361</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6/22/2018</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141,510</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776,889</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3/7/2019(32)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112,824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3/7/2019(33)</w:t>
            </w:r>
          </w:p>
        </w:tc>
        <w:tc>
          <w:tcPr>
            <w:tcW w:w="16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55,570</w:t>
            </w:r>
          </w:p>
        </w:tc>
        <w:tc>
          <w:tcPr>
            <w:tcW w:w="740" w:type="dxa"/>
            <w:vAlign w:val="bottom"/>
            <w:gridSpan w:val="2"/>
          </w:tcPr>
          <w:p>
            <w:pPr>
              <w:jc w:val="center"/>
              <w:ind w:left="8"/>
              <w:spacing w:after="0"/>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480" w:right="2220" w:hanging="5364"/>
        <w:spacing w:after="0" w:line="449" w:lineRule="auto"/>
        <w:tabs>
          <w:tab w:leader="none" w:pos="53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numbers in this column represent vested Time Options and vested Performance Options as of February 1, 2020. 156</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hanging="424"/>
        <w:spacing w:after="0" w:line="258"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numbers in this column represent (i) unvested Time Options as of February 1, 2020, or (ii) Performance Options which became Earned and are subject to time vesting.</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numbers in this column represent unvested Performance Options that are not Earned as of February 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expiration date for each of the Options is the date that is ten years after the initial grant date.</w:t>
      </w:r>
    </w:p>
    <w:p>
      <w:pPr>
        <w:spacing w:after="0" w:line="9" w:lineRule="exact"/>
        <w:rPr>
          <w:rFonts w:ascii="Arial" w:cs="Arial" w:eastAsia="Arial" w:hAnsi="Arial"/>
          <w:sz w:val="18"/>
          <w:szCs w:val="18"/>
          <w:color w:val="auto"/>
        </w:rPr>
      </w:pPr>
    </w:p>
    <w:p>
      <w:pPr>
        <w:jc w:val="both"/>
        <w:ind w:left="540" w:hanging="424"/>
        <w:spacing w:after="0" w:line="281" w:lineRule="auto"/>
        <w:tabs>
          <w:tab w:leader="none" w:pos="5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All of the Restricted Units granted to each Named Executive Officer are reported in this column because they are subject to a liquidity event-based vesting condition, which were satisfied upon the closing of the IPO, in addition to any other vesting conditions that continue to apply. The service-based vesting condition and liquidity event-based vesting condition and, if applicable, other performance-based vesting conditions, for each award of Restricted Units is described in “Long-Term Equity Incentive Compensation—Equity Awards under 2011 Equity Plan—Restricted Units.”</w:t>
      </w:r>
    </w:p>
    <w:p>
      <w:pPr>
        <w:spacing w:after="0" w:line="2"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market value of our Membership Units as of February 1, 2020, as approved by the Board on March 5, 2020, is based on the most recently completed independent third party valuation of the Membership Units (as of January 4, 2020). The market value of the Membership Units as of February 1, 2020 is equal to $5.49 per Membership Unit, or the Market Value Per Membership Unit.</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Time Options granted to Mr. Hicks under the 2018 CEO Option Agreement vest as follows: 1/48</w:t>
      </w:r>
      <w:r>
        <w:rPr>
          <w:rFonts w:ascii="Arial" w:cs="Arial" w:eastAsia="Arial" w:hAnsi="Arial"/>
          <w:sz w:val="15"/>
          <w:szCs w:val="15"/>
          <w:color w:val="auto"/>
        </w:rPr>
        <w:t>th</w:t>
      </w:r>
      <w:r>
        <w:rPr>
          <w:rFonts w:ascii="Arial" w:cs="Arial" w:eastAsia="Arial" w:hAnsi="Arial"/>
          <w:sz w:val="18"/>
          <w:szCs w:val="18"/>
          <w:color w:val="auto"/>
        </w:rPr>
        <w:t xml:space="preserve"> of the Time Options become vested and exercisable on each monthly anniversary of the vesting commencement date (April 5, 2018), subject to continued employment through the applicable vesting date.</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of the 2019 fiscal year end, the Performance Options granted to Mr. Hicks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Time Options granted to Mr. Hicks under the 2019 CEO Option Agreement vest as follows: 1/48</w:t>
      </w:r>
      <w:r>
        <w:rPr>
          <w:rFonts w:ascii="Arial" w:cs="Arial" w:eastAsia="Arial" w:hAnsi="Arial"/>
          <w:sz w:val="13"/>
          <w:szCs w:val="13"/>
          <w:color w:val="auto"/>
        </w:rPr>
        <w:t>th</w:t>
      </w:r>
      <w:r>
        <w:rPr>
          <w:rFonts w:ascii="Arial" w:cs="Arial" w:eastAsia="Arial" w:hAnsi="Arial"/>
          <w:sz w:val="16"/>
          <w:szCs w:val="16"/>
          <w:color w:val="auto"/>
        </w:rPr>
        <w:t xml:space="preserve"> of the Time Options become vested and exercisable on each monthly anniversary of the grant date, subject to continued employment through the applicable vesting date.</w:t>
      </w:r>
    </w:p>
    <w:p>
      <w:pPr>
        <w:spacing w:after="0" w:line="1"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Performance Options granted to Mr. Hicks under the 2019 CEO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were Earned and will vest pursuant to the applicable time vesting provisions for Performance Options in the 2019 CEO Option Agreement.</w:t>
      </w:r>
    </w:p>
    <w:p>
      <w:pPr>
        <w:ind w:left="540" w:right="80" w:hanging="424"/>
        <w:spacing w:after="0" w:line="265" w:lineRule="auto"/>
        <w:tabs>
          <w:tab w:leader="none" w:pos="5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Time Options granted to Mr. Mullican under the 2017 Executive Option Agreement vest as follows: 25% of the Time Options become vested and exercisable on each anniversary of the grant date, subject to continued employment through the applicable vesting date.</w:t>
      </w:r>
    </w:p>
    <w:p>
      <w:pPr>
        <w:ind w:left="540" w:hanging="424"/>
        <w:spacing w:after="0" w:line="251"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Performance Options granted to Mr. Mullican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80" w:hanging="424"/>
        <w:spacing w:after="0" w:line="265"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Time Options granted to Mr. Mullican under the 2018 Executive Option Agreement vest as follows: 25% of the Time Options become vested and exercisable on each anniversary of the grant date, subject to continued employment through the applicable vesting date.</w:t>
      </w:r>
    </w:p>
    <w:p>
      <w:pPr>
        <w:ind w:left="540" w:right="200" w:hanging="424"/>
        <w:spacing w:after="0" w:line="265"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As of the 2019 fiscal year end, the Performance Options granted to Mr. Mullican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ind w:left="540" w:right="80" w:hanging="424"/>
        <w:spacing w:after="0" w:line="265"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Time Options granted to Mr. Mullican under the 2019 Executive Option Agreement vest as follows: 25% of the Time Options become vested and exercisable on each anniversary of the grant date, subject to continued employment through the applicable vesting date.</w:t>
      </w:r>
    </w:p>
    <w:p>
      <w:pPr>
        <w:ind w:left="540" w:hanging="424"/>
        <w:spacing w:after="0" w:line="281"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Performance Options granted to Mr. Mullican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3" w:lineRule="exact"/>
        <w:rPr>
          <w:rFonts w:ascii="Arial" w:cs="Arial" w:eastAsia="Arial" w:hAnsi="Arial"/>
          <w:sz w:val="16"/>
          <w:szCs w:val="16"/>
          <w:color w:val="auto"/>
        </w:rPr>
      </w:pPr>
    </w:p>
    <w:p>
      <w:pPr>
        <w:ind w:left="540" w:right="20" w:hanging="424"/>
        <w:spacing w:after="0" w:line="265"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Time Options granted to Mr. Lawrence under the 2019 Executive Option Agreement vest as follows: 25% of the Time Options become vested and exercisable on each anniversary of the grant date, subject to continued employment through the applicable vesting date.</w:t>
      </w:r>
    </w:p>
    <w:p>
      <w:pPr>
        <w:ind w:left="540" w:right="40" w:hanging="424"/>
        <w:spacing w:after="0" w:line="281"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Performance Options granted to Mr. Lawrence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3" w:lineRule="exact"/>
        <w:rPr>
          <w:rFonts w:ascii="Arial" w:cs="Arial" w:eastAsia="Arial" w:hAnsi="Arial"/>
          <w:sz w:val="16"/>
          <w:szCs w:val="16"/>
          <w:color w:val="auto"/>
        </w:rPr>
      </w:pPr>
    </w:p>
    <w:p>
      <w:pPr>
        <w:ind w:left="540" w:right="140" w:hanging="424"/>
        <w:spacing w:after="0" w:line="265"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Time Options granted to Mr. Johnson under the 2017 Executive Option Agreement vest as follows: 25% of the Time Options become vested and exercisable on each anniversary of the grant date, subject to continued employment through the applicable vesting date.</w:t>
      </w:r>
    </w:p>
    <w:p>
      <w:pPr>
        <w:ind w:left="540" w:hanging="424"/>
        <w:spacing w:after="0" w:line="251"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Performance Options granted to Mr. Johnson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14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Johnson under the 2018 Executive Option Agreement vest as follows: 25% of the Time Options become vested and exercisable on each anniversary of the grant date, subject to continued employment through the applicable vesting date.</w:t>
      </w:r>
    </w:p>
    <w:p>
      <w:pPr>
        <w:ind w:left="540" w:right="20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As of the 2019 fiscal year end, the Performance Options granted to Mr. Johnson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ind w:left="540" w:right="14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Johnson under the 2019 Executive Option Agreement vest as follows: 25% of the Time Options become vested and exercisable on each anniversary of the grant date, subject to continued employment through the applicable vesting date.</w:t>
      </w:r>
    </w:p>
    <w:p>
      <w:pPr>
        <w:ind w:left="540" w:right="40" w:hanging="424"/>
        <w:spacing w:after="0" w:line="281"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Performance Options granted to Mr. Johnson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3"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August 30, 2011, the Company granted 650,000 Time Options with an exercise price of $5.00 to Mr. Attaway pursuant to an Option Agreement under the 2011 Equity Plan. Effective July 2, 2015, the exercise price was repriced down to $1.66, and all other terms with respect to the Time Options remained the same. This award was fully vested as of February 1, 2020.</w:t>
      </w:r>
    </w:p>
    <w:p>
      <w:pPr>
        <w:spacing w:after="0" w:line="1"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On August 30, 2011, the Company granted 650,000 Performance Options with an exercise price of $5.00 to Mr. Attaway pursuant to an Option Agreement under the 2011 Equity Plan. Effective July 2, 2015, the exercise price was repriced down to $1.66, and all other terms with respect to the Performance Options remained the same. This award was fully vested as of February 1, 2020.</w:t>
      </w:r>
    </w:p>
    <w:p>
      <w:pPr>
        <w:spacing w:after="0" w:line="1" w:lineRule="exact"/>
        <w:rPr>
          <w:rFonts w:ascii="Arial" w:cs="Arial" w:eastAsia="Arial" w:hAnsi="Arial"/>
          <w:sz w:val="18"/>
          <w:szCs w:val="18"/>
          <w:color w:val="auto"/>
        </w:rPr>
      </w:pPr>
    </w:p>
    <w:p>
      <w:pPr>
        <w:ind w:left="540" w:right="12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2016 Executive Option Agreement vest as follows: 25% of the Time Options become vested and exercisable on each anniversary of the grant date, subject to continued employment through the applicable vesting date.</w:t>
      </w:r>
    </w:p>
    <w:p>
      <w:pPr>
        <w:ind w:left="540" w:right="12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2017 Executive Option Agreement vest as follows: 25% of the Time Options become vested and exercisable on each anniversary of the grant date, subject to continued employment through the applicable vesting date.</w:t>
      </w:r>
    </w:p>
    <w:p>
      <w:pPr>
        <w:ind w:left="540" w:hanging="424"/>
        <w:spacing w:after="0" w:line="251"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Performance Options granted to Mr. Attaway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12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2018 Executive Option Agreement vest as follows: 25% of the Time Options become vested and exercisable on each anniversary of the grant date, subject to continued employment through the applicable vesting date.</w:t>
      </w:r>
    </w:p>
    <w:p>
      <w:pPr>
        <w:ind w:left="540" w:right="20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of the 2019 fiscal year end, the Performance Options granted to Mr. Attaway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ind w:left="540" w:right="12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2019 Executive Option Agreement vest as follows: 25% of the Time Options become vested and exercisable on each anniversary of the grant date, subject to continued employment through the applicable vesting date.</w:t>
      </w:r>
    </w:p>
    <w:p>
      <w:pPr>
        <w:ind w:left="540" w:right="40" w:hanging="424"/>
        <w:spacing w:after="0" w:line="290" w:lineRule="auto"/>
        <w:tabs>
          <w:tab w:leader="none" w:pos="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Performance Options granted to Mr. Attaway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RESTRICTED UNITS VESTED</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table provides information on Restricted Unit awards that vested, including the number of Membership Units acquired upon vesting and the value realized, determined as described below during the fiscal year ended February 1, 2020. None of the Named Executive Officers exercised any Options during 2019. No Restricted Units held by the Named Executive Officers vested during 2019 except for the Restricted Units held by Mr. Hicks pursuant to the 2018 Independent Non-Employee Director Restricted Unit Agreement, which vested in full on March 6, 2019.</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Fiscal 2019 Restricted Units Vested Table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4"/>
              </w:rPr>
              <w:t>Stock Awards</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60" w:type="dxa"/>
            <w:vAlign w:val="bottom"/>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rPr>
              <w:t>Number of Units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86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2"/>
              </w:rPr>
              <w:t>Vesting (#)(1)</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Ken C. Hicks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19,121</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100,576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80" w:hanging="424"/>
        <w:spacing w:after="0" w:line="25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On March 6, 2018, the Company granted 19,121 Restricted Units to Mr. Hicks pursuant to the 2018 Independent Non-Employee Director Restricted Unit Agreement under the 2011 Equity Plan, which vested in full on March 6, 2019.</w:t>
      </w:r>
    </w:p>
    <w:p>
      <w:pPr>
        <w:spacing w:after="0" w:line="1" w:lineRule="exact"/>
        <w:rPr>
          <w:rFonts w:ascii="Arial" w:cs="Arial" w:eastAsia="Arial" w:hAnsi="Arial"/>
          <w:sz w:val="18"/>
          <w:szCs w:val="18"/>
          <w:color w:val="auto"/>
        </w:rPr>
      </w:pPr>
    </w:p>
    <w:p>
      <w:pPr>
        <w:ind w:left="540" w:right="160" w:hanging="424"/>
        <w:spacing w:after="0" w:line="323" w:lineRule="auto"/>
        <w:tabs>
          <w:tab w:leader="none" w:pos="5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value realized on vesting is based on the number of Membership Units underlying the Restricted Unit award that vested multiplied by the market value per Membership Unit on the vesting date ($5.26), which was based on an independent third party valuation approved by the Board.</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2011 Equity Plan was designed to (i) promote the long term financial interests and growth of the Company and its subsidiaries and affiliates by attracting and retaining management and other personnel with the training, experience and ability to enable them to make a substantial contribution to the success of the Company; (ii) motivate management personnel by means of growth-related incentives to achieve long range goals; and (iii) further the alignment of interests of participants with those of the direct and indirect members of the Company through opportunities for increased equity, or equity-based ownership, in the Company.</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2011 Equity Plan is administered by the Compensation Committee. The Compensation Committee has full power and authority to administer and interpret the 2011 Equity Plan, awards granted under the 2011 Equity Plan and each award agreement, including, without limitation, the power to</w:t>
      </w:r>
    </w:p>
    <w:p>
      <w:pPr>
        <w:ind w:left="120" w:right="520" w:hanging="4"/>
        <w:spacing w:after="0" w:line="281" w:lineRule="auto"/>
        <w:tabs>
          <w:tab w:leader="none" w:pos="33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exercise all of the powers granted to it under the 2011 Equity Plan, (ii) construe, interpret and implement the 2011 Equity Plan and any award agreement, (iii) prescribe, amend and rescind rules and regulations relating to the 2011 Equity Plan, including rules governing its own operations,</w:t>
      </w:r>
    </w:p>
    <w:p>
      <w:pPr>
        <w:spacing w:after="0" w:line="1" w:lineRule="exact"/>
        <w:rPr>
          <w:rFonts w:ascii="Arial" w:cs="Arial" w:eastAsia="Arial" w:hAnsi="Arial"/>
          <w:sz w:val="16"/>
          <w:szCs w:val="16"/>
          <w:color w:val="auto"/>
        </w:rPr>
      </w:pPr>
    </w:p>
    <w:p>
      <w:pPr>
        <w:ind w:left="120" w:right="40" w:hanging="4"/>
        <w:spacing w:after="0" w:line="288" w:lineRule="auto"/>
        <w:tabs>
          <w:tab w:leader="none" w:pos="42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make all determinations necessary or advisable in administering the 2011 Equity Plan, awards and any award agreements, (v) correct any defect, supply any omission and reconcile any inconsistency in the 2011 Equity Plan, awards or any award agreement, (vi) amend the 2011 Equity Plan, awards and any award agreement to reflect changes in applicable law or, without the consent of the participants, make any other amendment not adverse to the participants, (vii) determine from among those persons determined to be eligible for the 2011 Equity Plan, the particular persons who will be participants, (viii) grant awards under the 2011 Equity Plan and determine the terms and conditions of such awards, consistent with the express limitations of the 2011 Equity Plan, (ix) delegate such powers and authority to such persons as it deems appropriate, so long as any such delegation is consistent with applicable law and any guidelines as may be established by the Board from time to time and (x) waive any conditions under any awards.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 Subject to 2011 Equity Plan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2011 Equity Plan provided for the grant of units and unit-based compensation to any employee, director or member, consultant or other service provider of the Company or any of its affiliates who is selected by the Board or the Compensation Committee to participate in the 2011 Equity Plan.</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Prior to the IPO, an award could have been made by the Compensation Committee under the 2011 Equity Plan in the form of Options, in which case the grantee would enter into an award agreement evidencing such award which would include the option exercise period (which period may be no more than 10 years following the date of grant) and the option exercise price (which could not be less than 100% of the fair market value of a Membership Unit on the date the Option was granted) and such other terms, conditions or restrictions on the grant or exercise of the Option as the Compensation Committee deemed appropriate.</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Prior to the IPO, an award could have been made by the Compensation Committee under the 2011 Equity Plan in the form of Restricted Units, phantom Membership Units, warrants or other securities that are convertible, exercisable or exchangeable for or into Membership Units, or based on the fair market value of Membership Units in which case the award agreement evidencing such award would include such terms, conditions or restrictions, as the Compensation Committee deemed appropriate.</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a condition to the exercise, settlement, conversion or exchange of an award into Membership Units, or the grant of an award of Membership Units (including restricted Membership Units), each participant is required to become a party to the Amended and Restated Limited Liability Company Agreement of the New Academy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Holding Company LLC dated as of August 26, 2011, as amended, modified or supplemented from time to time, or the LLC Agreement, and execute such other documents and instruments as are reasonably and customarily required by the Company to evidence compliance with applicable federal and state securities and “blue sky” laws, and the Membership Units acquired were held subject to, and in compliance with, the terms and conditions of the LLC Agreement.</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and Distributions of Awards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Pursuant to the terms of the 2011 Equity Plan, awards are not transferable or assignable by the participant other than by will or by the laws of descent and distribution. An award exercisable after the death of a participant may be exercised by his legatees, personal representative, or distributees.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2011 Equity Plan provides that the Compensation Committee has the authority to make such amendments to any outstanding awards as are consistent with the 2011 Equity Plan, but no such action may modify any award in a manner adverse in any material respect to a participant without the participant’s consent except as such modification is provided for or contemplated in the terms of the award or the 2011 Equity Plan. Other than as specifically provided in any award agreement, the Board may amend, suspend or terminate the 2011 Equity Plan except that no such action may be taken which would, without Member approval, increase the aggregate number of Membership Units available for awards under the 2011 Equity Plan, decrease the price of outstanding awards, change the requirements relating to the Compensation Committee as set forth in the 2011 Equity Plan, or extend the term of the 2011 Equity Plan.</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Events on 2011 Equity Plan and Awards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2011 Equity Plan provides that in the event of any equity split, spin off, equity distribution or dividend (other than regular cash dividends or distributions), equity combination, reclassification, recapitalization, liquidation, dissolution, reorganization, merger, or similar event, the Compensation Committee shall adjust appropriately (i) the number and kind of Membership Units subject to the 2011 Equity Plan, and available for or covered by awards and (ii) the exercise prices of Options and Membership Unit prices related to outstanding awards, and make such other revisions or substitutions to outstanding awards, in each case, as it deems, in good faith, to be equitable or required.</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Treatment of Awards upon Change of Control</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the event of a Change of Control (as defined in the 2011 Equity Plan), the Compensation Committee may, in its sole discretion, provide for one or more of the following: (i) adjust all awards, (ii) accelerate the vesting and/or exercisability of awards, subject to the consummation of such Change of Control, (iii) cancel awards for fair value (as determined in the sole reasonable discretion of the Compensation Committee) which, in the case of Options will not be less than the excess, if any, of the value of the consideration to be paid in the Change of Control transaction to holders of the same number of Membership Units subject to such Option (or, if no consideration is paid in any such transaction, the fair market value of the Membership Units subject to such Option) over the aggregate option price of such Option; (iv) provide for the issuance of substitute awards that will substantially preserve the otherwise applicable terms of any affected awards previously granted thereunder or (v) provide that for a period of at least 20 days prior to the Change of Control and following written notice to any affected participants, the Options will be exercisable as to all Membership Units subject thereto (whether vested or unvested) and that upon the occurrence of the Change of Control, to the extent not theretofore exercised by the participant, such Option will terminate and be of no further force and effect.</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2011 Equity Plan, “Change of Control” is generally defined as (a) the sale of all or substantially all of the assets of the Company or Allstar LLC, or the Managing Member, to any “Person,” as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term is used for purposes of Section 13(d) or 14(d) of the Securities Exchange Act of 1934, as amended (or group of Persons acting in concert), other than to (A) the Managing Member or its affiliates or (B) any employee benefit plan (or trust forming a part thereof) maintained by the Company or its affiliates or other Person of which a majority of its voting power or other equity securities is owned, directly or indirectly, by the Company; (b) a merger, recapitalization or other sale by the Company, or the Managing Member or any of its respective affiliates, to a Person (or group of Persons acting in concert) of equity interests that results in any Person (or group of Persons acting in concert) (other than (A) the Managing Member or its affiliates or</w:t>
      </w:r>
    </w:p>
    <w:p>
      <w:pPr>
        <w:spacing w:after="0" w:line="2" w:lineRule="exact"/>
        <w:rPr>
          <w:sz w:val="20"/>
          <w:szCs w:val="20"/>
          <w:color w:val="auto"/>
        </w:rPr>
      </w:pPr>
    </w:p>
    <w:p>
      <w:pPr>
        <w:ind w:left="120" w:right="20" w:hanging="4"/>
        <w:spacing w:after="0" w:line="286" w:lineRule="auto"/>
        <w:tabs>
          <w:tab w:leader="none" w:pos="40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employee benefit plan (or trust forming a part thereof) maintained by the Company or its affiliates or other Person of which a majority of its voting power or other equity securities is owned, directly or indirectly, by the Company) owning more than 50% of the equity interests or voting power of the Managing Member or the Company (or any resulting company after a merger) or Academy, Ltd.; or (c) any event which results in the KKR 2006 Fund L.P. and its affiliates ceasing to hold the ability to elect a majority of the Board; provided, however, that with respect to any award that constitutes a “nonqualified deferred compensation plan” within the meaning of Section 409A of the Code and that, pursuant to its terms, would vest and/or become settled upon a Change of Control, the foregoing definition shall apply for purposes of vesting of such award, but settlement of each such award in connection with such Change of Control shall not occur until the earliest of (i) a Change of Control if such Change of Control constitutes a “change in the ownership of the corporation,” a “change in effective control of the corporation” or a “change in the ownership of a substantial portion of the assets of the corporation,” within the meaning of Section 409A(a)(2)(A)(v) of the Code; (ii) the date such award would otherwise have been settled pursuant to the terms of the award agreement; and (iii) the participant’s “separation of service” within the meaning of Section 409A.</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Plan</w:t>
      </w:r>
    </w:p>
    <w:p>
      <w:pPr>
        <w:spacing w:after="0" w:line="11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Compensation Committee adopted and our equityholders approved the 2020 Equity Plan. Equity awards under the 2020 Equity Plan are designed to reward our Named Executive Officers for long-term equityholder value creation. The following summary is qualified in its entirety by reference to the 2020 Equity Plan that has been adopted by the Board.</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purpose of the 2020 Equity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equityholders.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2020 Equity Plan is administered by the Compensation Committee. The Compensation Committee is authorized to interpret, administer, reconcile any inconsistency in, correct any defect in and/or supply any omission in the 2020 Equity Plan and any instrument or agreement relating to, or any award granted under, the 2020 Equity Plan; establish, amend, suspend, or waive any rules and regulations and appoint such agents as the Compensation Committee deems appropriate for the proper administration of the 2020 Equity Plan; adopt sub-plans; and to make any other determination and take any other action that the Compensation Committee deems necessary or desirable for the administration of the 2020 Equity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Equity Plan. Unless otherwise expressly provided in the 2020 Equity Plan, all designations, determinations, interpretations, and other decisions under or with respect to the 2020 Equity Plan or any award or any documents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evidencing awards granted pursuant to the 2020 Equity Plan are within the sole discretion of the Compensation Committee, may be made at any time and are final, conclusive and binding upon all persons or entities, including, without limitation, us, any participant, any holder or beneficiary of any award, and any of our equityholders. The Compensation Committee may make grants of awards to eligible persons pursuant to terms and conditions set forth in the applicable award agreement, including subjecting such awards to performance criteria listed in the 2020 Equity Plan.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 Subject to 2020 Equity Plan</w:t>
      </w:r>
    </w:p>
    <w:p>
      <w:pPr>
        <w:spacing w:after="0" w:line="117"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The 2020 Equity Plan provides that the total number of shares of common stock that may be issued under the 2020 Equity Plan is 5,150,000, or the Absolute Share Limit. No more than the number of shares of common stock equal to the Absolute Share Limit may be issued in the aggregate pursuant to the exercise of incentive stock options. The maximum number of shares of common stock granted during a single fiscal year to</w:t>
      </w:r>
    </w:p>
    <w:p>
      <w:pPr>
        <w:spacing w:after="0" w:line="2"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any non-employee director, taken together with any cash fees paid to such non-employee director during the fiscal year, may not exceed $500,000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the 2020 Equity Plan.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the 2020 Equity Plan after the 10</w:t>
      </w:r>
      <w:r>
        <w:rPr>
          <w:rFonts w:ascii="Arial" w:cs="Arial" w:eastAsia="Arial" w:hAnsi="Arial"/>
          <w:sz w:val="13"/>
          <w:szCs w:val="13"/>
          <w:color w:val="auto"/>
        </w:rPr>
        <w:t>th</w:t>
      </w:r>
      <w:r>
        <w:rPr>
          <w:rFonts w:ascii="Arial" w:cs="Arial" w:eastAsia="Arial" w:hAnsi="Arial"/>
          <w:sz w:val="16"/>
          <w:szCs w:val="16"/>
          <w:color w:val="auto"/>
        </w:rPr>
        <w:t xml:space="preserve"> anniversary of the effective date (as defined therein), but awards granted before then may extend beyond that date.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The Compensation Committee may grant non-qualified stock options and incentive stock options, under the 2020 Equity Plan, with terms and conditions determined by the Compensation Committee that are not inconsistent with the 2020 Equity Plan. All stock options granted under the 2020 Equity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Equity Plan is 10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13"/>
          <w:szCs w:val="13"/>
          <w:color w:val="auto"/>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w:t>
      </w:r>
    </w:p>
    <w:p>
      <w:pPr>
        <w:spacing w:after="0" w:line="11" w:lineRule="exact"/>
        <w:rPr>
          <w:sz w:val="20"/>
          <w:szCs w:val="20"/>
          <w:color w:val="auto"/>
        </w:rPr>
      </w:pPr>
    </w:p>
    <w:p>
      <w:pPr>
        <w:ind w:left="120" w:right="180" w:hanging="4"/>
        <w:spacing w:after="0" w:line="260" w:lineRule="auto"/>
        <w:tabs>
          <w:tab w:leader="none" w:pos="4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through a “net exercise” procedure effected by withholding the minimum number of shares needed to pay the exercise price. Any fractional shares of common stock will be settled in cash.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left="120" w:right="200" w:firstLine="440"/>
        <w:spacing w:after="0" w:line="290" w:lineRule="auto"/>
        <w:rPr>
          <w:sz w:val="20"/>
          <w:szCs w:val="20"/>
          <w:color w:val="auto"/>
        </w:rPr>
      </w:pPr>
      <w:r>
        <w:rPr>
          <w:rFonts w:ascii="Arial" w:cs="Arial" w:eastAsia="Arial" w:hAnsi="Arial"/>
          <w:sz w:val="16"/>
          <w:szCs w:val="16"/>
          <w:color w:val="auto"/>
        </w:rPr>
        <w:t>The Compensation Committee may grant stock appreciation rights under the 2020 Equity Plan, with terms and conditions determined by the Compensation Committee that are not inconsistent with the 2020 Equity Plan. The Compensation Committee may award stock appreciation rights in tandem with options or independent of any option. Generally, each stock appreciation right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stock appreciation right. The strike price per share of a stock appreciation right will be determined by the Compensation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Shares and Restricted Stock Units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Equity Plan, the holder will generally have the rights and privileges of an equityholder as to such restricted shares of common stock, including, without limitation, the right to vote such restricted shares of common stock. Participants have no rights or privileges as an equityholder with respect to restricted stock units.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Equity-Based Awards and Cash-Based Awards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Compensation Committee may grant other equity-based or cash-based awards under the 2020 Equity Plan, with terms and conditions determined by the Compensation Committee that are not inconsistent with the 2020 Equity Plan.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Events on 2020 Equity Plan and Awards</w:t>
      </w:r>
    </w:p>
    <w:p>
      <w:pPr>
        <w:spacing w:after="0" w:line="117" w:lineRule="exact"/>
        <w:rPr>
          <w:sz w:val="20"/>
          <w:szCs w:val="20"/>
          <w:color w:val="auto"/>
        </w:rPr>
      </w:pPr>
    </w:p>
    <w:p>
      <w:pPr>
        <w:ind w:left="120" w:right="280" w:firstLine="440"/>
        <w:spacing w:after="0" w:line="258" w:lineRule="auto"/>
        <w:rPr>
          <w:sz w:val="20"/>
          <w:szCs w:val="20"/>
          <w:color w:val="auto"/>
        </w:rPr>
      </w:pPr>
      <w:r>
        <w:rPr>
          <w:rFonts w:ascii="Arial" w:cs="Arial" w:eastAsia="Arial" w:hAnsi="Arial"/>
          <w:sz w:val="18"/>
          <w:szCs w:val="18"/>
          <w:color w:val="auto"/>
        </w:rPr>
        <w:t>In the event of (i) any dividend (other than regular cash dividends) or other distribution (whether in the form of cash, shares of common stock, other securities or other property), recapitalization, stock split, reverse stock split, reorganization,</w:t>
      </w:r>
    </w:p>
    <w:p>
      <w:pPr>
        <w:spacing w:after="0" w:line="1"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2020 Equity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2020 Equity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2020 Equity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any change of control, the Compensation Committee may, in its sole discretion, provide for any one or more of the following:</w:t>
      </w:r>
    </w:p>
    <w:p>
      <w:pPr>
        <w:spacing w:after="0" w:line="46" w:lineRule="exact"/>
        <w:rPr>
          <w:sz w:val="20"/>
          <w:szCs w:val="20"/>
          <w:color w:val="auto"/>
        </w:rPr>
      </w:pPr>
    </w:p>
    <w:p>
      <w:pPr>
        <w:ind w:left="120" w:right="80" w:hanging="4"/>
        <w:spacing w:after="0" w:line="286" w:lineRule="auto"/>
        <w:tabs>
          <w:tab w:leader="none" w:pos="33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 substitution or assumption of awards, or to the extent the surviving entity does not substitute or assume the awards, full acceleration of vesting of, exercisability of, or lapse of restrictions on, as applicable, any awards, provided that (unless the applicable award agreement provides for different treatment upon a change of control) with respect to any performance-vested awards, any such acceleration shall be based on (A) the target level of performance if the applicable performance period has not ended prior to the date of such change in control and (B) the actual level of performance attained during the performance period of the applicable performance period has ended prior to the date of such change in control;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Each award is not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Compensation Committee may amend, alter, suspend, discontinue, or terminate the 2020 Equity Plan or any portion thereof at any time; but no such amendment, alteration, suspension, discontinuance or termination may be made without equityholder approval if (i) such approval is necessary to comply with any regulatory requirement applicable to the 2020 Equity Plan or for changes in U.S. GAAP to new accounting standards; (ii) it would materially increase the number of securities which may be issued under the 2020 Equity Plan (except for adjustments in connection with certain corporate events); or (iii) it would materially modify the requirements for participation in the 2020 Equity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Equity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equityholder approval, except as otherwise permitted in the 2020 Equity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Compensation Committee may not take any other action which is considered a “repricing” for purposes of the equityholder approval rules of any securities exchange or inter-dealer quotation system on which our securities are listed or quoted.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 and Dividend Equivalents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Compensation Committee in its sole discretion may provide part of an award with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Clawback/Repayment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All awards are subject to reduction, cancellation, forfeiture or recoupment to the extent necessary to comply with (i) any clawback, forfeiture or other similar policy adopted by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Board adopted and our equityholders approved the ESPP. The following summary is qualified in its entirety by reference to the ESPP that has been adopted by the Board.</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ESPP is intended to give eligible employees an opportunity to acquire shares of our common stock and promote our best interests and enhance our long-term performance. We believe that allowing our employees to participate in the ESPP provides them with a further incentive towards ensuring our success and accomplishing our corporate goals. The ESPP is intended to qualify as an “employee stock purchase plan” under Section 423 of the Code. We may authorize offerings under the ESPP that are not intended to comply with Section 423 of the Code, which offerings will be made pursuant to any rules, procedures or sub-plans adopted by the committee for such purpose.</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aggregate number of shares of our common stock that may be issued under the ESPP may not exceed 1,000,000 shares, which number will be automatically increased on the first day of each fiscal year beginning in 2021 in an amount equal to the least of (i) 1,000,000 shares of our common stock, (ii) 2% of the total number of shares of our common stock outstanding on the last day of the immediately preceding fiscal year, and (iii) a lower number of shares as determined by our Board, subject to adjustment in accordance with the terms of the ESPP.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jc w:val="both"/>
        <w:ind w:left="120" w:right="440" w:firstLine="440"/>
        <w:spacing w:after="0" w:line="286" w:lineRule="auto"/>
        <w:rPr>
          <w:sz w:val="20"/>
          <w:szCs w:val="20"/>
          <w:color w:val="auto"/>
        </w:rPr>
      </w:pPr>
      <w:r>
        <w:rPr>
          <w:rFonts w:ascii="Arial" w:cs="Arial" w:eastAsia="Arial" w:hAnsi="Arial"/>
          <w:sz w:val="17"/>
          <w:szCs w:val="17"/>
          <w:color w:val="auto"/>
        </w:rPr>
        <w:t>The ESPP is administered by the Compensation Committee, or such other committee as may be designated by the Board, or the Board (such administering body, the “Administrator”). The Administrator has full authority to make, administer and interpret such terms, rules and regulations regarding administration of the ESPP as it may deem advisable, and such decisions are final and binding.</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ESPP has a term of ten years unless earlier terminated (i) on the date on which all the shares of common stock available for issuance under the ESPP have been issued or (ii) by the Administrator in accordance with the terms of the ESPP.</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Eligible Employees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Subject to the Administrator’s ability to exclude certain groups of employees on a uniform and nondiscriminatory basis, including Section 16 officers and/or non-U.S. employees, generally, all of our employees are eligible to participate if they are employed by us or any participating subsidiary or affiliate for more than 12 consecutive months, or any lesser number of hours per week and/or number of days established by the Administrator. In no event will an employee who is deemed to own 5% or more of the total combined voting power or value of all classes of our capital stock or the capital stock of any parent or subsidiary be eligible to participate in the ESPP, and no participant in the ESPP may purchase shares of our common stock under any employee stock purchase plans of our Company to the extent the option to purchase shares accrue at a rate that exceeds $25,000 of the fair market value of such shares of our common stock, determined as of the first day of the offering period, for each calendar year in which such option is outstanding.</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Offering periods under the ESPP are 6 months long. The first offering period under the ESPP shall commence on the date determined by the Administrator and shall end on the last trading day on or immediately preceding the earlier to occur of June 30 or December 31 of the year in which the first offering period commences. Unless the Administrator determines otherwise, following the completion of the first offering period, a new offering period shall commence on the first trading day on or following January 1 and July 1 of each calendar year and end on or following the last trading day on or immediately preceding June 30 and December 31, respectively, approximately six months later. The Administrator may choose to start a new offering period as it may determine from time to time as appropriate and offering periods may overlap or be consecutive. During each offering period, there will be one 6 month purchase period, which will have the same duration and coincide with the length of the offering period.</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Eligible employees who participate will receive an option to purchase shares of our common stock at a purchase price equal to the lower of 85% of (i) the closing price per share of our common stock on the date of purchase or (ii) the closing price per share of our common stock on the first day of the applicable offering period (or, in the case of the first offering period, the price per share at which shares of our common stock are first sold to the public in connection with the IPO). Eligible employees participate by authorizing payroll deductions before the beginning of an offering period, which deduction may not exceed 15% of such employee’s cash compensation.</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Contributions and Grants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Eligible employees participate by authorizing payroll deductions before the beginning of an offering period, which deduction may not exceed 15% of such employee’s cash compensation. In addition, the maximum number of shares of our common stock that may be purchased by any participant in any particular purchase period is limited to 1,500 shares (subject to adjustment as provided in the ESPP), and the maximum number of shares of our common stock that may be purchased by any participant during any one year period is limited to 3,000 shares. The Administrator may modify this limit from time to time by resolution or otherwise.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Cancellation of Election to Purchase</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 participant may cancel his or her participation entirely at any time prior to the last 30 days of the applicable offering period by withdrawing all, but not less than all, of his or her contributions credited to his or her account and not yet used to exercise his or her option under the ESPP. Participation will end automatically upon termination of employment with us.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a Change in Control</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the event of a change in control (as defined under the ESPP), the Administrator may in its discretion provide, without limitation, that each outstanding option be assumed, or an equivalent option be substituted by the successor corporation or a parent or subsidiary of the successor corporation and, if not so assumed or substituted, the offering period for that option be shortened by setting a new exercise date on which the offering period will end; terminate outstanding options and refund accumulated contributions to participants; or continue outstanding options unchanged.</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Rights as Stockholder</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participant has no rights as a stockholder with respect to the shares of our common stock that the participant has an option to purchase in any offering until those shares have been issued to the participant.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 not Transferable</w:t>
      </w:r>
    </w:p>
    <w:p>
      <w:pPr>
        <w:spacing w:after="0" w:line="117" w:lineRule="exact"/>
        <w:rPr>
          <w:sz w:val="20"/>
          <w:szCs w:val="20"/>
          <w:color w:val="auto"/>
        </w:rPr>
      </w:pPr>
    </w:p>
    <w:p>
      <w:pPr>
        <w:jc w:val="both"/>
        <w:ind w:left="120" w:right="180" w:firstLine="440"/>
        <w:spacing w:after="0" w:line="277" w:lineRule="auto"/>
        <w:rPr>
          <w:sz w:val="20"/>
          <w:szCs w:val="20"/>
          <w:color w:val="auto"/>
        </w:rPr>
      </w:pPr>
      <w:r>
        <w:rPr>
          <w:rFonts w:ascii="Arial" w:cs="Arial" w:eastAsia="Arial" w:hAnsi="Arial"/>
          <w:sz w:val="18"/>
          <w:szCs w:val="18"/>
          <w:color w:val="auto"/>
        </w:rPr>
        <w:t>A participant’s option under the ESPP is exercisable only by the participant and may not be sold, transferred, pledged or assigned in any manner other than by will or the laws of descent and distribution.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or Termination</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Administrator, in its sole discretion, may amend, alter, suspend or terminate the ESPP, or any option subject thereto, at any time and for any reason as long as such amendment or termination of an option does not materially adversely affect the rights of a participant with respect to the option without the written consent of such participant.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Statements on Form S-8</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 automatically became effective upon filing. Accordingly, shares registered under such registration statements are available for sale in the open market. The initial registration statement on Form S-8 covered 15,983,311 shares of our common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Each Named Executive Officer is entitled to potential payments and benefits, including acceleration of Options and Restricted Units, in connection with a termination of employment or a change of control. The information below describes and estimates potential payments and benefits to which the Named Executive Officers would be entitled under existing arrangements if a qualifying termination of employment or change of control occurred on February 1, 2020, the last business day of our 2019 fiscal year. These benefits are in addition to benefits available generally to salaried employees. Due to the number of factors that affect the nature and amount of any benefits provided upon the events discussed below, any actual amounts paid or distributed may be different from those estimated below. Factors that could affect these amounts include the timing during the year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of any such event and our valuation at that time. There can be no assurance that a termination or change of control would produce the same or similar results as those described below if any assumption used to prepare this information is not correct in fact.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calculated the acceleration value of Options and Restricted Units in the tables below using the Market Value Per Membership Unit.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Hicks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Any severance payments and benefits Mr. Hicks may be entitled to receive under the Hicks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Hicks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2" w:lineRule="exact"/>
        <w:rPr>
          <w:sz w:val="20"/>
          <w:szCs w:val="20"/>
          <w:color w:val="auto"/>
        </w:rPr>
      </w:pPr>
    </w:p>
    <w:p>
      <w:pPr>
        <w:ind w:left="120" w:right="100" w:hanging="4"/>
        <w:spacing w:after="0" w:line="255" w:lineRule="auto"/>
        <w:tabs>
          <w:tab w:leader="none" w:pos="37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Hicks Employment Agreement, if the Company terminates Mr. Hicks’ employment without Cause or Mr. Hicks resigns for Good Reason, the Company shall pay:</w:t>
      </w:r>
    </w:p>
    <w:p>
      <w:pPr>
        <w:spacing w:after="0" w:line="62" w:lineRule="exact"/>
        <w:rPr>
          <w:sz w:val="20"/>
          <w:szCs w:val="20"/>
          <w:color w:val="auto"/>
        </w:rPr>
      </w:pPr>
    </w:p>
    <w:p>
      <w:pPr>
        <w:ind w:left="560" w:hanging="4"/>
        <w:spacing w:after="0" w:line="269" w:lineRule="auto"/>
        <w:tabs>
          <w:tab w:leader="none" w:pos="77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occurs in 2019 or 2020, we expect that the Compensation Committee would determine that the calculation of the bonus portion of Mr. Hicks’ severance amount will be based solely on the annual bonus earned by him for 2019;</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hanging="4"/>
        <w:spacing w:after="0" w:line="269" w:lineRule="auto"/>
        <w:tabs>
          <w:tab w:leader="none" w:pos="82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had occurred in 2019, the Compensation Committee would have determined that Mr. Hicks’ pro rata bonus be based on the annual bonus earned by him for 2019; and</w:t>
      </w:r>
    </w:p>
    <w:p>
      <w:pPr>
        <w:spacing w:after="0" w:line="73" w:lineRule="exact"/>
        <w:rPr>
          <w:rFonts w:ascii="Arial" w:cs="Arial" w:eastAsia="Arial" w:hAnsi="Arial"/>
          <w:sz w:val="17"/>
          <w:szCs w:val="17"/>
          <w:color w:val="auto"/>
        </w:rPr>
      </w:pPr>
    </w:p>
    <w:p>
      <w:pPr>
        <w:ind w:left="560" w:right="200" w:hanging="4"/>
        <w:spacing w:after="0" w:line="263" w:lineRule="auto"/>
        <w:tabs>
          <w:tab w:leader="none" w:pos="87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Under the Hicks Employment Agreement, the Company may terminate Mr. Hicks’ employment for “Cause” if he: (i) commits gross negligence or willful misconduct, an act of fraud, embezzlement, theft or other criminal act in connection with his duties or in the course of his employment with the Company; (ii) commits an act leading to a conviction of a felony or a misdemeanor involving moral turpitude; (iii) commits a material breach of any provision of his employment agreement; or (iv) fails to perform any and all covenants contained in his employment agreement (including his fiduciary duties and other employment obligations) for any reason other than death, disability, or following Mr. Hicks’ notice of termination for “Good Reason.” Pursuant to the terms of his employment agreement, Mr. Hicks will have 30 days after receiving notice of a termination for Cause to cure or remedy any breach pursuant to items (iii) or (iv) of the preceding sentence.</w:t>
      </w:r>
    </w:p>
    <w:p>
      <w:pPr>
        <w:spacing w:after="0" w:line="17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the Hicks Employment Agreement, Mr. Hicks may terminate his employment for “Good Reason” if, without his prior written consent any if any of the following occur that constitute a material negative change to Mr. Hicks: (i) he is assigned any position, authority duties or responsibilities that are materially inconsistent with his position, authority, duties, or other responsibilities as contemplated by his employment agreement; (ii) there is a reduction to his base salary and annual target bonus opportunity in the aggregate; or (iii) there is a material breach by the Company of any provision of his employment agreement. The Company will have 30 days after receiving notice of a termination for Good Reason to cure or remedy any breach of the employment agreement by the Company. Mr. Hicks will not be treated as having terminated his employment for a Good Reason event if he incurs a separation from service more than one (1)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On September 16, 2018, the Company granted 518,135 Time Options with an exercise price of $5.44 to Mr. Hicks pursuant to the 2018 CEO Option Agreement. The Time Options vest as follows: 1/48th of the Time Options become vested and exercisable on each monthly anniversary of the vesting commencement date (April 5, 2018), subject to continued employment through the applicable vesting date.</w:t>
      </w:r>
    </w:p>
    <w:p>
      <w:pPr>
        <w:spacing w:after="0" w:line="16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March 7, 2019, the Company granted 694,301 Time Options and 341,969 Performance Options with an exercise price of $5.26 to Mr. Hicks pursuant to the 2019 CEO Option Agreement. The Time Options vest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follows: 1/48th of the Time Options become vested and exercisable on each monthly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0"/>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80" w:hanging="545"/>
        <w:spacing w:after="0" w:line="259" w:lineRule="auto"/>
        <w:tabs>
          <w:tab w:leader="none" w:pos="220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Hicks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40"/>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60" w:hanging="545"/>
        <w:spacing w:after="0" w:line="263" w:lineRule="auto"/>
        <w:tabs>
          <w:tab w:leader="none" w:pos="220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0"/>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80" w:hanging="545"/>
        <w:spacing w:after="0" w:line="279" w:lineRule="auto"/>
        <w:tabs>
          <w:tab w:leader="none" w:pos="2200" w:val="left"/>
        </w:tabs>
        <w:numPr>
          <w:ilvl w:val="2"/>
          <w:numId w:val="140"/>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40"/>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20" w:hanging="545"/>
        <w:spacing w:after="0" w:line="263" w:lineRule="auto"/>
        <w:tabs>
          <w:tab w:leader="none" w:pos="220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40" w:hanging="545"/>
        <w:spacing w:after="0" w:line="296" w:lineRule="auto"/>
        <w:tabs>
          <w:tab w:leader="none" w:pos="2200" w:val="left"/>
        </w:tabs>
        <w:numPr>
          <w:ilvl w:val="2"/>
          <w:numId w:val="140"/>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On September 16, 2018, the Company granted 735,295 Restricted Units to Mr. Hicks pursuant to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9"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Hicks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Termination</w:t>
            </w:r>
          </w:p>
        </w:tc>
        <w:tc>
          <w:tcPr>
            <w:tcW w:w="300" w:type="dxa"/>
            <w:vAlign w:val="bottom"/>
          </w:tcPr>
          <w:p>
            <w:pPr>
              <w:spacing w:after="0"/>
              <w:rPr>
                <w:sz w:val="14"/>
                <w:szCs w:val="14"/>
                <w:color w:val="auto"/>
              </w:rPr>
            </w:pPr>
          </w:p>
        </w:tc>
        <w:tc>
          <w:tcPr>
            <w:tcW w:w="1520" w:type="dxa"/>
            <w:vAlign w:val="bottom"/>
            <w:gridSpan w:val="2"/>
          </w:tcPr>
          <w:p>
            <w:pPr>
              <w:jc w:val="center"/>
              <w:ind w:right="404"/>
              <w:spacing w:after="0"/>
              <w:rPr>
                <w:sz w:val="20"/>
                <w:szCs w:val="20"/>
                <w:color w:val="auto"/>
              </w:rPr>
            </w:pPr>
            <w:r>
              <w:rPr>
                <w:rFonts w:ascii="Arial" w:cs="Arial" w:eastAsia="Arial" w:hAnsi="Arial"/>
                <w:sz w:val="14"/>
                <w:szCs w:val="14"/>
                <w:b w:val="1"/>
                <w:bCs w:val="1"/>
                <w:color w:val="auto"/>
                <w:w w:val="94"/>
              </w:rPr>
              <w:t>Termination</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40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2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300" w:type="dxa"/>
            <w:vAlign w:val="bottom"/>
          </w:tcPr>
          <w:p>
            <w:pPr>
              <w:spacing w:after="0"/>
              <w:rPr>
                <w:sz w:val="12"/>
                <w:szCs w:val="12"/>
                <w:color w:val="auto"/>
              </w:rPr>
            </w:pPr>
          </w:p>
        </w:tc>
        <w:tc>
          <w:tcPr>
            <w:tcW w:w="1520" w:type="dxa"/>
            <w:vAlign w:val="bottom"/>
            <w:gridSpan w:val="2"/>
          </w:tcPr>
          <w:p>
            <w:pPr>
              <w:jc w:val="center"/>
              <w:ind w:right="424"/>
              <w:spacing w:after="0" w:line="149" w:lineRule="exact"/>
              <w:rPr>
                <w:sz w:val="20"/>
                <w:szCs w:val="20"/>
                <w:color w:val="auto"/>
              </w:rPr>
            </w:pPr>
            <w:r>
              <w:rPr>
                <w:rFonts w:ascii="Arial" w:cs="Arial" w:eastAsia="Arial" w:hAnsi="Arial"/>
                <w:sz w:val="14"/>
                <w:szCs w:val="14"/>
                <w:b w:val="1"/>
                <w:bCs w:val="1"/>
                <w:color w:val="auto"/>
                <w:w w:val="91"/>
              </w:rPr>
              <w:t>or Resignation</w:t>
            </w: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35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or Disability</w:t>
            </w:r>
          </w:p>
        </w:tc>
        <w:tc>
          <w:tcPr>
            <w:tcW w:w="1820" w:type="dxa"/>
            <w:vAlign w:val="bottom"/>
            <w:gridSpan w:val="3"/>
          </w:tcPr>
          <w:p>
            <w:pPr>
              <w:jc w:val="center"/>
              <w:ind w:right="104"/>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3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1540" w:type="dxa"/>
            <w:vAlign w:val="bottom"/>
            <w:gridSpan w:val="2"/>
          </w:tcPr>
          <w:p>
            <w:pPr>
              <w:jc w:val="center"/>
              <w:ind w:left="635"/>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1340" w:type="dxa"/>
            <w:vAlign w:val="bottom"/>
            <w:gridSpan w:val="2"/>
          </w:tcPr>
          <w:p>
            <w:pPr>
              <w:jc w:val="center"/>
              <w:ind w:left="217"/>
              <w:spacing w:after="0" w:line="15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114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9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7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5,937,334</w:t>
            </w:r>
          </w:p>
        </w:tc>
        <w:tc>
          <w:tcPr>
            <w:tcW w:w="48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87"/>
              </w:rPr>
              <w:t>(4)</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1,703,900</w:t>
            </w:r>
            <w:r>
              <w:rPr>
                <w:rFonts w:ascii="Arial" w:cs="Arial" w:eastAsia="Arial" w:hAnsi="Arial"/>
                <w:sz w:val="15"/>
                <w:szCs w:val="15"/>
                <w:color w:val="auto"/>
              </w:rPr>
              <w:t>(1)</w:t>
            </w:r>
          </w:p>
        </w:tc>
        <w:tc>
          <w:tcPr>
            <w:tcW w:w="1820" w:type="dxa"/>
            <w:vAlign w:val="bottom"/>
            <w:gridSpan w:val="3"/>
          </w:tcPr>
          <w:p>
            <w:pPr>
              <w:jc w:val="right"/>
              <w:ind w:right="224"/>
              <w:spacing w:after="0"/>
              <w:rPr>
                <w:sz w:val="20"/>
                <w:szCs w:val="20"/>
                <w:color w:val="auto"/>
              </w:rPr>
            </w:pPr>
            <w:r>
              <w:rPr>
                <w:rFonts w:ascii="Arial" w:cs="Arial" w:eastAsia="Arial" w:hAnsi="Arial"/>
                <w:sz w:val="18"/>
                <w:szCs w:val="18"/>
                <w:color w:val="auto"/>
              </w:rPr>
              <w:t>1,868,667</w:t>
            </w:r>
            <w:r>
              <w:rPr>
                <w:rFonts w:ascii="Arial" w:cs="Arial" w:eastAsia="Arial" w:hAnsi="Arial"/>
                <w:sz w:val="15"/>
                <w:szCs w:val="15"/>
                <w:color w:val="auto"/>
              </w:rPr>
              <w:t>(5)</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Life Insurance Payment</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224"/>
              <w:spacing w:after="0"/>
              <w:rPr>
                <w:sz w:val="20"/>
                <w:szCs w:val="20"/>
                <w:color w:val="auto"/>
              </w:rPr>
            </w:pPr>
            <w:r>
              <w:rPr>
                <w:rFonts w:ascii="Arial" w:cs="Arial" w:eastAsia="Arial" w:hAnsi="Arial"/>
                <w:sz w:val="18"/>
                <w:szCs w:val="18"/>
                <w:color w:val="auto"/>
              </w:rPr>
              <w:t>238</w:t>
            </w:r>
            <w:r>
              <w:rPr>
                <w:rFonts w:ascii="Arial" w:cs="Arial" w:eastAsia="Arial" w:hAnsi="Arial"/>
                <w:sz w:val="15"/>
                <w:szCs w:val="15"/>
                <w:color w:val="auto"/>
              </w:rPr>
              <w:t>(6)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Accelerated Vesting of Time Options</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3,865</w:t>
            </w:r>
            <w:r>
              <w:rPr>
                <w:rFonts w:ascii="Arial" w:cs="Arial" w:eastAsia="Arial" w:hAnsi="Arial"/>
                <w:sz w:val="15"/>
                <w:szCs w:val="15"/>
                <w:color w:val="auto"/>
              </w:rPr>
              <w:t>(2)</w:t>
            </w:r>
          </w:p>
        </w:tc>
        <w:tc>
          <w:tcPr>
            <w:tcW w:w="300" w:type="dxa"/>
            <w:vAlign w:val="bottom"/>
          </w:tcPr>
          <w:p>
            <w:pPr>
              <w:spacing w:after="0"/>
              <w:rPr>
                <w:sz w:val="18"/>
                <w:szCs w:val="18"/>
                <w:color w:val="auto"/>
              </w:rPr>
            </w:pPr>
          </w:p>
        </w:tc>
        <w:tc>
          <w:tcPr>
            <w:tcW w:w="152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140,995</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Performance Options</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78,652</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Accelerated Vesting of Restricted Units</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4,036,769</w:t>
            </w:r>
            <w:r>
              <w:rPr>
                <w:rFonts w:ascii="Arial" w:cs="Arial" w:eastAsia="Arial" w:hAnsi="Arial"/>
                <w:sz w:val="15"/>
                <w:szCs w:val="15"/>
                <w:color w:val="auto"/>
                <w:w w:val="99"/>
              </w:rPr>
              <w:t>(9)</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1,707,765</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7,806,239</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4,256,416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20" w:hanging="424"/>
        <w:spacing w:after="0" w:line="267" w:lineRule="auto"/>
        <w:tabs>
          <w:tab w:leader="none" w:pos="5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Mr. Hicks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(154.9% of $1,100,000),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2"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termination due to death or disability, which is the sum of: (i) $539, which is the product of (A) the difference between the Market Value Per Membership Interest and the exercise price ($5.44), and (B) 10,794 Time Options (the portion under the 2018 CEO Option Agreement that would have become vested on the vesting date immediately following termination had Mr. Hicks remained employed); and (ii) $3,326, which is the product of (A) the difference between the Market Value Per Membership Interest and the exercise price ($5.26), and (B) 14,465 Time Options (the portion under the 2019 CEO Option Agreement that would have become vested on the vesting date immediately following termination had Mr. Hicks remained employed).</w:t>
      </w:r>
    </w:p>
    <w:p>
      <w:pPr>
        <w:spacing w:after="0" w:line="3"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None of Mr. Hicks’ Performance Options under the 2019 CEO Option Agreement were Earned as of February 1, 2020 and therefore would not be eligible to vest in connection with a termination due to death or disability on such date.</w:t>
      </w:r>
    </w:p>
    <w:p>
      <w:pPr>
        <w:ind w:left="540" w:hanging="424"/>
        <w:spacing w:after="0" w:line="281" w:lineRule="auto"/>
        <w:tabs>
          <w:tab w:leader="none" w:pos="54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Pursuant to the Hicks Employment Agreement, if the Company terminates Mr. Hicks’ employment without Cause or Mr. Hicks resigns for Good Reason, the Company shall pay a cash severance payment in an amount equal to the product of (x) two multiplied by (y) the sum of (A) his base salary ($1,100,000 for 2019)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Because Mr. Hicks refused his 2018 bonus, the Compensation Committee would have determined that the calculation of the bonus portion of Mr. Hicks’ severance amount be based solely on the annual bonus earned by him for 2019 ($1,868,667) and the severance amount in the table above has been calculated accordingly.</w:t>
      </w:r>
    </w:p>
    <w:p>
      <w:pPr>
        <w:spacing w:after="0" w:line="4" w:lineRule="exact"/>
        <w:rPr>
          <w:rFonts w:ascii="Arial" w:cs="Arial" w:eastAsia="Arial" w:hAnsi="Arial"/>
          <w:sz w:val="16"/>
          <w:szCs w:val="16"/>
          <w:color w:val="auto"/>
        </w:rPr>
      </w:pPr>
    </w:p>
    <w:p>
      <w:pPr>
        <w:ind w:left="540" w:right="120" w:hanging="424"/>
        <w:spacing w:after="0" w:line="255"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Pursuant to the Hicks Employment Agreement, if the Company terminates Mr. Hicks’ employment without Cause or Mr. Hicks resigns for Good Reason, the Company shall pay an amount equal to the product of (x) the annual bonus he has earned under the Executive Team Bonus Plan for the fiscal year immediately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preceding the fiscal year in which the termination date occurs,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 Because Mr. Hicks refused his 2018 bonus, if the termination had occurred in 2019, the Compensation Committee would have determined that Mr. Hicks’ pro rata bonus be based on the annual bonus earned by him for 2019 ($1,868,667) and accordingly, this is the amount shown in the table above.</w:t>
      </w:r>
    </w:p>
    <w:p>
      <w:pPr>
        <w:spacing w:after="0" w:line="3" w:lineRule="exact"/>
        <w:rPr>
          <w:sz w:val="20"/>
          <w:szCs w:val="20"/>
          <w:color w:val="auto"/>
        </w:rPr>
      </w:pPr>
    </w:p>
    <w:p>
      <w:pPr>
        <w:ind w:left="540" w:right="10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Pursuant to the Hicks Employment Agreement, if the Company terminates Mr. Hicks’ employment without Cause or Mr. Hicks resigns for Good Reason, the Company shall pay an amount equal to the product of (x) the monthly basic life insurance premium applicable to his basic life insurance coverage immediately prior to the termination date ($9.94 per month) and (y) 24 months.</w:t>
      </w:r>
    </w:p>
    <w:p>
      <w:pPr>
        <w:spacing w:after="0" w:line="1" w:lineRule="exact"/>
        <w:rPr>
          <w:rFonts w:ascii="Arial" w:cs="Arial" w:eastAsia="Arial" w:hAnsi="Arial"/>
          <w:sz w:val="18"/>
          <w:szCs w:val="18"/>
          <w:color w:val="auto"/>
        </w:rPr>
      </w:pPr>
    </w:p>
    <w:p>
      <w:pPr>
        <w:jc w:val="both"/>
        <w:ind w:left="540" w:right="120" w:hanging="424"/>
        <w:spacing w:after="0" w:line="281"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$14,573, which is the product of (A) the difference between the Market Value Per Membership Interest and the exercise price ($5.44), and</w:t>
      </w:r>
    </w:p>
    <w:p>
      <w:pPr>
        <w:spacing w:after="0" w:line="1" w:lineRule="exact"/>
        <w:rPr>
          <w:sz w:val="20"/>
          <w:szCs w:val="20"/>
          <w:color w:val="auto"/>
        </w:rPr>
      </w:pPr>
    </w:p>
    <w:p>
      <w:pPr>
        <w:ind w:left="540" w:right="220"/>
        <w:spacing w:after="0" w:line="265" w:lineRule="auto"/>
        <w:rPr>
          <w:sz w:val="20"/>
          <w:szCs w:val="20"/>
          <w:color w:val="auto"/>
        </w:rPr>
      </w:pPr>
      <w:r>
        <w:rPr>
          <w:rFonts w:ascii="Arial" w:cs="Arial" w:eastAsia="Arial" w:hAnsi="Arial"/>
          <w:sz w:val="17"/>
          <w:szCs w:val="17"/>
          <w:color w:val="auto"/>
        </w:rPr>
        <w:t>(B) 291,461 Time Options (the unvested portion under the 2018 CEO Option Agreement immediately prior to February 1, 2020); and (ii) $126,422, which is the product of (A) the difference between the Market Value Per Membership Interest and the exercise price ($5.26), and (B) 549,661 Time Options (the unvested portion under the 2019 CEO Option Agreement immediately prior to February 1, 2020).</w:t>
      </w:r>
    </w:p>
    <w:p>
      <w:pPr>
        <w:ind w:left="540" w:right="60" w:hanging="424"/>
        <w:spacing w:after="0" w:line="250"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amount of $78,652 above represents the value associated with the accelerated vesting of the Performance Options upon a Change of Control, which is the product of (A) the difference between the Market Value Per Membership Interest and the exercise price ($5.26), and (B) 341,969 Performance Options (the unvested portion under the 2019 CEO Option Agreement immediately prior to February 1, 2020, which is the entire grant because the Change of Control occurs during the Option Grant Year).</w:t>
      </w:r>
    </w:p>
    <w:p>
      <w:pPr>
        <w:spacing w:after="0" w:line="1" w:lineRule="exact"/>
        <w:rPr>
          <w:rFonts w:ascii="Arial" w:cs="Arial" w:eastAsia="Arial" w:hAnsi="Arial"/>
          <w:sz w:val="18"/>
          <w:szCs w:val="18"/>
          <w:color w:val="auto"/>
        </w:rPr>
      </w:pPr>
    </w:p>
    <w:p>
      <w:pPr>
        <w:ind w:left="540" w:right="100" w:hanging="424"/>
        <w:spacing w:after="0" w:line="253"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Under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735,295 Restricted Units (under the 2018 CEO Restricted Unit Agreement) and the Market Value Per Membership Unit.</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Mullican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Any severance payments and benefits Mr. Mullican may be entitled to receive under the Mullican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Mullican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Mullican Employment Agreement, if his employment is terminated due to death or disability, the Company will pay to</w:t>
      </w:r>
    </w:p>
    <w:p>
      <w:pPr>
        <w:spacing w:after="0" w:line="23"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9"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Mullican’s employment without Cause or Mr. Mullican resigns for Good Reason, the Company shall pay:</w:t>
      </w:r>
    </w:p>
    <w:p>
      <w:pPr>
        <w:spacing w:after="0" w:line="129" w:lineRule="exact"/>
        <w:rPr>
          <w:sz w:val="20"/>
          <w:szCs w:val="20"/>
          <w:color w:val="auto"/>
        </w:rPr>
      </w:pPr>
    </w:p>
    <w:p>
      <w:pPr>
        <w:ind w:left="560" w:right="80" w:hanging="4"/>
        <w:spacing w:after="0" w:line="272" w:lineRule="auto"/>
        <w:tabs>
          <w:tab w:leader="none" w:pos="77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69" w:lineRule="exact"/>
        <w:rPr>
          <w:rFonts w:ascii="Arial" w:cs="Arial" w:eastAsia="Arial" w:hAnsi="Arial"/>
          <w:sz w:val="17"/>
          <w:szCs w:val="17"/>
          <w:color w:val="auto"/>
        </w:rPr>
      </w:pPr>
    </w:p>
    <w:p>
      <w:pPr>
        <w:ind w:left="560" w:hanging="4"/>
        <w:spacing w:after="0" w:line="270" w:lineRule="auto"/>
        <w:tabs>
          <w:tab w:leader="none" w:pos="82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rFonts w:ascii="Arial" w:cs="Arial" w:eastAsia="Arial" w:hAnsi="Arial"/>
          <w:sz w:val="17"/>
          <w:szCs w:val="17"/>
          <w:color w:val="auto"/>
        </w:rPr>
      </w:pPr>
    </w:p>
    <w:p>
      <w:pPr>
        <w:ind w:left="560" w:right="180" w:hanging="4"/>
        <w:spacing w:after="0" w:line="284" w:lineRule="auto"/>
        <w:tabs>
          <w:tab w:leader="none" w:pos="87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Mullican and his covered dependents medical insurance benefits, contingent on Mr. Mullican electing continuation coverage under the Consolidated Omnibus Budget Reconciliation Act of 1985, as amended, or COBRA,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4" w:lineRule="exact"/>
        <w:rPr>
          <w:rFonts w:ascii="Arial" w:cs="Arial" w:eastAsia="Arial" w:hAnsi="Arial"/>
          <w:sz w:val="16"/>
          <w:szCs w:val="16"/>
          <w:color w:val="auto"/>
        </w:rPr>
      </w:pPr>
    </w:p>
    <w:p>
      <w:pPr>
        <w:jc w:val="both"/>
        <w:ind w:left="560" w:right="100"/>
        <w:spacing w:after="0" w:line="253" w:lineRule="auto"/>
        <w:rPr>
          <w:rFonts w:ascii="Arial" w:cs="Arial" w:eastAsia="Arial" w:hAnsi="Arial"/>
          <w:sz w:val="16"/>
          <w:szCs w:val="16"/>
          <w:color w:val="auto"/>
        </w:rPr>
      </w:pPr>
      <w:r>
        <w:rPr>
          <w:rFonts w:ascii="Arial" w:cs="Arial" w:eastAsia="Arial" w:hAnsi="Arial"/>
          <w:sz w:val="18"/>
          <w:szCs w:val="18"/>
          <w:color w:val="auto"/>
        </w:rPr>
        <w:t>Mr. Mullican’s portion of such premiums as if Mr. Mullican was an active employee, which payment shall be paid in advance on the first payroll day of each month during the such 24-month period. Notwithstanding the foregoing, the payments provided under this clause shall cease at such time as Mr. Mullican commences to receive such benefits from a subsequent employer of Mr. Mullican during the 24 month period following the termination date; and</w:t>
      </w:r>
    </w:p>
    <w:p>
      <w:pPr>
        <w:spacing w:after="0" w:line="84" w:lineRule="exact"/>
        <w:rPr>
          <w:rFonts w:ascii="Arial" w:cs="Arial" w:eastAsia="Arial" w:hAnsi="Arial"/>
          <w:sz w:val="16"/>
          <w:szCs w:val="16"/>
          <w:color w:val="auto"/>
        </w:rPr>
      </w:pPr>
    </w:p>
    <w:p>
      <w:pPr>
        <w:ind w:left="560" w:right="180" w:hanging="4"/>
        <w:spacing w:after="0" w:line="263" w:lineRule="auto"/>
        <w:tabs>
          <w:tab w:leader="none" w:pos="86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Mullican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Mullican Employment Agreement contains the same definition of “Good Reason” provided in the Hicks Employment Agreement, except that Mr. Mullican’s definition also includes the relocation of the principal place of employment to a location more than 35 miles from the principal place of employment provided in his employment agreement, if a move to such other location materially increases his commute.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The Mullican Employment Agreement provides that in the event Mr. Mullican elects not to extend the employment agreement, such nonrenewal shall be deemed a termination by Mr. Mullican without Good Reason, and in the event the Company elects not to extend the employment period, such nonrenewal shall be deemed a termination by the Company of Mr. Mullican’s employment without Cause.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On March 23, 2017, the Company granted 98,523 Time Options and 49,261 Performance Options with an exercise price of $5.30 to Mr. Mullican pursuant to the 2017 Executive Option Agreement. On April 5, 2018, the Company granted 128,825 Time Options with an exercise price of $5.23 to Mr. Mullican pursuant to the 2018 Executive Option Agreement. On March 7, 2019, the Company granted 138,861 Time Options and 68,393 Performance Options with an exercise price of $5.26 to Mr. Mullican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hanging="545"/>
        <w:spacing w:after="0" w:line="259" w:lineRule="auto"/>
        <w:tabs>
          <w:tab w:leader="none" w:pos="22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Mullican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100" w:hanging="545"/>
        <w:spacing w:after="0" w:line="263" w:lineRule="auto"/>
        <w:tabs>
          <w:tab w:leader="none" w:pos="22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79" w:lineRule="auto"/>
        <w:tabs>
          <w:tab w:leader="none" w:pos="220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45"/>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60" w:hanging="545"/>
        <w:spacing w:after="0" w:line="263" w:lineRule="auto"/>
        <w:tabs>
          <w:tab w:leader="none" w:pos="220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80" w:hanging="545"/>
        <w:spacing w:after="0" w:line="311" w:lineRule="auto"/>
        <w:tabs>
          <w:tab w:leader="none" w:pos="2200" w:val="left"/>
        </w:tabs>
        <w:numPr>
          <w:ilvl w:val="2"/>
          <w:numId w:val="145"/>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right="340"/>
        <w:spacing w:after="0" w:line="308" w:lineRule="auto"/>
        <w:rPr>
          <w:sz w:val="20"/>
          <w:szCs w:val="20"/>
          <w:color w:val="auto"/>
        </w:rPr>
      </w:pPr>
      <w:r>
        <w:rPr>
          <w:rFonts w:ascii="Arial" w:cs="Arial" w:eastAsia="Arial" w:hAnsi="Arial"/>
          <w:sz w:val="17"/>
          <w:szCs w:val="17"/>
          <w:color w:val="auto"/>
        </w:rPr>
        <w:t>Change of Control, and any portion of the Performance Options that has not been Earned as of immediately prior to such Change of Control shall be automatically forfeited upon the consummation of such Change of Control.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June 22, 2018, the Company granted 377,359 Restricted Units to Mr. Mullican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Mullican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0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16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1,327,936</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456,570</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92,908</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21,888</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21,037</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66,418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1,322</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18,374</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2,071,700</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38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$ 478,929</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1,443,092</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2,156,492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Pursuant to the Mullican Employment Agreement, if his employment is terminated due to death or disability, the Company will pay to</w:t>
      </w:r>
    </w:p>
    <w:p>
      <w:pPr>
        <w:spacing w:after="0" w:line="23" w:lineRule="exact"/>
        <w:rPr>
          <w:rFonts w:ascii="Arial" w:cs="Arial" w:eastAsia="Arial" w:hAnsi="Arial"/>
          <w:sz w:val="18"/>
          <w:szCs w:val="18"/>
          <w:color w:val="auto"/>
        </w:rPr>
      </w:pPr>
    </w:p>
    <w:p>
      <w:pPr>
        <w:ind w:left="540" w:right="20"/>
        <w:spacing w:after="0" w:line="250" w:lineRule="auto"/>
        <w:rPr>
          <w:rFonts w:ascii="Arial" w:cs="Arial" w:eastAsia="Arial" w:hAnsi="Arial"/>
          <w:sz w:val="18"/>
          <w:szCs w:val="18"/>
          <w:color w:val="auto"/>
        </w:rPr>
      </w:pPr>
      <w:r>
        <w:rPr>
          <w:rFonts w:ascii="Arial" w:cs="Arial" w:eastAsia="Arial" w:hAnsi="Arial"/>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Mr. Mullican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$487,822,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rFonts w:ascii="Arial" w:cs="Arial" w:eastAsia="Arial" w:hAnsi="Arial"/>
          <w:sz w:val="18"/>
          <w:szCs w:val="18"/>
          <w:color w:val="auto"/>
        </w:rPr>
      </w:pPr>
    </w:p>
    <w:p>
      <w:pPr>
        <w:ind w:left="540" w:right="160" w:hanging="424"/>
        <w:spacing w:after="0" w:line="268" w:lineRule="auto"/>
        <w:tabs>
          <w:tab w:leader="none" w:pos="54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amount above represents the value associated with the accelerated vesting of the Time Options upon termination due to death or disability, which is the sum of: (i) $4,679, which is the product of (A) the difference between the Market Value Per Membership Interest and the exercise price ($5.30), and (B) 24,631 Time Options (the portion under the 2017 Executive Option Agreement that would have become vested on the vesting date immediately following termination had Mr. Mullican remained employed); (ii) $8,373, which is the product of (A) the difference between the Market Value Per Membership Interest and the exercise price ($5.23), and (B) 32,206 Time Options (the portion under the 2018 Executive Option Agreement that would have become vested on the vesting date immediately following termination had Mr. Mullican remained employed); and (iii) $7,984, which is the product of (A) the difference between the Market Value Per Membership Interest and the exercise price ($5.26), and (B) 34,715 Time Options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spacing w:after="0" w:line="258" w:lineRule="auto"/>
        <w:rPr>
          <w:sz w:val="20"/>
          <w:szCs w:val="20"/>
          <w:color w:val="auto"/>
        </w:rPr>
      </w:pPr>
      <w:r>
        <w:rPr>
          <w:rFonts w:ascii="Arial" w:cs="Arial" w:eastAsia="Arial" w:hAnsi="Arial"/>
          <w:sz w:val="18"/>
          <w:szCs w:val="18"/>
          <w:color w:val="auto"/>
        </w:rPr>
        <w:t>portion under the 2019 Executive Option Agreement that would have become vested on the vesting date immediately following termination had Mr. Mullican remained employed).</w:t>
      </w:r>
    </w:p>
    <w:p>
      <w:pPr>
        <w:spacing w:after="0" w:line="1" w:lineRule="exact"/>
        <w:rPr>
          <w:sz w:val="20"/>
          <w:szCs w:val="20"/>
          <w:color w:val="auto"/>
        </w:rPr>
      </w:pPr>
    </w:p>
    <w:p>
      <w:pPr>
        <w:ind w:left="540" w:right="200" w:hanging="424"/>
        <w:spacing w:after="0" w:line="250" w:lineRule="auto"/>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amount of $1,322 above represents the value associated with the accelerated vesting of the Performance Options upon termination due to death or disability, which is the product of (A) the difference between the Market Value Per Membership Interest and the exercise price ($5.30), and (B) 6,958 Performance Options (the Earned portion under the 2017 Executive Option Agreement that would have become vested on the vesting date immediately following termination had Mr. Mullican remained employed). None of Mr. Mullican’s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Pursuant to the Mullican Employment Agreement, if the Company terminates Mr. Mullican’s employment without Cause or Mr. Mullican resigns for Good Reason, the Company shall pay a cash severance payment in an amount equal to the product of (x) two multiplied by (y) the sum of</w:t>
      </w:r>
    </w:p>
    <w:p>
      <w:pPr>
        <w:spacing w:after="0" w:line="1" w:lineRule="exact"/>
        <w:rPr>
          <w:rFonts w:ascii="Arial" w:cs="Arial" w:eastAsia="Arial" w:hAnsi="Arial"/>
          <w:sz w:val="16"/>
          <w:szCs w:val="16"/>
          <w:color w:val="auto"/>
        </w:rPr>
      </w:pPr>
    </w:p>
    <w:p>
      <w:pPr>
        <w:ind w:left="540" w:right="320" w:firstLine="8"/>
        <w:spacing w:after="0" w:line="250" w:lineRule="auto"/>
        <w:tabs>
          <w:tab w:leader="none" w:pos="83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his base salary ($489,500 for 2019) and (B) the average annual bonus paid to (or earned by, to the extent not yet paid as of the termination date) him under the Executive Team Bonus Plan for the two fiscal years of the Company immediately preceding the fiscal year in which the termination date occurs ($256,028 for 2017 and $92,908 for 2018).</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Pursuant to the Mullican Employment Agreement, if the Company terminates Mr. Mullican’s employment without Cause or Mr. Mullican resigns for Good Reason, the Company shall pay an amount equal to the product of (x) the annual bonus he has earned under the Executive Team Bonus Plan for the fiscal year immediately preceding the fiscal year in which the termination date occurs ($92,908 for 2018), multiplied by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2"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Pursuant to the Mullican Employment Agreement, if the Company terminates Mr. Mullican’s employment without Cause or Mr. Mullican resigns for Good Reason, then during the 24 month period following the termination date, the Company shall provide Mr. Mullican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3" w:lineRule="exact"/>
        <w:rPr>
          <w:rFonts w:ascii="Arial" w:cs="Arial" w:eastAsia="Arial" w:hAnsi="Arial"/>
          <w:sz w:val="16"/>
          <w:szCs w:val="16"/>
          <w:color w:val="auto"/>
        </w:rPr>
      </w:pPr>
    </w:p>
    <w:p>
      <w:pPr>
        <w:ind w:left="540" w:right="140"/>
        <w:spacing w:after="0" w:line="250" w:lineRule="auto"/>
        <w:rPr>
          <w:rFonts w:ascii="Arial" w:cs="Arial" w:eastAsia="Arial" w:hAnsi="Arial"/>
          <w:sz w:val="16"/>
          <w:szCs w:val="16"/>
          <w:color w:val="auto"/>
        </w:rPr>
      </w:pPr>
      <w:r>
        <w:rPr>
          <w:rFonts w:ascii="Arial" w:cs="Arial" w:eastAsia="Arial" w:hAnsi="Arial"/>
          <w:sz w:val="18"/>
          <w:szCs w:val="18"/>
          <w:color w:val="auto"/>
        </w:rPr>
        <w:t>Mr. Mullican’s portion of such premiums as if Mr. Mullican was an active employee, which payment shall be paid in advance on the first payroll day of each month during the such 24-month period ($912 per month).</w:t>
      </w:r>
    </w:p>
    <w:p>
      <w:pPr>
        <w:ind w:left="540" w:right="80" w:hanging="424"/>
        <w:spacing w:after="0" w:line="265" w:lineRule="auto"/>
        <w:tabs>
          <w:tab w:leader="none" w:pos="5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Pursuant to the Mullican Employment Agreement, if the Company terminates Mr. Mullican’s employment without Cause or Mr. Mullican resigns for Good Reason, the Company shall pay an amount equal to the product of (x) the monthly basic life insurance premium applicable to his basic life insurance coverage immediately prior to the termination date ($15 per month), and (y) 24 months.</w:t>
      </w:r>
    </w:p>
    <w:p>
      <w:pPr>
        <w:jc w:val="both"/>
        <w:ind w:left="540" w:right="200" w:hanging="424"/>
        <w:spacing w:after="0" w:line="281"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$9,358, which is the product of (A) the difference between the Market Value Per Membership Interest and the exercise price ($5.30), and</w:t>
      </w:r>
    </w:p>
    <w:p>
      <w:pPr>
        <w:spacing w:after="0" w:line="1" w:lineRule="exact"/>
        <w:rPr>
          <w:rFonts w:ascii="Arial" w:cs="Arial" w:eastAsia="Arial" w:hAnsi="Arial"/>
          <w:sz w:val="16"/>
          <w:szCs w:val="16"/>
          <w:color w:val="auto"/>
        </w:rPr>
      </w:pPr>
    </w:p>
    <w:p>
      <w:pPr>
        <w:ind w:left="540" w:firstLine="8"/>
        <w:spacing w:after="0" w:line="281" w:lineRule="auto"/>
        <w:tabs>
          <w:tab w:leader="none" w:pos="825" w:val="left"/>
        </w:tabs>
        <w:numPr>
          <w:ilvl w:val="1"/>
          <w:numId w:val="148"/>
        </w:numPr>
        <w:rPr>
          <w:rFonts w:ascii="Arial" w:cs="Arial" w:eastAsia="Arial" w:hAnsi="Arial"/>
          <w:sz w:val="16"/>
          <w:szCs w:val="16"/>
          <w:color w:val="auto"/>
        </w:rPr>
      </w:pPr>
      <w:r>
        <w:rPr>
          <w:rFonts w:ascii="Arial" w:cs="Arial" w:eastAsia="Arial" w:hAnsi="Arial"/>
          <w:sz w:val="16"/>
          <w:szCs w:val="16"/>
          <w:color w:val="auto"/>
        </w:rPr>
        <w:t>49,262 Time Options (the unvested portion under the 2017 Executive Option Agreement immediately prior to February 1, 2020); (ii) $25,120, which is the product of (A) the difference between the Market Value Per Membership Interest and the exercise price ($5.23), and (B) 96,619 Time Options (the unvested portion under the 2018 Executive Option Agreement immediately prior to February 1, 2020); and (iii) $31,938, which is the product of (A) the difference between the Market Value Per Membership Interest and the exercise price ($5.26), and (B) 138,861 Time Options (the unvested portion under the 2019 Executive Option Agreement immediately prior to February 1, 2020, which is the entire grant).</w:t>
      </w:r>
    </w:p>
    <w:p>
      <w:pPr>
        <w:spacing w:after="0" w:line="2" w:lineRule="exact"/>
        <w:rPr>
          <w:rFonts w:ascii="Arial" w:cs="Arial" w:eastAsia="Arial" w:hAnsi="Arial"/>
          <w:sz w:val="16"/>
          <w:szCs w:val="16"/>
          <w:color w:val="auto"/>
        </w:rPr>
      </w:pPr>
    </w:p>
    <w:p>
      <w:pPr>
        <w:ind w:left="540" w:hanging="424"/>
        <w:spacing w:after="0" w:line="277" w:lineRule="auto"/>
        <w:tabs>
          <w:tab w:leader="none" w:pos="5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amount above represents the value associated with the accelerated vesting of the Performance Options upon a Change of Control, which is the sum of: (i) $2,644, which is the product of (A) the difference between the Market Value Per Membership Interest and the exercise price ($5.30), and (B) 13,916 Performance Options (the unvested and Earned portion under the 2017 Executive Option Agreement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40"/>
        <w:spacing w:after="0" w:line="287" w:lineRule="auto"/>
        <w:rPr>
          <w:sz w:val="20"/>
          <w:szCs w:val="20"/>
          <w:color w:val="auto"/>
        </w:rPr>
      </w:pPr>
      <w:r>
        <w:rPr>
          <w:rFonts w:ascii="Arial" w:cs="Arial" w:eastAsia="Arial" w:hAnsi="Arial"/>
          <w:sz w:val="16"/>
          <w:szCs w:val="16"/>
          <w:color w:val="auto"/>
        </w:rPr>
        <w:t>immediately prior to February 1, 2020); and (ii) $15,730, which is the product of (A) the difference between the Market Value Per Membership Interest and the exercise price ($5.26), and (B) 68,393 Performance Options (the unvested portion under the 2019 Executive Option Agreement immediately prior to February 1, 2020, which is the entire grant because the Change of Control occurs during the Option Grant Year).</w:t>
      </w:r>
    </w:p>
    <w:p>
      <w:pPr>
        <w:spacing w:after="0" w:line="2" w:lineRule="exact"/>
        <w:rPr>
          <w:sz w:val="20"/>
          <w:szCs w:val="20"/>
          <w:color w:val="auto"/>
        </w:rPr>
      </w:pPr>
    </w:p>
    <w:p>
      <w:pPr>
        <w:ind w:left="540" w:right="240" w:hanging="424"/>
        <w:spacing w:after="0" w:line="273" w:lineRule="auto"/>
        <w:tabs>
          <w:tab w:leader="none" w:pos="5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377,359 Restricted Units (under the 2018 Executive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Lawrence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Any severance payments and benefits Mr. Lawrence may be entitled to receive under the Lawrence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Lawrence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Pursuant to the Lawrence Employment Agreement, if his employment is terminated due to death or disability, the Company will pay to</w:t>
      </w:r>
    </w:p>
    <w:p>
      <w:pPr>
        <w:spacing w:after="0" w:line="3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(or his commencement date of February 11, 2019 if the termination occurs in the 2019 fiscal year) and the termination date, and the denominator of which is equal to 365, payable in a lump sum on the date on which annual bonuses are paid to the Company’s other senior executive officers with respect to such fiscal year.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Lawrence’s employment without Cause or Mr. Lawrence resigns for Good Reason, the Company shall pay:</w:t>
      </w:r>
    </w:p>
    <w:p>
      <w:pPr>
        <w:spacing w:after="0" w:line="129" w:lineRule="exact"/>
        <w:rPr>
          <w:sz w:val="20"/>
          <w:szCs w:val="20"/>
          <w:color w:val="auto"/>
        </w:rPr>
      </w:pPr>
    </w:p>
    <w:p>
      <w:pPr>
        <w:ind w:left="560" w:right="100" w:hanging="4"/>
        <w:spacing w:after="0" w:line="272" w:lineRule="auto"/>
        <w:tabs>
          <w:tab w:leader="none" w:pos="77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69" w:lineRule="exact"/>
        <w:rPr>
          <w:rFonts w:ascii="Arial" w:cs="Arial" w:eastAsia="Arial" w:hAnsi="Arial"/>
          <w:sz w:val="17"/>
          <w:szCs w:val="17"/>
          <w:color w:val="auto"/>
        </w:rPr>
      </w:pPr>
    </w:p>
    <w:p>
      <w:pPr>
        <w:ind w:left="560" w:right="720" w:hanging="4"/>
        <w:spacing w:after="0" w:line="277" w:lineRule="auto"/>
        <w:tabs>
          <w:tab w:leader="none" w:pos="82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 amount equal to the product of (x) the annual bonus he has earned under the Executive Team Bonus Plan for the fiscal year of the Company immediately preceding the fiscal year of the Company in which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58" w:lineRule="exact"/>
        <w:rPr>
          <w:sz w:val="20"/>
          <w:szCs w:val="20"/>
          <w:color w:val="auto"/>
        </w:rPr>
      </w:pPr>
    </w:p>
    <w:p>
      <w:pPr>
        <w:ind w:left="560" w:hanging="4"/>
        <w:spacing w:after="0" w:line="289" w:lineRule="auto"/>
        <w:tabs>
          <w:tab w:leader="none" w:pos="87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Lawrence and his covered dependents medical insurance benefits, contingent on Mr. Lawrence electing continuation coverage under COBRA,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Notwithstanding the foregoing, the payments provided under this clause shall cease at such time as Mr. Lawrence commences to receive such benefits from a subsequent employer of Mr. Lawrence during the 24 month period following the termination date; and</w:t>
      </w:r>
    </w:p>
    <w:p>
      <w:pPr>
        <w:spacing w:after="0" w:line="58" w:lineRule="exact"/>
        <w:rPr>
          <w:rFonts w:ascii="Arial" w:cs="Arial" w:eastAsia="Arial" w:hAnsi="Arial"/>
          <w:sz w:val="16"/>
          <w:szCs w:val="16"/>
          <w:color w:val="auto"/>
        </w:rPr>
      </w:pPr>
    </w:p>
    <w:p>
      <w:pPr>
        <w:ind w:left="560" w:right="160" w:hanging="4"/>
        <w:spacing w:after="0" w:line="263" w:lineRule="auto"/>
        <w:tabs>
          <w:tab w:leader="none" w:pos="8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Lawrence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Lawrence Employment Agreement contains the same definition of “Good Reason” provided in the Hicks Employment Agreement, except that Mr. Lawrence’s definition does not include clause (i) from Mr. Hicks’ definition, and Mr. Lawrence’s definition also includes the relocation of the principal place of employment to a location more than 50 miles from the principal place of employment provided in his employment agreement, if a move to such other location materially increases his commute. In addition, Mr. Lawrence’s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March 7, 2019, the Company granted 411,270 Time Options and 106,865 Performance Options with an exercise price of $5.26 to</w:t>
      </w:r>
    </w:p>
    <w:p>
      <w:pPr>
        <w:spacing w:after="0" w:line="35"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Mr. Lawrence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9"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 provides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3"/>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59" w:lineRule="auto"/>
        <w:tabs>
          <w:tab w:leader="none" w:pos="220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Lawrence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53"/>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100" w:hanging="545"/>
        <w:spacing w:after="0" w:line="263" w:lineRule="auto"/>
        <w:tabs>
          <w:tab w:leader="none" w:pos="220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3"/>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79" w:lineRule="auto"/>
        <w:tabs>
          <w:tab w:leader="none" w:pos="2200" w:val="left"/>
        </w:tabs>
        <w:numPr>
          <w:ilvl w:val="2"/>
          <w:numId w:val="153"/>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53"/>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60" w:hanging="545"/>
        <w:spacing w:after="0" w:line="263" w:lineRule="auto"/>
        <w:tabs>
          <w:tab w:leader="none" w:pos="2200" w:val="left"/>
        </w:tabs>
        <w:numPr>
          <w:ilvl w:val="2"/>
          <w:numId w:val="153"/>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80" w:hanging="545"/>
        <w:spacing w:after="0" w:line="296" w:lineRule="auto"/>
        <w:tabs>
          <w:tab w:leader="none" w:pos="2200" w:val="left"/>
        </w:tabs>
        <w:numPr>
          <w:ilvl w:val="2"/>
          <w:numId w:val="153"/>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March 7, 2019, the Company granted 142,586 Restricted Units to Mr. Lawrence pursuant to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Lawrence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6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02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1,410,000</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756,646</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21,888</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23,647</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94,592</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24,578</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782,797</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52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$ 780,293</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1,432,248</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901,967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Pursuant to the Lawrence Employment Agreement, if his employment is terminated due to death or disability, the Company will pay to</w:t>
      </w:r>
    </w:p>
    <w:p>
      <w:pPr>
        <w:spacing w:after="0" w:line="34" w:lineRule="exact"/>
        <w:rPr>
          <w:rFonts w:ascii="Arial" w:cs="Arial" w:eastAsia="Arial" w:hAnsi="Arial"/>
          <w:sz w:val="17"/>
          <w:szCs w:val="17"/>
          <w:color w:val="auto"/>
        </w:rPr>
      </w:pPr>
    </w:p>
    <w:p>
      <w:pPr>
        <w:ind w:left="540"/>
        <w:spacing w:after="0" w:line="281" w:lineRule="auto"/>
        <w:rPr>
          <w:rFonts w:ascii="Arial" w:cs="Arial" w:eastAsia="Arial" w:hAnsi="Arial"/>
          <w:sz w:val="17"/>
          <w:szCs w:val="17"/>
          <w:color w:val="auto"/>
        </w:rPr>
      </w:pPr>
      <w:r>
        <w:rPr>
          <w:rFonts w:ascii="Arial" w:cs="Arial" w:eastAsia="Arial" w:hAnsi="Arial"/>
          <w:sz w:val="16"/>
          <w:szCs w:val="16"/>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Mr. Lawrence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(112.3% of $690,730), and (y) a fraction, the numerator of which is equal to the number of days between and including his commencement date of February 11, 2019 and the termination date (356 days), and the denominator of which is equal to 365.</w:t>
      </w:r>
    </w:p>
    <w:p>
      <w:pPr>
        <w:spacing w:after="0" w:line="3" w:lineRule="exact"/>
        <w:rPr>
          <w:rFonts w:ascii="Arial" w:cs="Arial" w:eastAsia="Arial" w:hAnsi="Arial"/>
          <w:sz w:val="17"/>
          <w:szCs w:val="17"/>
          <w:color w:val="auto"/>
        </w:rPr>
      </w:pPr>
    </w:p>
    <w:p>
      <w:pPr>
        <w:ind w:left="540" w:right="100" w:hanging="424"/>
        <w:spacing w:after="0" w:line="250"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amount of $23,647 above represents the value associated with the accelerated vesting of the Time Options upon termination due to death or disability, which is the product of (A) the difference between the Market Value Per Membership Interest and the exercise price ($5.26), and (B) 102,818 Time Options (the portion under the 2019 Executive Option Agreement that would have become vested on the vesting date immediately following termination had Mr. Lawrence remained employed).</w:t>
      </w:r>
    </w:p>
    <w:p>
      <w:pPr>
        <w:spacing w:after="0" w:line="1"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None of Mr. Lawrence’s Performance Options under the 2019 Executive Option Agreement were Earned as of February 1, 2020 and therefore would not be eligible to vest in connection with a termination due to death or disability on such date.</w:t>
      </w:r>
    </w:p>
    <w:p>
      <w:pPr>
        <w:ind w:left="540" w:hanging="424"/>
        <w:spacing w:after="0" w:line="250"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Pursuant to the Lawrence Employment Agreement, if the Company terminates Mr. Lawrence’s employment without Cause or Mr. Lawrence resigns for Good Reason, the Company shall pay a cash severance payment in an amount equal to the product of (x) two multiplied by (y) the sum of (A) his base salary ($705,000 for 2019) and (B) the average annual bonus paid to (or earned by, to the extent not yet paid as of the termination date) him under the Executive Team Bonus Plan for the two fiscal years of the Company immediately preceding the fiscal year in which the termination date occurs ($0 for 2017 and $0 for 2018).</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Pursuant to the Lawrence Employment Agreement, if the Company terminates Mr. Lawrence’s employment without Cause or Mr. Lawrence resigns for Good Reason, the Company shall pay an amount equal to the product of (x) the annual bonus he has earned under the Executive Team Bonus Plan for the fiscal year immediately preceding the fiscal year in which the termination date occurs ($0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2" w:lineRule="exact"/>
        <w:rPr>
          <w:rFonts w:ascii="Arial" w:cs="Arial" w:eastAsia="Arial" w:hAnsi="Arial"/>
          <w:sz w:val="16"/>
          <w:szCs w:val="16"/>
          <w:color w:val="auto"/>
        </w:rPr>
      </w:pPr>
    </w:p>
    <w:p>
      <w:pPr>
        <w:jc w:val="both"/>
        <w:ind w:left="540" w:right="420" w:hanging="424"/>
        <w:spacing w:after="0" w:line="302"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Pursuant to the Lawrence Employment Agreement, if the Company terminates Mr. Lawrence’s employment without Cause or Mr. Lawrence resigns for Good Reason, then during the 24 month period following the termination date, the Company shall provide Mr. Lawrence and his covered dependents medical insurance benefits no less favorable than those provided to active senior executives of the Company and their</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80"/>
          </w:cols>
          <w:pgMar w:left="320" w:top="459"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53" w:lineRule="auto"/>
        <w:rPr>
          <w:sz w:val="20"/>
          <w:szCs w:val="20"/>
          <w:color w:val="auto"/>
        </w:rPr>
      </w:pPr>
      <w:r>
        <w:rPr>
          <w:rFonts w:ascii="Arial" w:cs="Arial" w:eastAsia="Arial" w:hAnsi="Arial"/>
          <w:sz w:val="18"/>
          <w:szCs w:val="18"/>
          <w:color w:val="auto"/>
        </w:rPr>
        <w:t>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($912 per month).</w:t>
      </w:r>
    </w:p>
    <w:p>
      <w:pPr>
        <w:spacing w:after="0" w:line="3" w:lineRule="exact"/>
        <w:rPr>
          <w:sz w:val="20"/>
          <w:szCs w:val="20"/>
          <w:color w:val="auto"/>
        </w:rPr>
      </w:pPr>
    </w:p>
    <w:p>
      <w:pPr>
        <w:ind w:left="540" w:right="60" w:hanging="424"/>
        <w:spacing w:after="0" w:line="265" w:lineRule="auto"/>
        <w:tabs>
          <w:tab w:leader="none" w:pos="5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Pursuant to the Lawrence Employment Agreement, if the Company terminates Mr. Lawrence’s employment without Cause or Mr. Lawrence resigns for Good Reason, the Company shall pay an amount equal to the product of (x) the monthly basic life insurance premium applicable to his basic life insurance coverage immediately prior to the termination date ($15 per month), and (y) 24 months.</w:t>
      </w:r>
    </w:p>
    <w:p>
      <w:pPr>
        <w:jc w:val="both"/>
        <w:ind w:left="540" w:hanging="424"/>
        <w:spacing w:after="0" w:line="281"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amount of $94,592 above represents the value associated with the accelerated vesting of the Time Options upon a Change of Control, which is the product of (A) the difference between the Market Value Per Membership Interest and the exercise price ($5.26), and (B) 411,270 Time Options (the unvested portion under the 2019 Executive Option Agreement immediately prior to February 1, 2020, which is the entire grant).</w:t>
      </w:r>
    </w:p>
    <w:p>
      <w:pPr>
        <w:spacing w:after="0" w:line="1"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amount of $24,578 above represents the value associated with the accelerated vesting of the Performance Options upon a Change of Control, which is the product of (A) the difference between the Market Value Per Membership Interest and the exercise price ($5.26), and (B) 106,865 Performance Options (the unvested portion under the 2019 Executive Option Agreement immediately prior to February 1, 2020, which is the entire grant).</w:t>
      </w:r>
    </w:p>
    <w:p>
      <w:pPr>
        <w:spacing w:after="0" w:line="1" w:lineRule="exact"/>
        <w:rPr>
          <w:rFonts w:ascii="Arial" w:cs="Arial" w:eastAsia="Arial" w:hAnsi="Arial"/>
          <w:sz w:val="18"/>
          <w:szCs w:val="18"/>
          <w:color w:val="auto"/>
        </w:rPr>
      </w:pPr>
    </w:p>
    <w:p>
      <w:pPr>
        <w:ind w:left="540" w:right="240" w:hanging="424"/>
        <w:spacing w:after="0" w:line="273" w:lineRule="auto"/>
        <w:tabs>
          <w:tab w:leader="none" w:pos="5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Under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142,586 Restricted Units (under the 2019 Executive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Johnson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Any severance payments and benefits Mr. Johnson may be entitled to receive under the Johnson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Johnson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2" w:lineRule="exact"/>
        <w:rPr>
          <w:sz w:val="20"/>
          <w:szCs w:val="20"/>
          <w:color w:val="auto"/>
        </w:rPr>
      </w:pPr>
    </w:p>
    <w:p>
      <w:pPr>
        <w:ind w:left="120" w:right="100" w:hanging="4"/>
        <w:spacing w:after="0" w:line="255" w:lineRule="auto"/>
        <w:tabs>
          <w:tab w:leader="none" w:pos="37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Johnson’s employment without Cause or Mr. Johnson resigns for Good Reason, the Company shall pay:</w:t>
      </w:r>
    </w:p>
    <w:p>
      <w:pPr>
        <w:spacing w:after="0" w:line="129" w:lineRule="exact"/>
        <w:rPr>
          <w:sz w:val="20"/>
          <w:szCs w:val="20"/>
          <w:color w:val="auto"/>
        </w:rPr>
      </w:pPr>
    </w:p>
    <w:p>
      <w:pPr>
        <w:ind w:left="560" w:right="80" w:hanging="4"/>
        <w:spacing w:after="0" w:line="272" w:lineRule="auto"/>
        <w:tabs>
          <w:tab w:leader="none" w:pos="77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69" w:lineRule="exact"/>
        <w:rPr>
          <w:rFonts w:ascii="Arial" w:cs="Arial" w:eastAsia="Arial" w:hAnsi="Arial"/>
          <w:sz w:val="17"/>
          <w:szCs w:val="17"/>
          <w:color w:val="auto"/>
        </w:rPr>
      </w:pPr>
    </w:p>
    <w:p>
      <w:pPr>
        <w:ind w:left="560" w:hanging="4"/>
        <w:spacing w:after="0" w:line="270" w:lineRule="auto"/>
        <w:tabs>
          <w:tab w:leader="none" w:pos="82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rFonts w:ascii="Arial" w:cs="Arial" w:eastAsia="Arial" w:hAnsi="Arial"/>
          <w:sz w:val="17"/>
          <w:szCs w:val="17"/>
          <w:color w:val="auto"/>
        </w:rPr>
      </w:pPr>
    </w:p>
    <w:p>
      <w:pPr>
        <w:ind w:left="560" w:right="40" w:hanging="4"/>
        <w:spacing w:after="0" w:line="284" w:lineRule="auto"/>
        <w:tabs>
          <w:tab w:leader="none" w:pos="87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Johnson and his covered dependents medical insurance benefits, contingent on Mr. Johnson electing continuation coverage under COBRA,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 Mr. Johnson’s portion of such premiums as if Mr. Johnson was an active employee, which payment shall be paid in advance on the first payroll day of each month during the such 24-month period. Notwithstanding the foregoing, the payments provided under this clause shall cease at such time as Mr. Johnson commences to receive such benefits from a subsequent employer of</w:t>
      </w:r>
    </w:p>
    <w:p>
      <w:pPr>
        <w:ind w:left="560"/>
        <w:spacing w:after="0"/>
        <w:rPr>
          <w:rFonts w:ascii="Arial" w:cs="Arial" w:eastAsia="Arial" w:hAnsi="Arial"/>
          <w:sz w:val="16"/>
          <w:szCs w:val="16"/>
          <w:color w:val="auto"/>
        </w:rPr>
      </w:pPr>
      <w:r>
        <w:rPr>
          <w:rFonts w:ascii="Arial" w:cs="Arial" w:eastAsia="Arial" w:hAnsi="Arial"/>
          <w:sz w:val="18"/>
          <w:szCs w:val="18"/>
          <w:color w:val="auto"/>
        </w:rPr>
        <w:t>Mr. Johnson during the 24 month period following the termination date; and</w:t>
      </w:r>
    </w:p>
    <w:p>
      <w:pPr>
        <w:spacing w:after="0" w:line="102" w:lineRule="exact"/>
        <w:rPr>
          <w:rFonts w:ascii="Arial" w:cs="Arial" w:eastAsia="Arial" w:hAnsi="Arial"/>
          <w:sz w:val="16"/>
          <w:szCs w:val="16"/>
          <w:color w:val="auto"/>
        </w:rPr>
      </w:pPr>
    </w:p>
    <w:p>
      <w:pPr>
        <w:ind w:left="560" w:right="180" w:hanging="4"/>
        <w:spacing w:after="0" w:line="263" w:lineRule="auto"/>
        <w:tabs>
          <w:tab w:leader="none" w:pos="86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Johnson Employment Agreement contains the same definition of “Cause” provided in the Hicks Employment Agreement.</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Johnson Employment Agreement contains the same definition of “Good Reason” provided in the Hicks Employment Agreement, except that Mr. Johnson’s definition does not include clause (i) from Mr. Hicks’ definition and instead includes a material diminution of Mr. Johnson’s position, authority duties or other responsibilities from those as contemplated in his employment agreement. In addition, Mr. Johnson’s definition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includes the relocation of the principal place of employment to a location more than 50 miles from the principal place of employment provided in his employment agreement, if a move to such other location materially increases his commute. In addition, Mr. Johnson’s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161"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The Johnson Employment Agreement provides that in the event Mr. Johnson elects not to extend the employment agreement, such nonrenewal shall be deemed a termination by Mr. Johnson without Good Reason, and in the event the Company elects not to extend the employment period, such nonrenewal shall be deemed a termination by the Company of Mr. Johnson’s employment without Cause.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June 6, 2017, the Company granted 73,892 Time Options and 36,946 Performance Options with an exercise price of $5.30 to Mr. Johnson pursuant to the 2017 Executive Option Agreement. On April 5, 2018, the Company granted 104,670 Time Options with an exercise price of $5.23 to Mr. Johnson pursuant to the 2018 Executive Option Agreement. On March 7, 2019, the Company granted 21,504 Time Options and 59,844 Performance Options with an exercise price of $5.26 to Mr. Johnson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60" w:hanging="545"/>
        <w:spacing w:after="0" w:line="259" w:lineRule="auto"/>
        <w:tabs>
          <w:tab w:leader="none" w:pos="220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Johnson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100" w:hanging="545"/>
        <w:spacing w:after="0" w:line="263" w:lineRule="auto"/>
        <w:tabs>
          <w:tab w:leader="none" w:pos="220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8"/>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79" w:lineRule="auto"/>
        <w:tabs>
          <w:tab w:leader="none" w:pos="2200" w:val="left"/>
        </w:tabs>
        <w:numPr>
          <w:ilvl w:val="2"/>
          <w:numId w:val="158"/>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60" w:hanging="545"/>
        <w:spacing w:after="0" w:line="263" w:lineRule="auto"/>
        <w:tabs>
          <w:tab w:leader="none" w:pos="22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80" w:hanging="545"/>
        <w:spacing w:after="0" w:line="296" w:lineRule="auto"/>
        <w:tabs>
          <w:tab w:leader="none" w:pos="2200" w:val="left"/>
        </w:tabs>
        <w:numPr>
          <w:ilvl w:val="1"/>
          <w:numId w:val="159"/>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June 22, 2018, the Company granted 235,850 Restricted Units to Mr. Johnson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Johnson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0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16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1,316,378</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434,125</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87,284</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21,888</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17,299</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55,376</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rPr>
              <w:t>991</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15,747</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1,294,816</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38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$ 452,415</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1,425,910</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1,365,939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3"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Mr. Johnson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$463,840,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67" w:lineRule="auto"/>
        <w:tabs>
          <w:tab w:leader="none" w:pos="5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amount above represents the value associated with the accelerated vesting of the Time Options upon termination due to death or disability, which is the sum of: (i) $3,509, which is the product of (A) the difference between the Market Value Per Membership Interest and the exercise price ($5.30), and (B) 18,473 Time Options (the portion under the 2017 Executive Option Agreement that would have become vested on the vesting date immediately following termination had Mr. Johnson remained employed); (ii) $6,803, which is the product of (A) the difference between the Market Value Per Membership Interest and the exercise price ($5.23), and (B) 26,167 Time Options (the portion under the 2018 Executive Option Agreement that would have become vested on the vesting date immediately following termination had Mr. Johnson remained employed); and (iii) $6,986, which is the product of (A) the difference between the Market Value Per Membership Interest and the exercise price ($5.26), and (B) 30,376 Time Options (the portion under the 2019 Executive Option Agreement that would have become vested on the vesting date immediately following termination had Mr. Johnson remained employed).</w:t>
      </w:r>
    </w:p>
    <w:p>
      <w:pPr>
        <w:spacing w:after="0" w:line="1"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amount above represents the value associated with the accelerated vesting of the Performance Options upon termination due to death or disability, which is the product of (A) the difference between the Market Value Per Membership Interest and the exercise price ($5.30), and (B) 5,219 Performance Options (the Earned portion under the 2017 Executive Option Agreement that would have become vested on the vesting date immediately following termination had Mr. Johnson remained employed). None of Mr. Johnson’s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Pursuant to the Johnson Employment Agreement, if the Company terminates Mr. Johnson’s employment without Cause or Mr. Johnson resigns for Good Reason, the Company shall pay a cash severance payment in an amount equal to the product of (x) two multiplied by (y) the sum of (A) his base salary ($480,000 for 2019) and (B) the average annual bonus paid to (or earned by, to the extent not yet paid as of the termination date) him under the Executive Team Bonus Plan for the two fiscal years of the Company immediately preceding the fiscal year in which the termination date occurs ($269,094 for 2017 and $87,284 for 2018).</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Pursuant to the Johnson Employment Agreement, if the Company terminates Mr. Johnson’s employment without Cause or Mr. Johnson resigns for Good Reason, the Company shall pay an amount equal to the product of (x) the annual bonus he has earned under the Executive Team Bonus Plan for the fiscal year immediately preceding the fiscal year in which the termination date occurs ($87,284 for 2018), multiplied by (y) a fraction, the numerator of which is equal to the number of days between and including the first day of the fiscal year in which the termination date occurs and the termination date, and the denominator of which is equal to 365 (assumed to be the entire fiscal year).</w:t>
      </w:r>
    </w:p>
    <w:p>
      <w:pPr>
        <w:spacing w:after="0" w:line="2"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Pursuant to the Johnson Employment Agreement, if the Company terminates Mr. Johnson’s employment without Cause or Mr. Johnson resigns for Good Reason, then during the 24 month period following the termination date, the Company shall provide Mr. Johnson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3" w:lineRule="exact"/>
        <w:rPr>
          <w:rFonts w:ascii="Arial" w:cs="Arial" w:eastAsia="Arial" w:hAnsi="Arial"/>
          <w:sz w:val="16"/>
          <w:szCs w:val="16"/>
          <w:color w:val="auto"/>
        </w:rPr>
      </w:pPr>
    </w:p>
    <w:p>
      <w:pPr>
        <w:ind w:left="540" w:right="260"/>
        <w:spacing w:after="0" w:line="250" w:lineRule="auto"/>
        <w:rPr>
          <w:rFonts w:ascii="Arial" w:cs="Arial" w:eastAsia="Arial" w:hAnsi="Arial"/>
          <w:sz w:val="16"/>
          <w:szCs w:val="16"/>
          <w:color w:val="auto"/>
        </w:rPr>
      </w:pPr>
      <w:r>
        <w:rPr>
          <w:rFonts w:ascii="Arial" w:cs="Arial" w:eastAsia="Arial" w:hAnsi="Arial"/>
          <w:sz w:val="18"/>
          <w:szCs w:val="18"/>
          <w:color w:val="auto"/>
        </w:rPr>
        <w:t>Mr. Johnson’s portion of such premiums as if Mr. Johnson was an active employee, which payment shall be paid in advance on the first payroll day of each month during the such 24-month period ($912 per month).</w:t>
      </w:r>
    </w:p>
    <w:p>
      <w:pPr>
        <w:ind w:left="540" w:hanging="424"/>
        <w:spacing w:after="0" w:line="250"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Pursuant to the Johnson Employment Agreement, if the Company terminates Mr. Johnson’s employment without Cause or Mr. Johnson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Arial" w:cs="Arial" w:eastAsia="Arial" w:hAnsi="Arial"/>
          <w:sz w:val="18"/>
          <w:szCs w:val="18"/>
          <w:color w:val="auto"/>
        </w:rPr>
      </w:pPr>
    </w:p>
    <w:p>
      <w:pPr>
        <w:jc w:val="both"/>
        <w:ind w:left="540" w:right="200" w:hanging="424"/>
        <w:spacing w:after="0" w:line="281" w:lineRule="auto"/>
        <w:tabs>
          <w:tab w:leader="none" w:pos="54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$7,019, which is the product of (A) the difference between the Market Value Per Membership Interest and the exercise price ($5.30), and</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(B) 36,946 Time Options (the unvested portion under the 2017 Executive Option Agreement immediately prior to February 1,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(ii) $20,410, which is the product of (A) the difference between the Market Value Per Membership Interest and the exercise price ($5.23), and (B) 78,503 Time Options (the unvested portion under the 2018 Executive Option Agreement immediately prior to February 1, 2020); and (iii) $27,945, which is the product of (A) the difference between the Market Value Per Membership Interest and the exercise price ($5.26), and (B) 121,504 Time Options (the unvested portion under the 2019 Executive Option Agreement immediately prior to February 1, 2020, which is the entire grant).</w:t>
      </w:r>
    </w:p>
    <w:p>
      <w:pPr>
        <w:spacing w:after="0" w:line="3" w:lineRule="exact"/>
        <w:rPr>
          <w:sz w:val="20"/>
          <w:szCs w:val="20"/>
          <w:color w:val="auto"/>
        </w:rPr>
      </w:pPr>
    </w:p>
    <w:p>
      <w:pPr>
        <w:ind w:left="540" w:hanging="424"/>
        <w:spacing w:after="0" w:line="28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Performance Options upon a Change of Control, which is the sum of: (i) $1,983, which is the product of (A) the difference between the Market Value Per Membership Interest and the exercise price ($5.30), and (B) 10,438 Performance Options (the unvested and Earned portion under the 2017 Executive Option Agreement immediately prior to February 1, 2020); and (ii) $13,764, which is the product of (A) the difference between the Market Value Per Membership Interest and the exercise price ($5.26), and (B) 59,844 Performance Options (the unvested portion under the 2019 Executive Option Agreement immediately prior to February 1, 2020, which is the entire grant because the Change of Control occurs during the Option Grant Year).</w:t>
      </w:r>
    </w:p>
    <w:p>
      <w:pPr>
        <w:spacing w:after="0" w:line="3" w:lineRule="exact"/>
        <w:rPr>
          <w:rFonts w:ascii="Arial" w:cs="Arial" w:eastAsia="Arial" w:hAnsi="Arial"/>
          <w:sz w:val="16"/>
          <w:szCs w:val="16"/>
          <w:color w:val="auto"/>
        </w:rPr>
      </w:pPr>
    </w:p>
    <w:p>
      <w:pPr>
        <w:ind w:left="540" w:right="240" w:hanging="424"/>
        <w:spacing w:after="0" w:line="273" w:lineRule="auto"/>
        <w:tabs>
          <w:tab w:leader="none" w:pos="5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235,850 Restricted Units (under the 2018 Executive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Attaway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Any severance payments and benefits Mr. Attaway may be entitled to receive under the Attaway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Attaway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Attaway Employment Agreement, if his employment is terminated due to death or disability, the Company will pay to Mr. Attaway or his designated beneficiary or legal representative (if applicable):</w:t>
      </w:r>
    </w:p>
    <w:p>
      <w:pPr>
        <w:spacing w:after="0" w:line="62" w:lineRule="exact"/>
        <w:rPr>
          <w:sz w:val="20"/>
          <w:szCs w:val="20"/>
          <w:color w:val="auto"/>
        </w:rPr>
      </w:pPr>
    </w:p>
    <w:p>
      <w:pPr>
        <w:ind w:left="560" w:right="20" w:hanging="4"/>
        <w:spacing w:after="0" w:line="259" w:lineRule="auto"/>
        <w:tabs>
          <w:tab w:leader="none" w:pos="77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amount equal to one times his base salary as in effect on the termination date,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and</w:t>
      </w:r>
    </w:p>
    <w:p>
      <w:pPr>
        <w:spacing w:after="0" w:line="78" w:lineRule="exact"/>
        <w:rPr>
          <w:rFonts w:ascii="Arial" w:cs="Arial" w:eastAsia="Arial" w:hAnsi="Arial"/>
          <w:sz w:val="18"/>
          <w:szCs w:val="18"/>
          <w:color w:val="auto"/>
        </w:rPr>
      </w:pPr>
    </w:p>
    <w:p>
      <w:pPr>
        <w:ind w:left="560" w:hanging="4"/>
        <w:spacing w:after="0" w:line="273" w:lineRule="auto"/>
        <w:tabs>
          <w:tab w:leader="none" w:pos="825"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 amount equal to the bonus earned by him under the Executive Team Bonus Plan for the fiscal year of the Company immediately preceding the fiscal year of the Company in which the termination date occurs,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Such payment is in lieu of the bonus that would have otherwise been due to him under the Executive Team Bonus Plan for the performance period in which the termination date occurs.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Attaway’s employment without Cause or Mr. Attaway resigns for Good Reason, the Company shall pay:</w:t>
      </w:r>
    </w:p>
    <w:p>
      <w:pPr>
        <w:spacing w:after="0" w:line="129" w:lineRule="exact"/>
        <w:rPr>
          <w:sz w:val="20"/>
          <w:szCs w:val="20"/>
          <w:color w:val="auto"/>
        </w:rPr>
      </w:pPr>
    </w:p>
    <w:p>
      <w:pPr>
        <w:ind w:left="560" w:right="40" w:hanging="4"/>
        <w:spacing w:after="0" w:line="291" w:lineRule="auto"/>
        <w:tabs>
          <w:tab w:leader="none" w:pos="77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 cash severance payment in an amount equal to the product of (x) two multiplied by (y) the sum of (A) his base salary (at the rate in effect as of the last day of the year immediately preceding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58" w:lineRule="exact"/>
        <w:rPr>
          <w:rFonts w:ascii="Arial" w:cs="Arial" w:eastAsia="Arial" w:hAnsi="Arial"/>
          <w:sz w:val="16"/>
          <w:szCs w:val="16"/>
          <w:color w:val="auto"/>
        </w:rPr>
      </w:pPr>
    </w:p>
    <w:p>
      <w:pPr>
        <w:ind w:left="560" w:hanging="4"/>
        <w:spacing w:after="0" w:line="270" w:lineRule="auto"/>
        <w:tabs>
          <w:tab w:leader="none" w:pos="82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rFonts w:ascii="Arial" w:cs="Arial" w:eastAsia="Arial" w:hAnsi="Arial"/>
          <w:sz w:val="17"/>
          <w:szCs w:val="17"/>
          <w:color w:val="auto"/>
        </w:rPr>
      </w:pPr>
    </w:p>
    <w:p>
      <w:pPr>
        <w:ind w:left="560" w:right="40" w:hanging="4"/>
        <w:spacing w:after="0" w:line="284" w:lineRule="auto"/>
        <w:tabs>
          <w:tab w:leader="none" w:pos="87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Attaway and his covered dependents medical insurance benefits, contingent on Mr. Attaway electing continuation coverage under COBRA,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 Mr. Attaway’s portion of such premiums as if Mr. Attaway was an active employee, which payment shall be paid in advance on the first payroll day of each month during the such 24-month period. Notwithstanding the foregoing, the payments provided under this clause shall cease at such time as Mr. Attaway commences to receive such benefits from a subsequent employer of</w:t>
      </w:r>
    </w:p>
    <w:p>
      <w:pPr>
        <w:ind w:left="560"/>
        <w:spacing w:after="0"/>
        <w:rPr>
          <w:rFonts w:ascii="Arial" w:cs="Arial" w:eastAsia="Arial" w:hAnsi="Arial"/>
          <w:sz w:val="16"/>
          <w:szCs w:val="16"/>
          <w:color w:val="auto"/>
        </w:rPr>
      </w:pPr>
      <w:r>
        <w:rPr>
          <w:rFonts w:ascii="Arial" w:cs="Arial" w:eastAsia="Arial" w:hAnsi="Arial"/>
          <w:sz w:val="18"/>
          <w:szCs w:val="18"/>
          <w:color w:val="auto"/>
        </w:rPr>
        <w:t>Mr. Attaway during the 24 month period following the termination date; and</w:t>
      </w:r>
    </w:p>
    <w:p>
      <w:pPr>
        <w:spacing w:after="0" w:line="102" w:lineRule="exact"/>
        <w:rPr>
          <w:rFonts w:ascii="Arial" w:cs="Arial" w:eastAsia="Arial" w:hAnsi="Arial"/>
          <w:sz w:val="16"/>
          <w:szCs w:val="16"/>
          <w:color w:val="auto"/>
        </w:rPr>
      </w:pPr>
    </w:p>
    <w:p>
      <w:pPr>
        <w:ind w:left="560" w:right="180" w:hanging="4"/>
        <w:spacing w:after="0" w:line="263" w:lineRule="auto"/>
        <w:tabs>
          <w:tab w:leader="none" w:pos="8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Attaway Employment Agreement contains the same definition of “Cause” provided in the Hicks Employment Agreement.</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Attaway Employment Agreement contains the same definition of “Good Reason” provided in the Hicks Employment Agreement, except that clause (i) of Mr. Attaway’s definition also includes any material diminution of his title, authority, duties or reporting lines and clause (ii) is a reduction in base salary and target bonus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opportunity, in the aggregate, from Mr. Attaway’s base salary and target bonus opportunity, in the aggregate, for the Company’s 2012 fiscal year, or if greater, from Mr. Attaway’s base salary and target bonus opportunity, in the aggregate, as set by the Board from time to time following the date of Attaway Employment Agreement. In addition, Mr. Attaway’s definition also includes the relocation of the principal place of employment to a location more than thirty-five (35) miles from the principal place of employment provided in his employment agreement, if a move to such other location materially increases his commute.</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Attaway Employment Agreement provides that in the event the Company elects not to extend the employment period, such nonrenewal shall be deemed a termination by the Company of Mr. Attaway’s employment without Cause.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March 27, 2016, the Company granted 118,337 Time Options with an exercise price of $5.30 to Mr. Attaway pursuant to the 2016 Executive Option Agreement. On March 23, 2017, the Company granted 123,154 Time Options and 61,576 Performance Options with an exercise price of $5.30 to Mr. Attaway pursuant to the 2017 Executive Option Agreement. On April 5, 2018, the Company granted 112,722 Time Options with an exercise price of $5.23 to Mr. Attaway pursuant to the 2018 Executive Option Agreement. On March 7, 2019, the Company granted 112,824 Time Options and 55,570 Performance Options with an exercise price of $5.26 to Mr. Attaway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each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20" w:hanging="545"/>
        <w:spacing w:after="0" w:line="259" w:lineRule="auto"/>
        <w:tabs>
          <w:tab w:leader="none" w:pos="22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Attaway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80" w:hanging="545"/>
        <w:spacing w:after="0" w:line="263" w:lineRule="auto"/>
        <w:tabs>
          <w:tab w:leader="none" w:pos="22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00" w:hanging="545"/>
        <w:spacing w:after="0" w:line="279" w:lineRule="auto"/>
        <w:tabs>
          <w:tab w:leader="none" w:pos="2200" w:val="left"/>
        </w:tabs>
        <w:numPr>
          <w:ilvl w:val="2"/>
          <w:numId w:val="165"/>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65"/>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640" w:hanging="545"/>
        <w:spacing w:after="0" w:line="277" w:lineRule="auto"/>
        <w:tabs>
          <w:tab w:leader="none" w:pos="220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of the Membership Units that are subject to such unvested portion, immediately prior to such Change of Control.</w:t>
      </w:r>
    </w:p>
    <w:p>
      <w:pPr>
        <w:spacing w:after="0" w:line="131" w:lineRule="exact"/>
        <w:rPr>
          <w:sz w:val="20"/>
          <w:szCs w:val="20"/>
          <w:color w:val="auto"/>
        </w:rPr>
      </w:pPr>
    </w:p>
    <w:p>
      <w:pPr>
        <w:ind w:left="2200" w:right="180" w:hanging="545"/>
        <w:spacing w:after="0" w:line="296" w:lineRule="auto"/>
        <w:tabs>
          <w:tab w:leader="none" w:pos="220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June 22, 2018, the Company granted 141,510 Restricted Units to Mr. Attaway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Attaway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4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gridSpan w:val="3"/>
          </w:tcPr>
          <w:p>
            <w:pPr>
              <w:jc w:val="center"/>
              <w:ind w:right="444"/>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94"/>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6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02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531,677</w:t>
            </w:r>
          </w:p>
        </w:tc>
        <w:tc>
          <w:tcPr>
            <w:tcW w:w="50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76"/>
              </w:rPr>
              <w:t>(1)</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1,244,520</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20" w:type="dxa"/>
            <w:vAlign w:val="bottom"/>
          </w:tcPr>
          <w:p>
            <w:pPr>
              <w:spacing w:after="0"/>
              <w:rPr>
                <w:sz w:val="18"/>
                <w:szCs w:val="18"/>
                <w:color w:val="auto"/>
              </w:rPr>
            </w:pPr>
          </w:p>
        </w:tc>
        <w:tc>
          <w:tcPr>
            <w:tcW w:w="128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83,677</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20,856</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25,285</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65,251</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jc w:val="right"/>
              <w:ind w:right="264"/>
              <w:spacing w:after="0"/>
              <w:rPr>
                <w:sz w:val="20"/>
                <w:szCs w:val="20"/>
                <w:color w:val="auto"/>
              </w:rPr>
            </w:pPr>
            <w:r>
              <w:rPr>
                <w:rFonts w:ascii="Arial" w:cs="Arial" w:eastAsia="Arial" w:hAnsi="Arial"/>
                <w:sz w:val="18"/>
                <w:szCs w:val="18"/>
                <w:color w:val="auto"/>
              </w:rPr>
              <w:t>1,652</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16,086</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776,889</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52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$ 558,614</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1,349,413</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858,226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84" w:lineRule="auto"/>
        <w:tabs>
          <w:tab w:leader="none" w:pos="5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Pursuant to the Attaway Employment Agreement, if his employment is terminated due to death or disability, the Company will pay to Mr. Attaway or his designated beneficiary or legal representative (if applicable) (i) an amount equal to one times his base salary as in effect on the termination date, payable in equal installments ratably over twelve months following the termination date in accordance with the Company’s normal payroll cycle and procedures ($448,000 for 2019); and (ii) an amount equal to the bonus earned by him under the Executive Team Bonus Plan for the fiscal year immediately preceding the fiscal year in which the termination date occurs, payable in equal installments ratably over twelve months following the termination date in accordance with the Company’s normal payroll cycle and procedures ($83,677 for 2018).</w:t>
      </w:r>
    </w:p>
    <w:p>
      <w:pPr>
        <w:spacing w:after="0" w:line="4" w:lineRule="exact"/>
        <w:rPr>
          <w:rFonts w:ascii="Arial" w:cs="Arial" w:eastAsia="Arial" w:hAnsi="Arial"/>
          <w:sz w:val="16"/>
          <w:szCs w:val="16"/>
          <w:color w:val="auto"/>
        </w:rPr>
      </w:pPr>
    </w:p>
    <w:p>
      <w:pPr>
        <w:ind w:left="540" w:right="280" w:hanging="424"/>
        <w:spacing w:after="0" w:line="290" w:lineRule="auto"/>
        <w:tabs>
          <w:tab w:leader="none" w:pos="5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termination due to death or disability, which is the sum of: (i) $5,621, which is the product of (A) the difference between the Market Value Per Membership Interest and the exercise price ($5.30), and (B) 29,585 Time Options (the portion under the 2016 Executive Option Agreement that would have become vested on the vesting date immediately following termination had Mr. Attaway remained employed); (ii) $5,849, which is the product of (A) the difference between the Market Value Per Membership Interest and the exercise price ($5.30), and (B) 30,789 Time Options (the portion under the 2017 Executive Option Agreement that would have become vested on the vesting date immediately following termination had</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Mr. Attaway remained employed); (iii) $7,326, which is the product of (A) the difference between the Market Value Per Membership Interest and the exercise price ($5.23), and (B) 28,180 Time Options (the portion under the 2018 Executive Option Agreement that would have become vested on the vesting date immediately following termination had Mr. Attaway remained employed); and (iv) $6,487, which is the product of (A) the difference between the Market Value Per Membership Interest and the exercise price ($5.26), and (B) 28,206 Time Options (the portion under the 2019 Executive Option Agreement that would have become vested on the vesting date immediately following termination had Mr. Attaway remained employed).</w:t>
      </w:r>
    </w:p>
    <w:p>
      <w:pPr>
        <w:spacing w:after="0" w:line="1" w:lineRule="exact"/>
        <w:rPr>
          <w:sz w:val="20"/>
          <w:szCs w:val="20"/>
          <w:color w:val="auto"/>
        </w:rPr>
      </w:pPr>
    </w:p>
    <w:p>
      <w:pPr>
        <w:ind w:left="540" w:right="240" w:hanging="424"/>
        <w:spacing w:after="0" w:line="250"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amount of $1,652 above represents the value associated with the accelerated vesting of the Performance Options upon termination due to death or disability, which is the product of (A) the difference between the Market Value Per Membership Interest and the exercise price ($5.30), and (B) 8,698 Performance Options (the Earned portion under the 2017 Executive Option Agreement that would have become vested on the vesting date immediately following termination had Mr. Attaway remained employed). None of Mr. Attaway’s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Pursuant to the Attaway Employment Agreement, if the Company terminates Mr. Attaway’s employment without Cause or Mr. Attaway resigns for Good Reason, the Company shall pay a cash severance payment in an amount equal to the product of (x) two multiplied by (y) the sum of</w:t>
      </w:r>
    </w:p>
    <w:p>
      <w:pPr>
        <w:spacing w:after="0" w:line="1" w:lineRule="exact"/>
        <w:rPr>
          <w:rFonts w:ascii="Arial" w:cs="Arial" w:eastAsia="Arial" w:hAnsi="Arial"/>
          <w:sz w:val="16"/>
          <w:szCs w:val="16"/>
          <w:color w:val="auto"/>
        </w:rPr>
      </w:pPr>
    </w:p>
    <w:p>
      <w:pPr>
        <w:ind w:left="540" w:firstLine="8"/>
        <w:spacing w:after="0" w:line="250" w:lineRule="auto"/>
        <w:tabs>
          <w:tab w:leader="none" w:pos="83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his base salary at the rate in effect as of the last day of the year immediately preceding the termination date ($448,000 as of the last day of 2018) and (B) the average annual bonus paid to (or earned by, to the extent not yet paid as of the termination date) him under the Executive Team Bonus Plan for the two fiscal years of the Company immediately preceding the fiscal year in which the termination date occurs ($264,844 for 2017 and $83,677 for 2018).</w:t>
      </w:r>
    </w:p>
    <w:p>
      <w:pPr>
        <w:spacing w:after="0" w:line="1"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Pursuant to the Attaway Employment Agreement, if the Company terminates Mr. Attaway’s employment without Cause or Mr. Attaway resigns for Good Reason, the Company shall pay an amount equal to the product of (x) the annual bonus he has earned under the Executive Team Bonus Plan for the fiscal year immediately preceding the fiscal year in which the termination date occurs ($83,677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2" w:lineRule="exact"/>
        <w:rPr>
          <w:rFonts w:ascii="Arial" w:cs="Arial" w:eastAsia="Arial" w:hAnsi="Arial"/>
          <w:sz w:val="16"/>
          <w:szCs w:val="16"/>
          <w:color w:val="auto"/>
        </w:rPr>
      </w:pPr>
    </w:p>
    <w:p>
      <w:pPr>
        <w:ind w:left="540" w:right="100" w:hanging="424"/>
        <w:spacing w:after="0" w:line="281"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Pursuant to the Attaway Employment Agreement, if the Company terminates Mr. Attaway’s employment without Cause or Mr. Attaway resigns for Good Reason, then during the 24 month period following the termination date, the Company shall provide Mr. Attaway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3" w:lineRule="exact"/>
        <w:rPr>
          <w:rFonts w:ascii="Arial" w:cs="Arial" w:eastAsia="Arial" w:hAnsi="Arial"/>
          <w:sz w:val="16"/>
          <w:szCs w:val="16"/>
          <w:color w:val="auto"/>
        </w:rPr>
      </w:pPr>
    </w:p>
    <w:p>
      <w:pPr>
        <w:ind w:left="540" w:right="280"/>
        <w:spacing w:after="0" w:line="250" w:lineRule="auto"/>
        <w:rPr>
          <w:rFonts w:ascii="Arial" w:cs="Arial" w:eastAsia="Arial" w:hAnsi="Arial"/>
          <w:sz w:val="16"/>
          <w:szCs w:val="16"/>
          <w:color w:val="auto"/>
        </w:rPr>
      </w:pPr>
      <w:r>
        <w:rPr>
          <w:rFonts w:ascii="Arial" w:cs="Arial" w:eastAsia="Arial" w:hAnsi="Arial"/>
          <w:sz w:val="18"/>
          <w:szCs w:val="18"/>
          <w:color w:val="auto"/>
        </w:rPr>
        <w:t>Mr. Attaway’s portion of such premiums as if Mr. Attaway was an active employee, which payment shall be paid in advance on the first payroll day of each month during the such 24-month period ($869 per month).</w:t>
      </w:r>
    </w:p>
    <w:p>
      <w:pPr>
        <w:jc w:val="both"/>
        <w:ind w:left="540" w:right="220" w:hanging="424"/>
        <w:spacing w:after="0" w:line="265" w:lineRule="auto"/>
        <w:tabs>
          <w:tab w:leader="none" w:pos="5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Pursuant to the Attaway Employment Agreement, if the Company terminates Mr. Attaway’s employment without Cause or Mr. Attaway resigns for Good Reason, the Company shall pay an amount equal to the product of (x) the monthly basic life insurance premium applicable to his basic life insurance coverage immediately prior to the termination date ($15 per month), and (y) 24 months.</w:t>
      </w:r>
    </w:p>
    <w:p>
      <w:pPr>
        <w:jc w:val="both"/>
        <w:ind w:left="540" w:right="240" w:hanging="424"/>
        <w:spacing w:after="0" w:line="281"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$5,621, which is the product of (A) the difference between the Market Value Per Membership Interest and the exercise price ($5.30), and</w:t>
      </w:r>
    </w:p>
    <w:p>
      <w:pPr>
        <w:spacing w:after="0" w:line="1" w:lineRule="exact"/>
        <w:rPr>
          <w:rFonts w:ascii="Arial" w:cs="Arial" w:eastAsia="Arial" w:hAnsi="Arial"/>
          <w:sz w:val="16"/>
          <w:szCs w:val="16"/>
          <w:color w:val="auto"/>
        </w:rPr>
      </w:pPr>
    </w:p>
    <w:p>
      <w:pPr>
        <w:jc w:val="both"/>
        <w:ind w:left="540" w:right="80" w:firstLine="8"/>
        <w:spacing w:after="0" w:line="255" w:lineRule="auto"/>
        <w:tabs>
          <w:tab w:leader="none" w:pos="82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29,585 Time Options (the unvested portion under the 2016 Executive Option Agreement immediately prior to February 1, 2020); (ii) $11,699, which is the product of (A) the difference between the Market Value Per Membership Interest and the exercise price ($5.30), and (B) 61,578 Time Options (the unvested portion under the 2017 Executive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Option Agreement immediately prior to February 1, 2020); (iii) $21,980, which is the product of (A) the difference between the Market Value Per Membership Interest and the exercise price ($5.23), and (B) 84,542 Time Options (the unvested portion under the 2018 Executive Option Agreement immediately prior to February 1, 2020); and (iv) $25,949, which is the product of (A) the difference between the Market Value Per Membership Interest and the exercise price ($5.26), and (B) 112,824 Time Options (the unvested portion under the 2019 Executive Option Agreement immediately prior to February 1, 2020, which is the entire grant).</w:t>
      </w:r>
    </w:p>
    <w:p>
      <w:pPr>
        <w:spacing w:after="0" w:line="3" w:lineRule="exact"/>
        <w:rPr>
          <w:sz w:val="20"/>
          <w:szCs w:val="20"/>
          <w:color w:val="auto"/>
        </w:rPr>
      </w:pPr>
    </w:p>
    <w:p>
      <w:pPr>
        <w:ind w:left="540" w:hanging="424"/>
        <w:spacing w:after="0" w:line="281"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Performance Options upon a Change of Control, which is the sum of: (i) $3,305, which is the product of (A) the difference between the Market Value Per Membership Interest and the exercise price ($5.30), and (B) 17,396 Performance Options (the unvested and Earned portion under the 2017 Executive Option Agreement immediately prior to February 1, 2020); and (ii) $12,781, which is the product of (A) the difference between the Market Value Per Membership Interest and the exercise price ($5.26), and (B) 55,570 Performance Options (the unvested portion under the 2019 Executive Option Agreement immediately prior to February 1, 2020, which is the entire grant because the Change of Control occurs during the Option Grant Year).</w:t>
      </w:r>
    </w:p>
    <w:p>
      <w:pPr>
        <w:spacing w:after="0" w:line="3" w:lineRule="exact"/>
        <w:rPr>
          <w:rFonts w:ascii="Arial" w:cs="Arial" w:eastAsia="Arial" w:hAnsi="Arial"/>
          <w:sz w:val="16"/>
          <w:szCs w:val="16"/>
          <w:color w:val="auto"/>
        </w:rPr>
      </w:pPr>
    </w:p>
    <w:p>
      <w:pPr>
        <w:ind w:left="540" w:right="240" w:hanging="424"/>
        <w:spacing w:after="0" w:line="273" w:lineRule="auto"/>
        <w:tabs>
          <w:tab w:leader="none" w:pos="54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141,510 Restricted Units (under the 2018 Executive Restricted Unit Agreement) and the Market Value Per Membership Unit.</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Under the 2019 Board compensation program, non-employee directors who are not employed by KKR were paid a retainer of $25,000 in cash per fiscal quarter completed. Such non-employee directors also received a grant of $100,000 in Restricted Units with a one (1) year vesting condition in the first quarter of 2019. Directors may request that the Company buy back Membership Units issued upon settlement of the Restricted Units, up to 37% of the fair market value of the Membership Units issued.</w:t>
      </w:r>
    </w:p>
    <w:p>
      <w:pPr>
        <w:spacing w:after="0" w:line="18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following table contains information concerning the compensation of Messrs. Simon and Marley, our non-employee directors who are not employed by KKR, in 2019. Mr. Hicks did not receive any additional compensation for his service as Chairman of our Board in 2020 and none of the directors who are employed by KKR are compensated by the Company for their service on the Board.</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 Table for 2019</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Fees Earned or</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Stock</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420" w:type="dxa"/>
            <w:vAlign w:val="bottom"/>
          </w:tcPr>
          <w:p>
            <w:pPr>
              <w:spacing w:after="0"/>
              <w:rPr>
                <w:sz w:val="15"/>
                <w:szCs w:val="15"/>
                <w:color w:val="auto"/>
              </w:rPr>
            </w:pPr>
          </w:p>
        </w:tc>
        <w:tc>
          <w:tcPr>
            <w:tcW w:w="68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($)(2)(3)</w:t>
            </w:r>
          </w:p>
        </w:tc>
        <w:tc>
          <w:tcPr>
            <w:tcW w:w="4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F. Simon</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9"/>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6"/>
              </w:rPr>
              <w:t>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Brian T. Marley</w:t>
            </w: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w w:val="89"/>
              </w:rPr>
              <w:t>100,000</w:t>
            </w:r>
          </w:p>
        </w:tc>
        <w:tc>
          <w:tcPr>
            <w:tcW w:w="4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Amounts reflect the aggregate amount of cash retainers paid during 2019.</w:t>
      </w:r>
    </w:p>
    <w:p>
      <w:pPr>
        <w:spacing w:after="0" w:line="23"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Amounts reflect the full grant-date fair value of Restricted Units granted during 2019 computed in accordance with ASC Topic 718, rather than the amounts paid to or realized by the named individual. See Note 10, </w:t>
      </w:r>
      <w:r>
        <w:rPr>
          <w:rFonts w:ascii="Arial" w:cs="Arial" w:eastAsia="Arial" w:hAnsi="Arial"/>
          <w:sz w:val="18"/>
          <w:szCs w:val="18"/>
          <w:i w:val="1"/>
          <w:iCs w:val="1"/>
          <w:color w:val="auto"/>
        </w:rPr>
        <w:t>Equity and Unit-Based Compensation</w:t>
      </w:r>
      <w:r>
        <w:rPr>
          <w:rFonts w:ascii="Arial" w:cs="Arial" w:eastAsia="Arial" w:hAnsi="Arial"/>
          <w:sz w:val="18"/>
          <w:szCs w:val="18"/>
          <w:color w:val="auto"/>
        </w:rPr>
        <w:t xml:space="preserve"> to our consolidated financial statements included in this prospectus for the assumptions used in calculating these values.</w:t>
      </w:r>
    </w:p>
    <w:p>
      <w:pPr>
        <w:spacing w:after="0" w:line="1" w:lineRule="exact"/>
        <w:rPr>
          <w:rFonts w:ascii="Arial" w:cs="Arial" w:eastAsia="Arial" w:hAnsi="Arial"/>
          <w:sz w:val="18"/>
          <w:szCs w:val="18"/>
          <w:color w:val="auto"/>
        </w:rPr>
      </w:pPr>
    </w:p>
    <w:p>
      <w:pPr>
        <w:ind w:left="540" w:right="180" w:hanging="424"/>
        <w:spacing w:after="0" w:line="281"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Each non-employee director has been granted Restricted Units pursuant to a Restricted Unit Agreement under the 2011 Equity Plan, which contains the following vesting terms: subject to the grantee’s continued service on such date, 100% of the Restricted Units vest on the earliest of</w:t>
      </w:r>
    </w:p>
    <w:p>
      <w:pPr>
        <w:spacing w:after="0" w:line="1" w:lineRule="exact"/>
        <w:rPr>
          <w:rFonts w:ascii="Arial" w:cs="Arial" w:eastAsia="Arial" w:hAnsi="Arial"/>
          <w:sz w:val="16"/>
          <w:szCs w:val="16"/>
          <w:color w:val="auto"/>
        </w:rPr>
      </w:pPr>
    </w:p>
    <w:p>
      <w:pPr>
        <w:ind w:left="540" w:right="100"/>
        <w:spacing w:after="0" w:line="255" w:lineRule="auto"/>
        <w:rPr>
          <w:rFonts w:ascii="Arial" w:cs="Arial" w:eastAsia="Arial" w:hAnsi="Arial"/>
          <w:sz w:val="16"/>
          <w:szCs w:val="16"/>
          <w:color w:val="auto"/>
        </w:rPr>
      </w:pPr>
      <w:r>
        <w:rPr>
          <w:rFonts w:ascii="Arial" w:cs="Arial" w:eastAsia="Arial" w:hAnsi="Arial"/>
          <w:sz w:val="18"/>
          <w:szCs w:val="18"/>
          <w:color w:val="auto"/>
        </w:rPr>
        <w:t>(i) the first anniversary of the grant date, (ii) the grantee’s death or disability, or (iii) a Change of Control (as defined in the 2011 Equity Plan). As of the 2019 fiscal year end, each of Messrs. Marley and Simon held 19,012 Restricted Units granted on March 7, 2019 (which vested in full on March 7, 2020). In addition, on March 5, 2020, each of Messrs.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00"/>
        <w:spacing w:after="0" w:line="277" w:lineRule="auto"/>
        <w:rPr>
          <w:sz w:val="20"/>
          <w:szCs w:val="20"/>
          <w:color w:val="auto"/>
        </w:rPr>
      </w:pPr>
      <w:r>
        <w:rPr>
          <w:rFonts w:ascii="Arial" w:cs="Arial" w:eastAsia="Arial" w:hAnsi="Arial"/>
          <w:sz w:val="18"/>
          <w:szCs w:val="18"/>
          <w:color w:val="auto"/>
        </w:rPr>
        <w:t>Marley and Simon was granted 18,215 Restricted Units, all of which vest on the earliest of (i) the first anniversary of the grant date, (ii) the grantee’s death or disability or (iii) a Change of Control.</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December 2020, we adopted the following annual compensation policy pursuant to which each of our non-employee directors who are not employed by KKR or any of its affiliates will be entitled to the following compensation:</w:t>
      </w:r>
    </w:p>
    <w:p>
      <w:pPr>
        <w:spacing w:after="0" w:line="76" w:lineRule="exact"/>
        <w:rPr>
          <w:sz w:val="20"/>
          <w:szCs w:val="20"/>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annual cash retainer of $100,000, payable quarterly in arrears;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 annual cash retainer of $30,000 for our lead director, payable quarterly in arrears;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non-employee director serving as chair of the following committees of our Board will receive the following additional annual retainers, each of which is also payable quarterly in arrears: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Audit Committee Chair: $25,000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Compensation Committee Chair: $25,000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Nominating and Governance Chair: $15,000; and</w:t>
      </w:r>
    </w:p>
    <w:p>
      <w:pPr>
        <w:spacing w:after="0" w:line="130"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an annual grant of restricted stock units having a grant date fair market value equal to $130,000 to be granted on the first business day following our annual meeting of stockholders and which will be converted into the number of restricted stock units to be granted based on the prior 30 calendar days’ average closing price of our common stock on the grant date and vest 100% on the earliest of (i) the first anniversary of the date of grant, or, if earlier, the date which is the business day immediately preceding the date of the next annual meeting of stockholders, (ii) the director’s termination due to death or disability or (iii) a Change in Control (as defined in the 2020 Equity Plan).</w:t>
      </w:r>
    </w:p>
    <w:p>
      <w:pPr>
        <w:spacing w:after="0" w:line="16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Non-employee directors (other than the directors employed by KKR and its affiliates) who commence, or terminate, service during the fiscal quarter will receive pro-rated cash retainers.</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 restricted stock unit award having the terms described above will be granted to each new nonemployee director (other than the directors employed by KKR or its affiliates) on the date the new director is appointed to the Board having a grant date fair market value equal to $130,000 pro-rated based on the number of calendar days remaining before (a) the next annual stockholders meeting, if scheduled, or (b) the date of the first anniversary of the last annual stockholders meeting, if the next annual stockholders meeting is not scheduled. If the director is appointed 60 days or less prior to the annual stockholders meeting, no equity award grant will be made prior to such meeting to the new director.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will also be reimbursed for travel and lodging expenses associated with attendance at Board or committee meetings.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In connection with the IPO, we entered into a stockholders’ agreement with the KKR Stockholders. The stockholders’ agreement grants the KKR Stockholders the right to nominate to our board of directors a number of designees equal to: (i) at least a majority of the total number of directors comprising our board of directors at such time as long as the KKR Stockholders and their affiliates collectively beneficially own at least 50% of the outstanding shares of our common stock; (ii) at least 40% of the total number of directors comprising our board of directors at such time as long as the KKR Stockholders and their affiliates collectively beneficially own at least 40% but less than 50% of the outstanding shares of our common stock;</w:t>
      </w:r>
    </w:p>
    <w:p>
      <w:pPr>
        <w:spacing w:after="0" w:line="2" w:lineRule="exact"/>
        <w:rPr>
          <w:sz w:val="20"/>
          <w:szCs w:val="20"/>
          <w:color w:val="auto"/>
        </w:rPr>
      </w:pPr>
    </w:p>
    <w:p>
      <w:pPr>
        <w:ind w:left="120" w:right="20" w:hanging="4"/>
        <w:spacing w:after="0" w:line="286" w:lineRule="auto"/>
        <w:tabs>
          <w:tab w:leader="none" w:pos="435"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at least 30% of the total number of directors comprising our board of directors at such time as long as the KKR Stockholders and their affiliates collectively beneficially own at least 30% but less than 40% of the outstanding shares of our common stock; (iv) at least 20% of the total number of directors comprising our board of directors at such time as long as the KKR Stockholders and their affiliates collectively beneficially own at least 20% but less 30% of the outstanding shares of our common stock; and (v) at least 10% of the total number of directors comprising our board of directors at such time as long as the KKR Stockholders and their affiliates collectively beneficially own at least 5% but less than 20% of the outstanding shares of our common stock. For purposes of calculating the number of directors that the KKR Stockholders are entitled to nominate pursuant to the formula outlined above, any fractional amounts are rounded up to the nearest whole number and the calculation is made on a pro forma basis, taking into account any increase in the size of our board of directors (e.g., one and one quarter (1</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KKR Stockholders director designee, the KKR Stockholders shall, to the fullest extent permitted by law, have the right to have the vacancy filled by a new KKR Stockholders director-designee.</w:t>
      </w:r>
    </w:p>
    <w:p>
      <w:pPr>
        <w:spacing w:after="0" w:line="16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the stockholders’ agreement grants the KKR Stockholders with special governance rights, for as long as the KKR Stockholders and their affiliates collectively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connection with the IPO, we amended and restated the registration rights agreement among New Academy Holding Company, LLC, Allstar LLC, Allstar Managers and the Gochman Investors to add Academy Sports and Outdoors, Inc. and other KKR Stockholders as parties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 Subject to certain conditions, the registration rights agreement provides KKR Stockholders with an unlimited number of “demand” registrations, and provides the Gochman Investors with three “demand” registrations following the IPO. Under the registration rights agreement, all holders of registrable securities party thereto are provided with customary “piggyback” registration rights following the IPO,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Monitoring Agreement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August 3, 2011, or the Effective Date, we entered into a monitoring agreement, or the Monitoring Agreement, with Kohlberg Kravis Roberts &amp; Co. L.P., or the Adviser, pursuant to which the Adviser provided advisory, consulting and financial services to us. In accordance with the terms of the Monitoring Agreement, we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paid an aggregate annual advisory fee which increased by 5.0% annually on each anniversary of the Effective Date. The Adviser could also charge us a customary fee for services rendered in connection with securing, structuring and negotiating equity and debt financings by us. Additionally, we were required to reimburse the Adviser for any out-of-pocket expenses in connection with these services.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the completion of the IPO in the third quarter 2020, the Monitoring Agreement terminated automatically and we paid the final termination fee of $12.3 million. The termination fee was equal to the net present value of the advisory fees that would have been paid from the termination date through the twelfth anniversary of the Effective Date of the Monitoring Agreement. Pursuant to a separate agreement, the Adviser shared $1.6 million of such termination fee with the Gochman Investors. We recognized advisory fees related to the Monitoring Agreement, including reimbursement of expenses, of approximately $3.6 million, $3.5 million and $3.4 million in 2019, 2018, and 2017, respectively. We recognized advisory fees related to the Monitoring Agreement, including reimbursement of expenses and the termination fee, of approximately $14.8 million in the thirty-nine weeks ended October 31, 2020, and $2.7 million in the thirty-nine weeks ended November 2, 2019. These expenses are included in selling, general and administrative expenses in the statements of income.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Purchases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For 2019, 2018 and 2017, executives and directors of the Company made cash purchases of contingently redeemable membership units, or Redeemable Membership Units, in Allstar Managers, which is 100% owned by certain current and former executives and directors of the Company and was formed to facilitate the purchase of the Redeemable Membership Units in the Company and which in turn also owns Membership Units in New Academy Holding Company, LLC on a one-for-one basis. The cash purchases were for approximately $0.1 million, $1.3 million and $1.2 million, respectively. The cash consideration paid for the Redeemable Membership Units was subsequently contributed to New Academy Holding Company, LLC by Allstar Managers in exchange for a number of New Academy Holding Company, LLC Membership Units equal to the number of Redeemable Membership Units purchased.</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During 2019, Allstar Managers repurchased at fair market value approximately $0.5 million of Redeemable Membership Units from a director and an executive of the Company for cash. New Academy Holding Company, LLC concurrently repurchased from Allstar Managers for cash, at fair market value, a number of its membership units equal to the number for Redeemable Membership Units repurchased from the director and executive. In connection with the Reorganization Transactions, Allstar Managers, LLC contributed the membership units of New Academy Holding Company, LLC it held to Academy Sports and Outdoors, Inc. in exchange for shares of our common stock at a contribution ratio of 3.15 units of New Academy Holding Company, LLC for 1 share of Academy Sports and Outdoors, Inc.’s common stock and the outstanding Redeemable Membership Units in Allstar Managers, LLC were similarly adjusted on a one-for-one basis.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KKR Capital Markets</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KKR Capital Markets LLC acted as an underwriter for the IPO and received approximately $3.0 million in underwriting discounts and commissions (including in connection with the IPO Option Exercise). KKR Capital Markets LLC also acted as a book-running manager and an initial purchaser and as a joint lead arranger in connection with the Refinancing Transactions and received approximately $2.5 million in initial purchaser discounts and commissions and fees in connection with the Refinancing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KKR Capstone</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have utilized and may continue to utilize KKR Capstone Americas LLC and/or its affiliates, or KKR Capstone, a team of operating professionals who work exclusively with KKR’s investments professionals and portfolio company management teams and have paid to KKR Capstone fees and expenses of $0.9 million and $0.3 million, respectively, during 2018 and 2017.</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Receivable from Member</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April 10, 2019, the Company loaned $4.0 million with a note receivable issued to one of the Gochman Investors. The note receivable bore semi-annual compounding interest at 2.5% per annum with outstanding principal and interest due on April 10, 2022. On April 5, 2018, the Company loaned $4.1 million with a note receivable issued to one of the Gochman Investors. The note receivable bore semi-annual compounding interest at 2.1% per annum, with outstanding principal and interest due on April 5, 2021. These notes receivable have been recorded in other non-current assets in the consolidated balance sheets. All of the outstanding notes receivables owed by the Gochman Investors were offset against the special distribution on August 28, 2020 and are no longer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certain agreements with our officers which are described in the section entitled “Executive Compensation.”</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and executive officers, we have been informed that in the opinion of the SEC such indemnification is against public policy and is therefore unenforceable.</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or executive officers for which indemnification is sought.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Unitholders Agreement</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In connection with the grant of awards under each Option Agreement and Restricted Unit Agreement, New Academy Holding Company, LLC and Allstar Managers entered into a Management Unitholders Agreement with our directors and each of our executive officers.</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Management Unitholders Agreement imposes significant restrictions on transfers of shares of our common stock and options to purchase shares of our common stock held by each director and executive officer party to the Management Unitholders Agreement that were issued, or in the case of shares subject to options or restricted units, that were granted during or after March 2016. Such shares of our common stock and the options are nontransferable by any means at any time prior to the earlier of (x) one year following an initial public offering and (y) a “Change of Control,” or the Lapse Date, except (i) upon death or disability, to a director’s or executive officer’s estate or to their beneficiaries, (ii) to any executive trust, (iii) to any member of Allstar Managers, (iv) in accordance with the Amended and Restated Limited Liability Company Agreement of New Academy Holding Company, LLC and (v) in accordance with our registration rights agreement. These transfer restrictions are in addition to those imposed on options under the 2011 Equity Plan.</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Prior to the Lapse Date, the Management Unitholders Agreement provides a put right upon the death or disability of a director or executive officer and provides for our ability to cause a director or executive officer to sell his or her shares of common stock or options back to the Company upon certain termination events.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Additionally, following the IPO, the directors and executive officers party to the Management Unitholders Agreement have limited “piggyback” registration rights with respect to their shares of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Distribution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board of directors recognizes the fact that transactions with related persons present a heightened risk of conflicts of interests and/or improper valuation (or the perception thereof). Our board of directors adopted a written statement of policy regarding transactions with related persons, which we refer to as our “related person policy,” that is in conformity with the requirements upon issuers having publicly-held common stock that is listed on Nasdaq.</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related person policy requires that a “related person” (as defined as in paragraph (a) of Item 404 of Regulation S-K) must promptly disclose to our general counsel,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or such other person,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(1) the selling stockholders, (2) each person known to us to beneficially own more than 5% of our voting securities, (3) each of our directors and named executive officers, and (4) all directors and executive officers as a group.</w:t>
      </w:r>
    </w:p>
    <w:p>
      <w:pPr>
        <w:spacing w:after="0" w:line="184"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The number of shares of common stock outstanding and percentages of beneficial ownership provided in the table below are based on the beneficial ownership as of January 2, 2021 and are based on 90,936,907 shares of our common stock, par value $0.01 per share, outstanding as of January 2, 2021. As of January 2, 2021, we had 33 holders of record of our common stock.</w:t>
      </w:r>
    </w:p>
    <w:p>
      <w:pPr>
        <w:spacing w:after="0" w:line="184"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3"/>
          <w:szCs w:val="13"/>
          <w:b w:val="1"/>
          <w:bCs w:val="1"/>
          <w:u w:val="single" w:color="auto"/>
          <w:color w:val="auto"/>
        </w:rPr>
        <w:t>Name of Beneficial Owner</w:t>
      </w:r>
      <w:r>
        <w:rPr>
          <w:rFonts w:ascii="Arial" w:cs="Arial" w:eastAsia="Arial" w:hAnsi="Arial"/>
          <w:sz w:val="10"/>
          <w:szCs w:val="10"/>
          <w:b w:val="1"/>
          <w:bCs w:val="1"/>
          <w:u w:val="single" w:color="auto"/>
          <w:color w:val="auto"/>
        </w:rPr>
        <w:t>(1)</w:t>
      </w:r>
    </w:p>
    <w:p>
      <w:pPr>
        <w:ind w:left="120"/>
        <w:spacing w:after="0" w:line="237" w:lineRule="auto"/>
        <w:rPr>
          <w:sz w:val="20"/>
          <w:szCs w:val="20"/>
          <w:color w:val="auto"/>
        </w:rPr>
      </w:pPr>
      <w:r>
        <w:rPr>
          <w:rFonts w:ascii="Arial" w:cs="Arial" w:eastAsia="Arial" w:hAnsi="Arial"/>
          <w:sz w:val="14"/>
          <w:szCs w:val="14"/>
          <w:b w:val="1"/>
          <w:bCs w:val="1"/>
          <w:color w:val="auto"/>
        </w:rPr>
        <w:t>Selling Stockholders:</w:t>
      </w:r>
    </w:p>
    <w:p>
      <w:pPr>
        <w:ind w:left="400"/>
        <w:spacing w:after="0" w:line="221" w:lineRule="auto"/>
        <w:rPr>
          <w:sz w:val="20"/>
          <w:szCs w:val="20"/>
          <w:color w:val="auto"/>
        </w:rPr>
      </w:pPr>
      <w:r>
        <w:rPr>
          <w:rFonts w:ascii="Arial" w:cs="Arial" w:eastAsia="Arial" w:hAnsi="Arial"/>
          <w:sz w:val="14"/>
          <w:szCs w:val="14"/>
          <w:color w:val="auto"/>
        </w:rPr>
        <w:t>KKR Stockholders</w:t>
      </w:r>
      <w:r>
        <w:rPr>
          <w:rFonts w:ascii="Arial" w:cs="Arial" w:eastAsia="Arial" w:hAnsi="Arial"/>
          <w:sz w:val="12"/>
          <w:szCs w:val="12"/>
          <w:color w:val="auto"/>
        </w:rPr>
        <w:t>(2)</w:t>
      </w:r>
    </w:p>
    <w:p>
      <w:pPr>
        <w:ind w:left="400"/>
        <w:spacing w:after="0" w:line="221" w:lineRule="auto"/>
        <w:rPr>
          <w:sz w:val="20"/>
          <w:szCs w:val="20"/>
          <w:color w:val="auto"/>
        </w:rPr>
      </w:pPr>
      <w:r>
        <w:rPr>
          <w:rFonts w:ascii="Arial" w:cs="Arial" w:eastAsia="Arial" w:hAnsi="Arial"/>
          <w:sz w:val="14"/>
          <w:szCs w:val="14"/>
          <w:color w:val="auto"/>
        </w:rPr>
        <w:t>MSI 2011 LLC (a Gochman Investor)</w:t>
      </w:r>
      <w:r>
        <w:rPr>
          <w:rFonts w:ascii="Arial" w:cs="Arial" w:eastAsia="Arial" w:hAnsi="Arial"/>
          <w:sz w:val="12"/>
          <w:szCs w:val="12"/>
          <w:color w:val="auto"/>
        </w:rPr>
        <w:t>(3)</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MG Family Limited Partnersip (a Gochman Investor)</w:t>
      </w:r>
    </w:p>
    <w:p>
      <w:pPr>
        <w:ind w:left="540"/>
        <w:spacing w:after="0" w:line="233" w:lineRule="auto"/>
        <w:rPr>
          <w:sz w:val="20"/>
          <w:szCs w:val="20"/>
          <w:color w:val="auto"/>
        </w:rPr>
      </w:pPr>
      <w:r>
        <w:rPr>
          <w:rFonts w:ascii="Arial" w:cs="Arial" w:eastAsia="Arial" w:hAnsi="Arial"/>
          <w:sz w:val="12"/>
          <w:szCs w:val="12"/>
          <w:color w:val="auto"/>
        </w:rPr>
        <w:t>(4)</w:t>
      </w:r>
    </w:p>
    <w:p>
      <w:pPr>
        <w:ind w:left="400"/>
        <w:spacing w:after="0"/>
        <w:rPr>
          <w:sz w:val="20"/>
          <w:szCs w:val="20"/>
          <w:color w:val="auto"/>
        </w:rPr>
      </w:pPr>
      <w:r>
        <w:rPr>
          <w:rFonts w:ascii="Arial" w:cs="Arial" w:eastAsia="Arial" w:hAnsi="Arial"/>
          <w:sz w:val="14"/>
          <w:szCs w:val="14"/>
          <w:color w:val="auto"/>
        </w:rPr>
        <w:t>Michelle Gloeckler</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Named Executive Officers</w:t>
      </w:r>
      <w:r>
        <w:rPr>
          <w:rFonts w:ascii="Arial" w:cs="Arial" w:eastAsia="Arial" w:hAnsi="Arial"/>
          <w:sz w:val="12"/>
          <w:szCs w:val="12"/>
          <w:b w:val="1"/>
          <w:bCs w:val="1"/>
          <w:color w:val="auto"/>
        </w:rPr>
        <w:t>(5)</w:t>
      </w:r>
      <w:r>
        <w:rPr>
          <w:rFonts w:ascii="Arial" w:cs="Arial" w:eastAsia="Arial" w:hAnsi="Arial"/>
          <w:sz w:val="14"/>
          <w:szCs w:val="14"/>
          <w:b w:val="1"/>
          <w:bCs w:val="1"/>
          <w:color w:val="auto"/>
        </w:rPr>
        <w: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4"/>
          <w:szCs w:val="14"/>
          <w:color w:val="auto"/>
        </w:rPr>
        <w:t>Ken C. Hicks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Michael P. Mullican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Steven P. Lawrence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Samuel J. Johnson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Kenneth D. Attaway</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Directors</w:t>
      </w:r>
      <w:r>
        <w:rPr>
          <w:rFonts w:ascii="Arial" w:cs="Arial" w:eastAsia="Arial" w:hAnsi="Arial"/>
          <w:sz w:val="12"/>
          <w:szCs w:val="12"/>
          <w:b w:val="1"/>
          <w:bCs w:val="1"/>
          <w:color w:val="auto"/>
        </w:rPr>
        <w:t>(5)</w:t>
      </w:r>
      <w:r>
        <w:rPr>
          <w:rFonts w:ascii="Arial" w:cs="Arial" w:eastAsia="Arial" w:hAnsi="Arial"/>
          <w:sz w:val="14"/>
          <w:szCs w:val="14"/>
          <w:b w:val="1"/>
          <w:bCs w:val="1"/>
          <w:color w:val="auto"/>
        </w:rPr>
        <w:t>:</w:t>
      </w:r>
    </w:p>
    <w:p>
      <w:pPr>
        <w:ind w:left="120"/>
        <w:spacing w:after="0" w:line="226" w:lineRule="auto"/>
        <w:rPr>
          <w:sz w:val="20"/>
          <w:szCs w:val="20"/>
          <w:color w:val="auto"/>
        </w:rPr>
      </w:pPr>
      <w:r>
        <w:rPr>
          <w:rFonts w:ascii="Arial" w:cs="Arial" w:eastAsia="Arial" w:hAnsi="Arial"/>
          <w:sz w:val="14"/>
          <w:szCs w:val="14"/>
          <w:color w:val="auto"/>
        </w:rPr>
        <w:t>Wendy A. Beck</w:t>
      </w:r>
    </w:p>
    <w:p>
      <w:pPr>
        <w:ind w:left="120"/>
        <w:spacing w:after="0"/>
        <w:rPr>
          <w:sz w:val="20"/>
          <w:szCs w:val="20"/>
          <w:color w:val="auto"/>
        </w:rPr>
      </w:pPr>
      <w:r>
        <w:rPr>
          <w:rFonts w:ascii="Arial" w:cs="Arial" w:eastAsia="Arial" w:hAnsi="Arial"/>
          <w:sz w:val="14"/>
          <w:szCs w:val="14"/>
          <w:color w:val="auto"/>
        </w:rPr>
        <w:t>Brian T. Marley</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Vishal V. Patel</w:t>
      </w:r>
    </w:p>
    <w:p>
      <w:pPr>
        <w:ind w:left="120"/>
        <w:spacing w:after="0" w:line="221" w:lineRule="auto"/>
        <w:rPr>
          <w:sz w:val="20"/>
          <w:szCs w:val="20"/>
          <w:color w:val="auto"/>
        </w:rPr>
      </w:pPr>
      <w:r>
        <w:rPr>
          <w:rFonts w:ascii="Arial" w:cs="Arial" w:eastAsia="Arial" w:hAnsi="Arial"/>
          <w:sz w:val="14"/>
          <w:szCs w:val="14"/>
          <w:color w:val="auto"/>
        </w:rPr>
        <w:t>Allen I. Questrom</w:t>
      </w:r>
    </w:p>
    <w:p>
      <w:pPr>
        <w:ind w:left="120"/>
        <w:spacing w:after="0"/>
        <w:rPr>
          <w:sz w:val="20"/>
          <w:szCs w:val="20"/>
          <w:color w:val="auto"/>
        </w:rPr>
      </w:pPr>
      <w:r>
        <w:rPr>
          <w:rFonts w:ascii="Arial" w:cs="Arial" w:eastAsia="Arial" w:hAnsi="Arial"/>
          <w:sz w:val="14"/>
          <w:szCs w:val="14"/>
          <w:color w:val="auto"/>
        </w:rPr>
        <w:t>William S. Simon</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Nathaniel H. Taylor</w:t>
      </w:r>
    </w:p>
    <w:p>
      <w:pPr>
        <w:ind w:left="120"/>
        <w:spacing w:after="0" w:line="221" w:lineRule="auto"/>
        <w:rPr>
          <w:sz w:val="20"/>
          <w:szCs w:val="20"/>
          <w:color w:val="auto"/>
        </w:rPr>
      </w:pPr>
      <w:r>
        <w:rPr>
          <w:rFonts w:ascii="Arial" w:cs="Arial" w:eastAsia="Arial" w:hAnsi="Arial"/>
          <w:sz w:val="14"/>
          <w:szCs w:val="14"/>
          <w:color w:val="auto"/>
        </w:rPr>
        <w:t>Jeffrey C. Tweedy</w:t>
      </w:r>
    </w:p>
    <w:p>
      <w:pPr>
        <w:ind w:left="120"/>
        <w:spacing w:after="0" w:line="221" w:lineRule="auto"/>
        <w:rPr>
          <w:sz w:val="20"/>
          <w:szCs w:val="20"/>
          <w:color w:val="auto"/>
        </w:rPr>
      </w:pPr>
      <w:r>
        <w:rPr>
          <w:rFonts w:ascii="Arial" w:cs="Arial" w:eastAsia="Arial" w:hAnsi="Arial"/>
          <w:sz w:val="14"/>
          <w:szCs w:val="14"/>
          <w:color w:val="auto"/>
        </w:rPr>
        <w:t>Aileen X. Yan</w:t>
      </w:r>
    </w:p>
    <w:p>
      <w:pPr>
        <w:spacing w:after="0" w:line="1" w:lineRule="exact"/>
        <w:rPr>
          <w:sz w:val="20"/>
          <w:szCs w:val="20"/>
          <w:color w:val="auto"/>
        </w:rPr>
      </w:pPr>
    </w:p>
    <w:p>
      <w:pPr>
        <w:ind w:left="260" w:right="100" w:hanging="143"/>
        <w:spacing w:after="0" w:line="237" w:lineRule="auto"/>
        <w:rPr>
          <w:sz w:val="20"/>
          <w:szCs w:val="20"/>
          <w:color w:val="auto"/>
        </w:rPr>
      </w:pPr>
      <w:r>
        <w:rPr>
          <w:rFonts w:ascii="Arial" w:cs="Arial" w:eastAsia="Arial" w:hAnsi="Arial"/>
          <w:sz w:val="14"/>
          <w:szCs w:val="14"/>
          <w:color w:val="auto"/>
        </w:rPr>
        <w:t>Directors and executive officers as a group</w:t>
      </w:r>
      <w:r>
        <w:rPr>
          <w:rFonts w:ascii="Arial" w:cs="Arial" w:eastAsia="Arial" w:hAnsi="Arial"/>
          <w:sz w:val="12"/>
          <w:szCs w:val="12"/>
          <w:color w:val="auto"/>
        </w:rPr>
        <w:t>(5)</w:t>
      </w:r>
      <w:r>
        <w:rPr>
          <w:rFonts w:ascii="Arial" w:cs="Arial" w:eastAsia="Arial" w:hAnsi="Arial"/>
          <w:sz w:val="14"/>
          <w:szCs w:val="14"/>
          <w:color w:val="auto"/>
        </w:rPr>
        <w:t xml:space="preserve"> (seventeen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4"/>
          </w:tcPr>
          <w:p>
            <w:pPr>
              <w:ind w:left="380"/>
              <w:spacing w:after="0"/>
              <w:rPr>
                <w:sz w:val="20"/>
                <w:szCs w:val="20"/>
                <w:color w:val="auto"/>
              </w:rPr>
            </w:pPr>
            <w:r>
              <w:rPr>
                <w:rFonts w:ascii="Arial" w:cs="Arial" w:eastAsia="Arial" w:hAnsi="Arial"/>
                <w:sz w:val="13"/>
                <w:szCs w:val="13"/>
                <w:b w:val="1"/>
                <w:bCs w:val="1"/>
                <w:color w:val="auto"/>
              </w:rPr>
              <w:t>Shares to be Sold in</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3"/>
                <w:szCs w:val="13"/>
                <w:b w:val="1"/>
                <w:bCs w:val="1"/>
                <w:color w:val="auto"/>
                <w:w w:val="87"/>
              </w:rPr>
              <w:t>Shares Beneficially Owned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60" w:type="dxa"/>
            <w:vAlign w:val="bottom"/>
            <w:gridSpan w:val="4"/>
          </w:tcPr>
          <w:p>
            <w:pPr>
              <w:ind w:left="560"/>
              <w:spacing w:after="0"/>
              <w:rPr>
                <w:sz w:val="20"/>
                <w:szCs w:val="20"/>
                <w:color w:val="auto"/>
              </w:rPr>
            </w:pPr>
            <w:r>
              <w:rPr>
                <w:rFonts w:ascii="Arial" w:cs="Arial" w:eastAsia="Arial" w:hAnsi="Arial"/>
                <w:sz w:val="13"/>
                <w:szCs w:val="13"/>
                <w:b w:val="1"/>
                <w:bCs w:val="1"/>
                <w:color w:val="auto"/>
              </w:rPr>
              <w:t>this Offering</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After the Offering</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10"/>
        </w:trPr>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top w:val="single" w:sz="8" w:color="auto"/>
            </w:tcBorders>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Assuming No</w:t>
            </w:r>
          </w:p>
        </w:tc>
        <w:tc>
          <w:tcPr>
            <w:tcW w:w="8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Assuming Full</w:t>
            </w:r>
          </w:p>
        </w:tc>
        <w:tc>
          <w:tcPr>
            <w:tcW w:w="240" w:type="dxa"/>
            <w:vAlign w:val="bottom"/>
          </w:tcPr>
          <w:p>
            <w:pPr>
              <w:spacing w:after="0"/>
              <w:rPr>
                <w:sz w:val="9"/>
                <w:szCs w:val="9"/>
                <w:color w:val="auto"/>
              </w:rPr>
            </w:pPr>
          </w:p>
        </w:tc>
        <w:tc>
          <w:tcPr>
            <w:tcW w:w="1860" w:type="dxa"/>
            <w:vAlign w:val="bottom"/>
            <w:tcBorders>
              <w:top w:val="single" w:sz="8" w:color="auto"/>
            </w:tcBorders>
            <w:gridSpan w:val="4"/>
          </w:tcPr>
          <w:p>
            <w:pPr>
              <w:jc w:val="center"/>
              <w:ind w:right="360"/>
              <w:spacing w:after="0" w:line="110" w:lineRule="exact"/>
              <w:rPr>
                <w:sz w:val="20"/>
                <w:szCs w:val="20"/>
                <w:color w:val="auto"/>
              </w:rPr>
            </w:pPr>
            <w:r>
              <w:rPr>
                <w:rFonts w:ascii="Arial" w:cs="Arial" w:eastAsia="Arial" w:hAnsi="Arial"/>
                <w:sz w:val="12"/>
                <w:szCs w:val="12"/>
                <w:b w:val="1"/>
                <w:bCs w:val="1"/>
                <w:color w:val="auto"/>
                <w:w w:val="90"/>
              </w:rPr>
              <w:t>Assuming No</w:t>
            </w:r>
          </w:p>
        </w:tc>
        <w:tc>
          <w:tcPr>
            <w:tcW w:w="1500" w:type="dxa"/>
            <w:vAlign w:val="bottom"/>
            <w:tcBorders>
              <w:top w:val="single" w:sz="8" w:color="auto"/>
            </w:tcBorders>
            <w:gridSpan w:val="3"/>
          </w:tcPr>
          <w:p>
            <w:pPr>
              <w:jc w:val="center"/>
              <w:spacing w:after="0" w:line="110" w:lineRule="exact"/>
              <w:rPr>
                <w:sz w:val="20"/>
                <w:szCs w:val="20"/>
                <w:color w:val="auto"/>
              </w:rPr>
            </w:pPr>
            <w:r>
              <w:rPr>
                <w:rFonts w:ascii="Arial" w:cs="Arial" w:eastAsia="Arial" w:hAnsi="Arial"/>
                <w:sz w:val="12"/>
                <w:szCs w:val="12"/>
                <w:b w:val="1"/>
                <w:bCs w:val="1"/>
                <w:color w:val="auto"/>
                <w:w w:val="94"/>
              </w:rPr>
              <w:t>Assuming Full</w:t>
            </w:r>
          </w:p>
        </w:tc>
        <w:tc>
          <w:tcPr>
            <w:tcW w:w="120" w:type="dxa"/>
            <w:vAlign w:val="bottom"/>
          </w:tcPr>
          <w:p>
            <w:pPr>
              <w:spacing w:after="0"/>
              <w:rPr>
                <w:sz w:val="9"/>
                <w:szCs w:val="9"/>
                <w:color w:val="auto"/>
              </w:rPr>
            </w:pPr>
          </w:p>
        </w:tc>
      </w:tr>
      <w:tr>
        <w:trPr>
          <w:trHeight w:val="135"/>
        </w:trPr>
        <w:tc>
          <w:tcPr>
            <w:tcW w:w="1860" w:type="dxa"/>
            <w:vAlign w:val="bottom"/>
            <w:gridSpan w:val="4"/>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Shares Beneficially</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Exercise of the</w:t>
            </w: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Exercise of the</w:t>
            </w:r>
          </w:p>
        </w:tc>
        <w:tc>
          <w:tcPr>
            <w:tcW w:w="1860" w:type="dxa"/>
            <w:vAlign w:val="bottom"/>
            <w:gridSpan w:val="4"/>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Exercise of the</w:t>
            </w:r>
          </w:p>
        </w:tc>
        <w:tc>
          <w:tcPr>
            <w:tcW w:w="162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Exercise of the</w:t>
            </w:r>
          </w:p>
        </w:tc>
      </w:tr>
      <w:tr>
        <w:trPr>
          <w:trHeight w:val="135"/>
        </w:trPr>
        <w:tc>
          <w:tcPr>
            <w:tcW w:w="1860" w:type="dxa"/>
            <w:vAlign w:val="bottom"/>
            <w:gridSpan w:val="4"/>
          </w:tcPr>
          <w:p>
            <w:pPr>
              <w:jc w:val="center"/>
              <w:ind w:right="340"/>
              <w:spacing w:after="0" w:line="135" w:lineRule="exact"/>
              <w:rPr>
                <w:sz w:val="20"/>
                <w:szCs w:val="20"/>
                <w:color w:val="auto"/>
              </w:rPr>
            </w:pPr>
            <w:r>
              <w:rPr>
                <w:rFonts w:ascii="Arial" w:cs="Arial" w:eastAsia="Arial" w:hAnsi="Arial"/>
                <w:sz w:val="13"/>
                <w:szCs w:val="13"/>
                <w:b w:val="1"/>
                <w:bCs w:val="1"/>
                <w:color w:val="auto"/>
                <w:w w:val="89"/>
              </w:rPr>
              <w:t>Owned Prior to the</w:t>
            </w:r>
          </w:p>
        </w:tc>
        <w:tc>
          <w:tcPr>
            <w:tcW w:w="10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Underwriters’</w:t>
            </w: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3"/>
              </w:rPr>
              <w:t>Underwriters’</w:t>
            </w:r>
          </w:p>
        </w:tc>
        <w:tc>
          <w:tcPr>
            <w:tcW w:w="1860" w:type="dxa"/>
            <w:vAlign w:val="bottom"/>
            <w:gridSpan w:val="4"/>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Underwriters’</w:t>
            </w:r>
          </w:p>
        </w:tc>
        <w:tc>
          <w:tcPr>
            <w:tcW w:w="162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93"/>
              </w:rPr>
              <w:t>Underwriters’</w:t>
            </w:r>
          </w:p>
        </w:tc>
      </w:tr>
      <w:tr>
        <w:trPr>
          <w:trHeight w:val="153"/>
        </w:trPr>
        <w:tc>
          <w:tcPr>
            <w:tcW w:w="186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90"/>
              </w:rPr>
              <w:t>Offering</w:t>
            </w: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Option</w:t>
            </w: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Option</w:t>
            </w:r>
          </w:p>
        </w:tc>
        <w:tc>
          <w:tcPr>
            <w:tcW w:w="1860" w:type="dxa"/>
            <w:vAlign w:val="bottom"/>
            <w:gridSpan w:val="4"/>
          </w:tcPr>
          <w:p>
            <w:pPr>
              <w:jc w:val="center"/>
              <w:ind w:right="360"/>
              <w:spacing w:after="0"/>
              <w:rPr>
                <w:sz w:val="20"/>
                <w:szCs w:val="20"/>
                <w:color w:val="auto"/>
              </w:rPr>
            </w:pPr>
            <w:r>
              <w:rPr>
                <w:rFonts w:ascii="Arial" w:cs="Arial" w:eastAsia="Arial" w:hAnsi="Arial"/>
                <w:sz w:val="13"/>
                <w:szCs w:val="13"/>
                <w:b w:val="1"/>
                <w:bCs w:val="1"/>
                <w:color w:val="auto"/>
                <w:w w:val="90"/>
              </w:rPr>
              <w:t>Option</w:t>
            </w:r>
          </w:p>
        </w:tc>
        <w:tc>
          <w:tcPr>
            <w:tcW w:w="16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0"/>
              </w:rPr>
              <w:t>Option</w:t>
            </w:r>
          </w:p>
        </w:tc>
      </w:tr>
      <w:tr>
        <w:trPr>
          <w:trHeight w:val="110"/>
        </w:trPr>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2"/>
              </w:rPr>
              <w:t>Percentage</w:t>
            </w:r>
          </w:p>
        </w:tc>
        <w:tc>
          <w:tcPr>
            <w:tcW w:w="3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9"/>
              </w:rPr>
              <w:t>Percentage</w:t>
            </w:r>
          </w:p>
        </w:tc>
        <w:tc>
          <w:tcPr>
            <w:tcW w:w="3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9"/>
                <w:szCs w:val="9"/>
                <w:color w:val="auto"/>
              </w:rPr>
            </w:pPr>
          </w:p>
        </w:tc>
      </w:tr>
      <w:tr>
        <w:trPr>
          <w:trHeight w:val="135"/>
        </w:trPr>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of Total</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9"/>
              </w:rPr>
              <w:t>of Total</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of Total</w:t>
            </w:r>
          </w:p>
        </w:tc>
      </w:tr>
      <w:tr>
        <w:trPr>
          <w:trHeight w:val="135"/>
        </w:trPr>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Common</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Common</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r>
      <w:tr>
        <w:trPr>
          <w:trHeight w:val="153"/>
        </w:trPr>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Number</w:t>
            </w:r>
          </w:p>
        </w:tc>
        <w:tc>
          <w:tcPr>
            <w:tcW w:w="240" w:type="dxa"/>
            <w:vAlign w:val="bottom"/>
          </w:tcPr>
          <w:p>
            <w:pPr>
              <w:spacing w:after="0"/>
              <w:rPr>
                <w:sz w:val="13"/>
                <w:szCs w:val="13"/>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13"/>
                <w:szCs w:val="13"/>
                <w:color w:val="auto"/>
              </w:rPr>
            </w:pP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Number</w:t>
            </w:r>
          </w:p>
        </w:tc>
        <w:tc>
          <w:tcPr>
            <w:tcW w:w="24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Pr>
          <w:p>
            <w:pPr>
              <w:spacing w:after="0"/>
              <w:rPr>
                <w:sz w:val="13"/>
                <w:szCs w:val="13"/>
                <w:color w:val="auto"/>
              </w:rPr>
            </w:pPr>
          </w:p>
        </w:tc>
      </w:tr>
      <w:tr>
        <w:trPr>
          <w:trHeight w:val="258"/>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61,587,301</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67.73%</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10,388,747</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11,947,059</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51,198,554</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56.30%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w w:val="94"/>
              </w:rPr>
              <w:t>49,640,242</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54.59%</w:t>
            </w:r>
          </w:p>
        </w:tc>
      </w:tr>
      <w:tr>
        <w:trPr>
          <w:trHeight w:val="182"/>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5,929,249</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6.52%</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1,000,165</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1,150,190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4,929,084</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5.42%</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4,779,059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5.26%</w:t>
            </w:r>
          </w:p>
        </w:tc>
      </w:tr>
      <w:tr>
        <w:trPr>
          <w:trHeight w:val="284"/>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3,594,593</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3.95%</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606,348</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697,300</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2,988,245</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3.29%</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2,897,293</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3.19%</w:t>
            </w:r>
          </w:p>
        </w:tc>
      </w:tr>
      <w:tr>
        <w:trPr>
          <w:trHeight w:val="21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56,202</w:t>
            </w: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4,740</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5,451</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51,462</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50,751</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443"/>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583,987</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583,987</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583,987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153,980</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153,980</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153,980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123,885</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123,885</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123,885</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121,449</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121,449</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121,449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5"/>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655,728</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655,728</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655,728</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8"/>
        </w:trPr>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12"/>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32,607</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32,607</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32,607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48"/>
        </w:trPr>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53"/>
        </w:trPr>
        <w:tc>
          <w:tcPr>
            <w:tcW w:w="92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53"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line="153"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53"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53" w:lineRule="exact"/>
              <w:rPr>
                <w:sz w:val="20"/>
                <w:szCs w:val="20"/>
                <w:color w:val="auto"/>
              </w:rPr>
            </w:pPr>
            <w:r>
              <w:rPr>
                <w:rFonts w:ascii="Arial" w:cs="Arial" w:eastAsia="Arial" w:hAnsi="Arial"/>
                <w:sz w:val="14"/>
                <w:szCs w:val="14"/>
                <w:color w:val="auto"/>
              </w:rPr>
              <w:t>—</w:t>
            </w:r>
          </w:p>
        </w:tc>
      </w:tr>
      <w:tr>
        <w:trPr>
          <w:trHeight w:val="212"/>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36,789</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36,789</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36,789</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48"/>
        </w:trPr>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9"/>
        </w:trPr>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82"/>
        </w:trPr>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r>
      <w:tr>
        <w:trPr>
          <w:trHeight w:val="297"/>
        </w:trPr>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2,497,769</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2.75%</w:t>
            </w:r>
          </w:p>
        </w:tc>
        <w:tc>
          <w:tcPr>
            <w:tcW w:w="10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2,497,769</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2.75%</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2,497,769</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-2262505</wp:posOffset>
            </wp:positionH>
            <wp:positionV relativeFrom="paragraph">
              <wp:posOffset>-2580640</wp:posOffset>
            </wp:positionV>
            <wp:extent cx="6995160" cy="939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-2392045</wp:posOffset>
            </wp:positionV>
            <wp:extent cx="6995160" cy="946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-2117725</wp:posOffset>
            </wp:positionV>
            <wp:extent cx="699516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-1817370</wp:posOffset>
            </wp:positionV>
            <wp:extent cx="699516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-1543050</wp:posOffset>
            </wp:positionV>
            <wp:extent cx="699516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-1268730</wp:posOffset>
            </wp:positionV>
            <wp:extent cx="699516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-1037590</wp:posOffset>
            </wp:positionV>
            <wp:extent cx="6995160" cy="939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-805815</wp:posOffset>
            </wp:positionV>
            <wp:extent cx="6995160" cy="946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-617220</wp:posOffset>
            </wp:positionV>
            <wp:extent cx="699516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-386080</wp:posOffset>
            </wp:positionV>
            <wp:extent cx="6995160" cy="939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-2262505</wp:posOffset>
            </wp:positionH>
            <wp:positionV relativeFrom="paragraph">
              <wp:posOffset>-197485</wp:posOffset>
            </wp:positionV>
            <wp:extent cx="699516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3480" w:space="200"/>
            <w:col w:w="7440"/>
          </w:cols>
          <w:pgMar w:left="320" w:top="459" w:right="459" w:bottom="1440" w:gutter="0" w:footer="0" w:header="0"/>
          <w:type w:val="continuous"/>
        </w:sectPr>
      </w:pPr>
    </w:p>
    <w:p>
      <w:pPr>
        <w:ind w:left="540" w:hanging="424"/>
        <w:spacing w:after="0"/>
        <w:tabs>
          <w:tab w:leader="none" w:pos="5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1120"/>
          </w:cols>
          <w:pgMar w:left="320" w:top="459" w:right="459" w:bottom="1440" w:gutter="0" w:footer="0" w:header="0"/>
          <w:type w:val="continuous"/>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40" w:hanging="424"/>
        <w:spacing w:after="0" w:line="258"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Unless otherwise indicated in the below, the address of each of the individuals named above is: c/o Academy Sports + Outdoors, Attention: General Counsel, 1800 North Mason Road, Katy, Texas 77449.</w:t>
      </w:r>
    </w:p>
    <w:p>
      <w:pPr>
        <w:spacing w:after="0" w:line="1" w:lineRule="exact"/>
        <w:rPr>
          <w:rFonts w:ascii="Arial" w:cs="Arial" w:eastAsia="Arial" w:hAnsi="Arial"/>
          <w:sz w:val="18"/>
          <w:szCs w:val="18"/>
          <w:color w:val="auto"/>
        </w:rPr>
      </w:pPr>
    </w:p>
    <w:p>
      <w:pPr>
        <w:ind w:left="540" w:right="220" w:hanging="424"/>
        <w:spacing w:after="0" w:line="260"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KKR 2006 Allstar Blocker L.P. holds 11,102,476 shares of our common stock; (ii) Allstar Co-Invest Blocker L.P. holds 22,031,746 shares of our common stock; and (iii) Allstar LLC holds 28,453,079 shares of our common stock.</w:t>
      </w:r>
    </w:p>
    <w:p>
      <w:pPr>
        <w:spacing w:after="0" w:line="77" w:lineRule="exact"/>
        <w:rPr>
          <w:rFonts w:ascii="Arial" w:cs="Arial" w:eastAsia="Arial" w:hAnsi="Arial"/>
          <w:sz w:val="18"/>
          <w:szCs w:val="18"/>
          <w:color w:val="auto"/>
        </w:rPr>
      </w:pPr>
    </w:p>
    <w:p>
      <w:pPr>
        <w:ind w:left="560" w:right="160"/>
        <w:spacing w:after="0" w:line="293" w:lineRule="auto"/>
        <w:rPr>
          <w:rFonts w:ascii="Arial" w:cs="Arial" w:eastAsia="Arial" w:hAnsi="Arial"/>
          <w:sz w:val="18"/>
          <w:szCs w:val="18"/>
          <w:color w:val="auto"/>
        </w:rPr>
      </w:pPr>
      <w:r>
        <w:rPr>
          <w:rFonts w:ascii="Arial" w:cs="Arial" w:eastAsia="Arial" w:hAnsi="Arial"/>
          <w:sz w:val="16"/>
          <w:szCs w:val="16"/>
          <w:color w:val="auto"/>
        </w:rPr>
        <w:t>Of the shares being offered by the KKR Stockholders: (i) 1,872,802 shares are being sold in this offering by KKR 2006 Allstar Blocker L.P., assuming the underwriters’ option is not exercised, and 2,153,722 shares are being sold in this offering by KKR 2006 Allstar Blocker L.P., assuming the underwriters’ option is exercised in full; (ii) 3,716,387 shares are being sold in this offering by Allstar Co-Invest Blocker L.P., assuming the underwriters’ option is not exercised, 4,273,845 shares are being sold in this offering by Allstar Co-Invest Blocker L.P., assuming the underwriters’ option is exercised in full; and (iii) 4,799,558 shares are being sold in this offering by Allstar LLC, assuming the underwriters’ option is not exercised, 5,519,492 shares are being sold in this offering by Allstar LLC, assuming the underwriters’ option is exercised in full.</w:t>
      </w:r>
    </w:p>
    <w:p>
      <w:pPr>
        <w:spacing w:after="0" w:line="56" w:lineRule="exact"/>
        <w:rPr>
          <w:rFonts w:ascii="Arial" w:cs="Arial" w:eastAsia="Arial" w:hAnsi="Arial"/>
          <w:sz w:val="18"/>
          <w:szCs w:val="18"/>
          <w:color w:val="auto"/>
        </w:rPr>
      </w:pPr>
    </w:p>
    <w:p>
      <w:pPr>
        <w:ind w:left="560"/>
        <w:spacing w:after="0" w:line="266" w:lineRule="auto"/>
        <w:rPr>
          <w:rFonts w:ascii="Arial" w:cs="Arial" w:eastAsia="Arial" w:hAnsi="Arial"/>
          <w:sz w:val="18"/>
          <w:szCs w:val="18"/>
          <w:color w:val="auto"/>
        </w:rPr>
      </w:pPr>
      <w:r>
        <w:rPr>
          <w:rFonts w:ascii="Arial" w:cs="Arial" w:eastAsia="Arial" w:hAnsi="Arial"/>
          <w:sz w:val="17"/>
          <w:szCs w:val="17"/>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30 Hudson Yards, New York, New York 10001. The principal business address for Mr. Roberts is c/o Kohlberg Kravis Roberts &amp; Co. L.P., 2800 Sand Hill Road, Suite 200, Menlo Park, CA 94025.</w:t>
      </w:r>
    </w:p>
    <w:p>
      <w:pPr>
        <w:spacing w:after="0" w:line="7"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MSI 2011 LLC is an entity of which David Gochman is the sole investment manager. The economics of the entity are owned 100% by David Gochman and trusts for the benefit of his immediate family. The principal business address of MSI 2011 LLC and Mr. Gochman is c/o Inclenberg Investments Florida LLC, 350 Royal Palm Way, Suite 501, Palm Beach, Florida 33480.</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MG Family Limited Partnership is an entity of which MG Family GP, LLC is the general partner. Molly Gochman is the sole member of MG Family GP, LLC with sole power to make investment decisions. The principal business address of MG Family Limited Partnership is 2437 North Blvd, Houston, TX 77098.</w:t>
      </w:r>
    </w:p>
    <w:p>
      <w:pPr>
        <w:spacing w:after="0" w:line="1" w:lineRule="exact"/>
        <w:rPr>
          <w:rFonts w:ascii="Arial" w:cs="Arial" w:eastAsia="Arial" w:hAnsi="Arial"/>
          <w:sz w:val="18"/>
          <w:szCs w:val="18"/>
          <w:color w:val="auto"/>
        </w:rPr>
      </w:pPr>
    </w:p>
    <w:p>
      <w:pPr>
        <w:ind w:left="540" w:right="140" w:hanging="424"/>
        <w:spacing w:after="0" w:line="255" w:lineRule="auto"/>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number of shares reported includes shares covered by (i) options that are or will become exercisable and (ii) restricted stock unit awards that vest or will vest, in each case within 60 days as follows: Mr. Hicks, 74,191; Mr. Mullican, 50,051; Mr. Lawrence, 75,730; Mr. Johnson, 37,922; Mr. Attaway, 46,514; and all directors and executive officers as a group 405,841.</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is a part.</w:t>
      </w:r>
    </w:p>
    <w:p>
      <w:pPr>
        <w:spacing w:after="0" w:line="184"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Our purpose is to engage in any lawful act or activity for which corporations may now or hereafter be organized under the DGCL. Our authorized capital stock consists of 300 million shares of common stock, par value $0.01 per share, and 50 million shares of preferred stock.</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vote of the then outstanding shares of our common stock is required, the affirmative vote of a majority in voting power of shares present at a meeting of the holders of our common stock is required.</w:t>
      </w:r>
    </w:p>
    <w:p>
      <w:pPr>
        <w:spacing w:after="0" w:line="15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do not currently have any preferred stock outstanding. However, 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w:t>
      </w:r>
    </w:p>
    <w:p>
      <w:pPr>
        <w:spacing w:after="0" w:line="92" w:lineRule="exact"/>
        <w:rPr>
          <w:sz w:val="20"/>
          <w:szCs w:val="20"/>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7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91"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9" w:lineRule="exact"/>
        <w:rPr>
          <w:sz w:val="20"/>
          <w:szCs w:val="20"/>
          <w:color w:val="auto"/>
        </w:rPr>
      </w:pPr>
    </w:p>
    <w:p>
      <w:pPr>
        <w:ind w:left="1080" w:right="320" w:hanging="424"/>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460" w:hanging="424"/>
        <w:spacing w:after="0" w:line="342" w:lineRule="auto"/>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9" w:lineRule="exact"/>
        <w:rPr>
          <w:rFonts w:ascii="Arial" w:cs="Arial" w:eastAsia="Arial" w:hAnsi="Arial"/>
          <w:sz w:val="16"/>
          <w:szCs w:val="16"/>
          <w:color w:val="auto"/>
        </w:rPr>
      </w:pPr>
    </w:p>
    <w:p>
      <w:pPr>
        <w:ind w:left="1080" w:right="220" w:hanging="424"/>
        <w:spacing w:after="0" w:line="299"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3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Our amended and restated certificate of incorporation provides that any of KKR Stockholders and their affiliates and any of their respective direct or indirect transferees and any group as to which such persons are a party do not constitute “interested stockholders” for purposes of this provision.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provides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KKR Stockholders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at any time when KKR Stockholders and their affiliates beneficially own, in the aggregate, less than 40% of the voting power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once KKR Stockholders and their affiliates beneficially own, in the aggregate, less than 40% of the voting power of all outstanding shares of stock entitled to vote generally in the election of directors.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182"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4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Our amended and restated certificate of incorporation provides that once KKR Stockholders and their affiliates beneficially own, in the aggregate, less than 40% of the voting power of all outstanding shares of stock entitled to vote generally in the election of directors, the following provisions in our amended and restated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certificate of incorporation may be amended, altered, repealed or rescinded only by the affirmative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the voting power of all outstanding shares of stock entitled to vote generally in the election of directors, voting together as a single class:</w:t>
      </w:r>
    </w:p>
    <w:p>
      <w:pPr>
        <w:spacing w:after="0" w:line="52" w:lineRule="exact"/>
        <w:rPr>
          <w:sz w:val="20"/>
          <w:szCs w:val="20"/>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supermajority vote for stockholders to amend our amended and restated bylaws;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supermajority vote.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w:t>
      </w:r>
    </w:p>
    <w:p>
      <w:pPr>
        <w:ind w:left="120" w:hanging="4"/>
        <w:spacing w:after="0" w:line="267" w:lineRule="auto"/>
        <w:tabs>
          <w:tab w:leader="none" w:pos="33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ABL Facility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July 2, 2015, Academy, Ltd. entered into a five-year $650 million secured asset-based revolving credit facility, or the 2015 ABL Facility, with JPMorgan Chase Bank, N.A., as administrative agent, and other lenders. On May 22, 2018, Academy, Ltd. amended the agreement governing the 2015 ABL Facility to increase the commitments under the facility from $650 million to $1 billion. On November 6, 2020, as part of the Refinancing Transactions, Academy, Ltd. entered into an amendment to the 2015 ABL Facility, or as amended, the ABL Facility, which, among other things, extended the maturity of the ABL Facility to November 6, 2025. Academy, Ltd. has the option to increase the commitments under the ABL Facility by $250 million, subject to the satisfaction of certain conditions under the credit agreement governing the ABL Facility.</w:t>
      </w:r>
    </w:p>
    <w:p>
      <w:pPr>
        <w:spacing w:after="0" w:line="17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 xml:space="preserve">Availability under the ABL Facility is subject to a borrowing base calculation. The borrowing base consists of 90% of the face amount of our eligible credit card receivables on a consolidated basis, </w:t>
      </w:r>
      <w:r>
        <w:rPr>
          <w:rFonts w:ascii="Arial" w:cs="Arial" w:eastAsia="Arial" w:hAnsi="Arial"/>
          <w:sz w:val="18"/>
          <w:szCs w:val="18"/>
          <w:i w:val="1"/>
          <w:iCs w:val="1"/>
          <w:color w:val="auto"/>
        </w:rPr>
        <w:t>plus</w:t>
      </w:r>
      <w:r>
        <w:rPr>
          <w:rFonts w:ascii="Arial" w:cs="Arial" w:eastAsia="Arial" w:hAnsi="Arial"/>
          <w:sz w:val="18"/>
          <w:szCs w:val="18"/>
          <w:color w:val="auto"/>
        </w:rPr>
        <w:t xml:space="preserve"> 90% of the net orderly liquidation value percentage of our eligible inventory on a consolidated basis,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then applicable amount of all reserves.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October 31, 2020, we had outstanding letters of credit of approximately $30.8 million, of which $21.1 million were issued under the ABL Facility, and no borrowings outstanding under the ABL Facility, leaving the available borrowing capacity under the ABL Facility of $844.7 million (which is subject to customary borrowing conditions, including a borrowing base).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October 31, 2020, no future prepayments of outstanding loans have been triggered under the terms and conditions of the ABL Facility.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 Loan Facility</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July 2, 2015, Academy, Ltd. entered into a seven-year $1.8 billion senior secured term loan facility, or the 2015 Term Loan Facility, with Morgan Stanley Senior Funding, Inc., as the administrative and collateral agent, and other lenders. On November 6, 2020, as part of the Refinancing Transactions, Academy, Ltd. entered into an amendment and restatement of the 2015 Term Loan Facility, providing for a new $400.0 million first lien term loan facility, or the Term Loan Facility, with Credit Suisse AG, Cayman Island Branch, as the administrative agent and collateral agent, the several lenders from time to time parties thereto and the several other parties named therein. The Company used the net proceeds from the 2027 Notes and the net proceeds from the Term Loan Facility, together with cash on hand, to repay in full $1,431.4 million outstanding borrowings under the 2015 Term Loan Facility.</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Term Loan Facility will mature on November 6, 2027. The Term Loan Facility bears interest, at our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are required through September 30, 2027, with the balance due in full on the maturity date of November 6, 2027. The terms and conditions of the Term Loan Facility also require that outstanding loans under the Term Loan Facility are prepaid under certain circumstances.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60"/>
          </w:cols>
          <w:pgMar w:left="320" w:top="459"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2027 Notes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On November 6, 2020, Academy, Ltd. issued $400.0 million of 6.00% Senior Secured Notes due 2027 pursuant to the indenture, or the Indenture, by and among Academy, Ltd., the guarantors party thereto and The Bank of New York Mellon Trust Company, N.A., as trustee and collateral agent. The 2027 Notes will mature on November 15, 2027. The 2027 Notes will pay interest semi-annually in arrears in cash on May 15 and November 15 of each year at a rate of 6.00% per year, commencing on May 15, 2021.</w:t>
      </w:r>
    </w:p>
    <w:p>
      <w:pPr>
        <w:spacing w:after="0" w:line="18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2027 Notes at the redemption prices set forth in the Indenture, plus accrued and unpaid interest, if any, to, but excluding, the applicable redemption date. At any time prior to November 15, 2023, Academy, Ltd. may, at its option and on one or more occasions, redeem all or part of the 2027 Notes at a redemption price equal to 100% of the principal amount of the 2027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2027 Notes at a redemption price equal to 106.000%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9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2027 Notes at a price equal to 101% of the principal amount thereof, plus accrued and unpaid interest, if any, to, but excluding, the repurchase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Liens and Guarantees</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ABL Facility has a first priority lien on all Academy, Ltd.’s cash, accounts receivable, inventory, deposit and securities accounts and proceeds therefrom, or the ABL Collateral. Additionally, the ABL Facility has a second priority lien on all other collateral securing the Term Loan Facility and the 2027 Notes. All obligations under the Term Loan Facility and the 2027 Notes and the guarantees of those obligations are secured by:</w:t>
      </w:r>
    </w:p>
    <w:p>
      <w:pPr>
        <w:spacing w:after="0" w:line="54" w:lineRule="exact"/>
        <w:rPr>
          <w:sz w:val="20"/>
          <w:szCs w:val="20"/>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second-priority security interest in the ABL Collateral;</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Ltd.; and</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4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ABL Facility, the Term Loan Facility and the 2027 Notes are each guaranteed on a senior secured basis by New Academy Holding Company, LLC and all of its subsidiaries, except for Academy, Ltd. and Academy International Limited, a Hong Kong limited liability company and subsidiary of Academy, Ltd.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credit agreements governing the ABL Facility and the Term Loan Facility and the Indenture contain covenants, including, among other things, covenants that restrict Academy, Ltd.’s and its restricted subsidiaries’ ability to incur or guarantee certain additional indebtedness, create or permit liens on assets, engage in mergers or consolidations, pay dividends, make other restricted payments, make loans or advances, engage in transactions with affiliates or, in the case of the credit agreements, amend material documents. Additionally, at certain times, the ABL Facility is subject to a certain minimum adjusted fixed charge coverage ratio. These covenants are subject to certain qualifications and limitations. We were in compliance with these covenants as of October 31, 2020.</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credit agreements governing the ABL Facility and the Term Loan Facility and the Indenture contain customary events of default including, but not limited to, as applicable, failure to pay principal or interest, breaches of representations and warranties, violations of affirmative or negative covenants, cross-defaults to other material indebtedness, a bankruptcy or similar proceeding being instituted by or against us, rendering of certain monetary judgments against us, invalidity of collateral documents and changes of control.</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0880"/>
          </w:cols>
          <w:pgMar w:left="320" w:top="459" w:right="6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stockholders in the public market following this offering could cause the market price of our common stock to decline.”</w:t>
      </w:r>
    </w:p>
    <w:p>
      <w:pPr>
        <w:spacing w:after="0" w:line="19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Upon the completion of this offering, we will have a total of 90,936,907 shares of our common stock outstanding. Of the outstanding shares, the 29,432,495 shares sold in the IPO and this offering (or 31,232,495 shares if the underwriters exercise in full their option to purchase additional shares) will be freely tradable without restriction or further registration under the Securities Act, except that any shares held by our affiliates, as that term is defined under Rule 144, including our directors, executive officers and other affiliates (including our existing stockholders), may be sold only in compliance with the limitations described below.</w:t>
      </w:r>
    </w:p>
    <w:p>
      <w:pPr>
        <w:spacing w:after="0" w:line="188"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remaining outstanding 61,504,412 shares of common stock held by our existing stockholders after this offering (or approximately 59,704,412 shares if the underwriters exercise in full their option to purchase additional shares), representing approximately 68% of the total outstanding shares of our common stock following this offering (or approximately 66% if the underwriters exercise in full their option to purchase additional shares),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connection with this offering, we, our executive officers, directors and the selling stockholders will agree, subject to certain exceptions, not to sell, dispose of or hedge any shares of our common stock or securities convertible into or exchangeable for shares of our common stock, without, in each case, the prior written consent of Credit Suisse Securities (USA) LLC and J.P. Morgan Securities LLC, for a period of 90 days (or in the case of the executive officers other than our chief executive officer and our chief financial officer, 60 days) after the date of this prospectus. See “Underwriting (Conflicts of Interest).” In addition, holders of all of our common stock outstanding prior to the IPO agreed to not transfer shares of their common stock, except in certain circumstances, until the date that is 180 days from the date of the final prospectus for the IPO. The representatives of the underwriters of the IPO have waived certain of such IPO lock-up agreements to permit the filing of this registration statement and are expected to waive certain of the IPO lock-up agreements to permit the sale of our common stock in this offering by the selling stockholders.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a number of shares that does not exceed the greater of:</w:t>
      </w:r>
    </w:p>
    <w:p>
      <w:pPr>
        <w:spacing w:after="0" w:line="71" w:lineRule="exact"/>
        <w:rPr>
          <w:sz w:val="20"/>
          <w:szCs w:val="20"/>
          <w:color w:val="auto"/>
        </w:rPr>
      </w:pPr>
    </w:p>
    <w:p>
      <w:pPr>
        <w:ind w:left="1080" w:right="8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909,369 shares immediately after this offering; or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Statements on Form S-8</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 are available for sale in the open market. The initial registration statement on Form S-8 covered 15,983,311 shares of our common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For a description of rights some holders of common stock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67% of our outstanding common stock (or approximately 65%, if the underwriters exercise in full their option to purchase additional shares). These shares of common stock also may be sold under Rule 144, depending on their holding period and subject to restrictions in the case of shares held by persons deemed to be our affiliates.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AND ESTATE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CONSEQUENCES TO NON-U.S. HOLDERS</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76" w:lineRule="exact"/>
        <w:rPr>
          <w:sz w:val="20"/>
          <w:szCs w:val="20"/>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172"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77" w:lineRule="exact"/>
        <w:rPr>
          <w:sz w:val="20"/>
          <w:szCs w:val="20"/>
          <w:color w:val="auto"/>
        </w:rPr>
      </w:pPr>
    </w:p>
    <w:p>
      <w:pPr>
        <w:jc w:val="both"/>
        <w:ind w:left="120" w:right="60" w:firstLine="44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92"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Subject to the discussion of backup withholding below, any gain realized by a non-U.S. holder on the sale or other taxable disposition of our common stock generally will not be subject to U.S. federal income tax unless:</w:t>
      </w:r>
    </w:p>
    <w:p>
      <w:pPr>
        <w:spacing w:after="0" w:line="76" w:lineRule="exact"/>
        <w:rPr>
          <w:sz w:val="20"/>
          <w:szCs w:val="20"/>
          <w:color w:val="auto"/>
        </w:rPr>
      </w:pPr>
    </w:p>
    <w:p>
      <w:pPr>
        <w:ind w:left="1080" w:right="42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for U.S. federal income tax purposes and certain other conditions are met.</w:t>
      </w:r>
    </w:p>
    <w:p>
      <w:pPr>
        <w:spacing w:after="0" w:line="24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we are not and do not anticipate becoming a “U.S. real property holding corporation” for U.S. federal income tax purposes.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Common stock held by an individual non-U.S. holder at the time of death will be included in such holder’s gross estate for U.S. federal estate tax purposes, unless an applicable estate tax treaty provides otherwise.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must report annually to the Internal Revenue Service and to each non-U.S. holder the amount of distributions paid to such holder and the tax withheld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7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Under the terms and subject to the conditions contained in an underwriting agreement, dated January 27, 2021, the selling stockholders have agreed to sell to the underwriters named below, for whom Credit Suisse Securities (USA) LLC and J.P. Morgan Securities LLC are acting as representatives, the following respective numbers of shares of common stock:</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642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4"/>
              </w:rPr>
              <w:t>Number of Shares</w:t>
            </w:r>
          </w:p>
        </w:tc>
      </w:tr>
      <w:tr>
        <w:trPr>
          <w:trHeight w:val="203"/>
        </w:trPr>
        <w:tc>
          <w:tcPr>
            <w:tcW w:w="7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2,520,000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KKR Capital Markets LLC</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3,120,000</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1,680,000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Evercore Group L.L.C.</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240,000</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Guggenheim Securities, LLC</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240,000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240,000</w:t>
            </w:r>
          </w:p>
        </w:tc>
      </w:tr>
      <w:tr>
        <w:trPr>
          <w:trHeight w:val="216"/>
        </w:trPr>
        <w:tc>
          <w:tcPr>
            <w:tcW w:w="72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240,000</w:t>
            </w: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Stephens Inc.</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120,000</w:t>
            </w:r>
          </w:p>
        </w:tc>
      </w:tr>
      <w:tr>
        <w:trPr>
          <w:trHeight w:val="224"/>
        </w:trPr>
        <w:tc>
          <w:tcPr>
            <w:tcW w:w="7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12,000,000</w:t>
            </w:r>
          </w:p>
        </w:tc>
        <w:tc>
          <w:tcPr>
            <w:tcW w:w="40" w:type="dxa"/>
            <w:vAlign w:val="bottom"/>
          </w:tcPr>
          <w:p>
            <w:pPr>
              <w:spacing w:after="0"/>
              <w:rPr>
                <w:sz w:val="19"/>
                <w:szCs w:val="19"/>
                <w:color w:val="auto"/>
              </w:rPr>
            </w:pPr>
          </w:p>
        </w:tc>
      </w:tr>
    </w:tbl>
    <w:p>
      <w:pPr>
        <w:spacing w:after="0" w:line="20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underwriters’ option to purchase additional shares described below. The underwriting agreement also provides that if an underwriter defaults the purchase commitments of non-defaulting underwriters may be increased or the offering may be terminated.</w:t>
      </w:r>
    </w:p>
    <w:p>
      <w:pPr>
        <w:spacing w:after="0" w:line="149"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underwriters have a 30-day option to purchase on a pro rata basis up to 1,800,000 additional shares at the public offering price less the underwriting discounts and commissions from the selling stockholders.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underwriters propose to offer the shares of common stock initially at the public offering price on the cover page of this prospectus and to selling group members at that price less a selling concession of up to $0.48375 per share. After the public offering, the representatives may change the public offering price and concession.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public offering price, underwriting discounts and commissions and proceeds to the selling stockholders.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Underwriting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Discounts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Price to Public</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the Selling</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Commissions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09"/>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0.80625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20.69375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258,000,000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9,675,000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248,325,000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stockholders are responsible, are estimated at $910,000 and are payable by us. We have also agreed to reimburse the underwriters for up to $35,000.</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without the prior written consent of Credit Suisse Securities (USA) LLC and J.P. Morgan Securities LLC for a period of 90 days after the date of this prospectus.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executive officers, directors and the selling stockholders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such offer, sale, pledge or disposition, or to enter into any such transaction, swap, hedge or other arrangement, without, in each case, the prior written consent of Credit Suisse Securities (USA) LLC and J.P. Morgan Securities LLC for a period of 90 days (or in the case of the executive officers other than our chief executive officer and our chief financial officer, 60 days) after the date of this prospectus, subject to certain exceptions.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80" w:hanging="424"/>
        <w:spacing w:after="0"/>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080" w:right="140" w:hanging="424"/>
        <w:spacing w:after="0" w:line="273"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their option to purchase additional shares. In a naked short position, the number of shares involved is greater than the number of shares in their option to purchase additional shares. The underwriters may close out any covered short position by either exercising their option to purchase additional shares and/or purchasing shares in the open market.</w:t>
      </w:r>
    </w:p>
    <w:p>
      <w:pPr>
        <w:spacing w:after="0" w:line="83" w:lineRule="exact"/>
        <w:rPr>
          <w:rFonts w:ascii="Arial" w:cs="Arial" w:eastAsia="Arial" w:hAnsi="Arial"/>
          <w:sz w:val="17"/>
          <w:szCs w:val="17"/>
          <w:color w:val="auto"/>
        </w:rPr>
      </w:pPr>
    </w:p>
    <w:p>
      <w:pPr>
        <w:ind w:left="1080" w:right="100" w:hanging="424"/>
        <w:spacing w:after="0" w:line="272"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their option. If the underwriters sell more shares than could be covered by their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2" w:lineRule="exact"/>
        <w:rPr>
          <w:rFonts w:ascii="Arial" w:cs="Arial" w:eastAsia="Arial" w:hAnsi="Arial"/>
          <w:sz w:val="17"/>
          <w:szCs w:val="17"/>
          <w:color w:val="auto"/>
        </w:rPr>
      </w:pPr>
    </w:p>
    <w:p>
      <w:pPr>
        <w:ind w:left="1080" w:hanging="424"/>
        <w:spacing w:after="0" w:line="342" w:lineRule="auto"/>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29" w:lineRule="exact"/>
        <w:rPr>
          <w:rFonts w:ascii="Arial" w:cs="Arial" w:eastAsia="Arial" w:hAnsi="Arial"/>
          <w:sz w:val="16"/>
          <w:szCs w:val="16"/>
          <w:color w:val="auto"/>
        </w:rPr>
      </w:pPr>
    </w:p>
    <w:p>
      <w:pPr>
        <w:ind w:left="1080" w:right="740" w:hanging="424"/>
        <w:spacing w:after="0" w:line="342" w:lineRule="auto"/>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2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KKR Stockholders beneficially own in excess of 10% of our issued and outstanding common stock and will be selling stockholders in this offering and, as such, will receive in excess of 5% of the net proceeds of the offering. Because KKR Capital Markets LLC, an affiliate of the KKR Stockholders, is an underwriter in this offering, KKR Capital Markets LLC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because a bona fide public market exists in the shares, as that term is defined in FINRA Rule 5121. KKR Capital Markets LLC will not confirm any sales to any account over which it exercises discretionary authority without the specific written approval of the account holder.</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6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1080" w:hanging="532"/>
        <w:spacing w:after="0" w:line="259"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92"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80"/>
          </w:cols>
          <w:pgMar w:left="32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52" w:lineRule="exact"/>
        <w:rPr>
          <w:sz w:val="20"/>
          <w:szCs w:val="20"/>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SFA,</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532"/>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9" w:lineRule="exact"/>
        <w:rPr>
          <w:sz w:val="20"/>
          <w:szCs w:val="20"/>
          <w:color w:val="auto"/>
        </w:rPr>
      </w:pPr>
    </w:p>
    <w:p>
      <w:pPr>
        <w:ind w:left="1080" w:right="20" w:hanging="532"/>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17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0980"/>
          </w:cols>
          <w:pgMar w:left="320" w:top="459" w:right="5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balance sheet of Academy Sports and Outdoors, Inc. as of June 30, 2020 included in this prospectus has been audited by Deloitte &amp; Touche LLP, an independent registered public accounting firm, as stated in their report appearing herein. Such balance sheet is included in reliance on the report of such firm given upon their authority as experts in accounting and auditing.</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financial statements of New Academy Holding Company, LLC as of February 1, 2020 and February 2, 2019, and for each of the three fiscal years in the period ended February 1, 2020,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Financial Accounting Standards Board (FASB) Accounting Standards Update (ASU) 2016-02, Leases (Topic 842), using the modified retrospective approach. Such financial statements are included in reliance on the report of such firm given upon their authority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95"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234"/>
        </w:trPr>
        <w:tc>
          <w:tcPr>
            <w:tcW w:w="10620" w:type="dxa"/>
            <w:vAlign w:val="bottom"/>
            <w:gridSpan w:val="7"/>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513"/>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92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rPr>
              <w:t>INDEX TO FINANCIAL STATEMENTS</w:t>
            </w:r>
          </w:p>
        </w:tc>
        <w:tc>
          <w:tcPr>
            <w:tcW w:w="460" w:type="dxa"/>
            <w:vAlign w:val="bottom"/>
          </w:tcPr>
          <w:p>
            <w:pPr>
              <w:spacing w:after="0"/>
              <w:rPr>
                <w:sz w:val="24"/>
                <w:szCs w:val="24"/>
                <w:color w:val="auto"/>
              </w:rPr>
            </w:pPr>
          </w:p>
        </w:tc>
      </w:tr>
      <w:tr>
        <w:trPr>
          <w:trHeight w:val="459"/>
        </w:trPr>
        <w:tc>
          <w:tcPr>
            <w:tcW w:w="10620" w:type="dxa"/>
            <w:vAlign w:val="bottom"/>
            <w:gridSpan w:val="7"/>
          </w:tcPr>
          <w:p>
            <w:pPr>
              <w:ind w:left="120"/>
              <w:spacing w:after="0"/>
              <w:rPr>
                <w:sz w:val="20"/>
                <w:szCs w:val="20"/>
                <w:color w:val="auto"/>
              </w:rPr>
            </w:pPr>
            <w:r>
              <w:rPr>
                <w:rFonts w:ascii="Arial" w:cs="Arial" w:eastAsia="Arial" w:hAnsi="Arial"/>
                <w:sz w:val="18"/>
                <w:szCs w:val="18"/>
                <w:b w:val="1"/>
                <w:bCs w:val="1"/>
                <w:color w:val="auto"/>
              </w:rPr>
              <w:t>New Academy Holding Company, LLC:</w:t>
            </w:r>
          </w:p>
        </w:tc>
        <w:tc>
          <w:tcPr>
            <w:tcW w:w="460" w:type="dxa"/>
            <w:vAlign w:val="bottom"/>
          </w:tcPr>
          <w:p>
            <w:pPr>
              <w:spacing w:after="0"/>
              <w:rPr>
                <w:sz w:val="24"/>
                <w:szCs w:val="24"/>
                <w:color w:val="auto"/>
              </w:rPr>
            </w:pPr>
          </w:p>
        </w:tc>
      </w:tr>
      <w:tr>
        <w:trPr>
          <w:trHeight w:val="310"/>
        </w:trPr>
        <w:tc>
          <w:tcPr>
            <w:tcW w:w="10620" w:type="dxa"/>
            <w:vAlign w:val="bottom"/>
            <w:gridSpan w:val="7"/>
          </w:tcPr>
          <w:p>
            <w:pPr>
              <w:ind w:left="120"/>
              <w:spacing w:after="0"/>
              <w:rPr>
                <w:sz w:val="20"/>
                <w:szCs w:val="20"/>
                <w:color w:val="auto"/>
              </w:rPr>
            </w:pPr>
            <w:r>
              <w:rPr>
                <w:rFonts w:ascii="Arial" w:cs="Arial" w:eastAsia="Arial" w:hAnsi="Arial"/>
                <w:sz w:val="18"/>
                <w:szCs w:val="18"/>
                <w:color w:val="auto"/>
              </w:rPr>
              <w:t>Audited Consolidated Financial Statements:</w:t>
            </w:r>
          </w:p>
        </w:tc>
        <w:tc>
          <w:tcPr>
            <w:tcW w:w="460" w:type="dxa"/>
            <w:vAlign w:val="bottom"/>
          </w:tcPr>
          <w:p>
            <w:pPr>
              <w:spacing w:after="0"/>
              <w:rPr>
                <w:sz w:val="24"/>
                <w:szCs w:val="24"/>
                <w:color w:val="auto"/>
              </w:rPr>
            </w:pP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Consolidated Balance Sheets as of February 1, 2020 and February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Consolidated Statements of Income for the fiscal year ended February 1, 2020, February 2, 2019, and February 3,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190"/>
        </w:trPr>
        <w:tc>
          <w:tcPr>
            <w:tcW w:w="10620" w:type="dxa"/>
            <w:vAlign w:val="bottom"/>
            <w:gridSpan w:val="7"/>
          </w:tcPr>
          <w:p>
            <w:pPr>
              <w:ind w:left="480"/>
              <w:spacing w:after="0" w:line="190" w:lineRule="exact"/>
              <w:rPr>
                <w:rFonts w:ascii="Arial" w:cs="Arial" w:eastAsia="Arial" w:hAnsi="Arial"/>
                <w:sz w:val="18"/>
                <w:szCs w:val="18"/>
                <w:color w:val="0000EE"/>
                <w:w w:val="92"/>
              </w:rPr>
            </w:pPr>
            <w:hyperlink w:anchor="page236">
              <w:r>
                <w:rPr>
                  <w:rFonts w:ascii="Arial" w:cs="Arial" w:eastAsia="Arial" w:hAnsi="Arial"/>
                  <w:sz w:val="18"/>
                  <w:szCs w:val="18"/>
                  <w:color w:val="0000EE"/>
                  <w:w w:val="92"/>
                </w:rPr>
                <w:t>Consolidated Statements of Comprehensive Income (Loss) for the fiscal year ended February 1, 2020, February 2, 2019 and February 3,</w:t>
              </w:r>
            </w:hyperlink>
          </w:p>
        </w:tc>
        <w:tc>
          <w:tcPr>
            <w:tcW w:w="460" w:type="dxa"/>
            <w:vAlign w:val="bottom"/>
          </w:tcPr>
          <w:p>
            <w:pPr>
              <w:spacing w:after="0"/>
              <w:rPr>
                <w:sz w:val="16"/>
                <w:szCs w:val="16"/>
                <w:color w:val="auto"/>
              </w:rPr>
            </w:pPr>
          </w:p>
        </w:tc>
      </w:tr>
      <w:tr>
        <w:trPr>
          <w:trHeight w:val="196"/>
        </w:trPr>
        <w:tc>
          <w:tcPr>
            <w:tcW w:w="48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236">
              <w:r>
                <w:rPr>
                  <w:rFonts w:ascii="Arial" w:cs="Arial" w:eastAsia="Arial" w:hAnsi="Arial"/>
                  <w:sz w:val="18"/>
                  <w:szCs w:val="18"/>
                  <w:color w:val="0000EE"/>
                  <w:w w:val="84"/>
                </w:rPr>
                <w:t>2018</w:t>
              </w:r>
            </w:hyperlink>
          </w:p>
        </w:tc>
        <w:tc>
          <w:tcPr>
            <w:tcW w:w="168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10620" w:type="dxa"/>
            <w:vAlign w:val="bottom"/>
            <w:gridSpan w:val="7"/>
          </w:tcPr>
          <w:p>
            <w:pPr>
              <w:ind w:left="480"/>
              <w:spacing w:after="0"/>
              <w:rPr>
                <w:rFonts w:ascii="Arial" w:cs="Arial" w:eastAsia="Arial" w:hAnsi="Arial"/>
                <w:sz w:val="18"/>
                <w:szCs w:val="18"/>
                <w:u w:val="single" w:color="auto"/>
                <w:color w:val="0000EE"/>
                <w:w w:val="99"/>
              </w:rPr>
            </w:pPr>
            <w:hyperlink w:anchor="page237">
              <w:r>
                <w:rPr>
                  <w:rFonts w:ascii="Arial" w:cs="Arial" w:eastAsia="Arial" w:hAnsi="Arial"/>
                  <w:sz w:val="18"/>
                  <w:szCs w:val="18"/>
                  <w:u w:val="single" w:color="auto"/>
                  <w:color w:val="0000EE"/>
                  <w:w w:val="99"/>
                </w:rPr>
                <w:t>Consolidated Statements of Partners’ Equity for the fiscal year ended February 1, 2020, February 2, 2019 and February 3,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Consolidated Statements of Cash Flows for the fiscal year ended February 1, 2020, February 2, 2019 and February 3,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30"/>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24"/>
        </w:trPr>
        <w:tc>
          <w:tcPr>
            <w:tcW w:w="10620" w:type="dxa"/>
            <w:vAlign w:val="bottom"/>
            <w:gridSpan w:val="7"/>
          </w:tcPr>
          <w:p>
            <w:pPr>
              <w:ind w:left="120"/>
              <w:spacing w:after="0"/>
              <w:rPr>
                <w:sz w:val="20"/>
                <w:szCs w:val="20"/>
                <w:color w:val="auto"/>
              </w:rPr>
            </w:pPr>
            <w:r>
              <w:rPr>
                <w:rFonts w:ascii="Arial" w:cs="Arial" w:eastAsia="Arial" w:hAnsi="Arial"/>
                <w:sz w:val="18"/>
                <w:szCs w:val="18"/>
                <w:b w:val="1"/>
                <w:bCs w:val="1"/>
                <w:color w:val="auto"/>
              </w:rPr>
              <w:t>Academy Sports and Outdoors, Inc.:</w:t>
            </w:r>
          </w:p>
        </w:tc>
        <w:tc>
          <w:tcPr>
            <w:tcW w:w="460" w:type="dxa"/>
            <w:vAlign w:val="bottom"/>
          </w:tcPr>
          <w:p>
            <w:pPr>
              <w:spacing w:after="0"/>
              <w:rPr>
                <w:sz w:val="24"/>
                <w:szCs w:val="24"/>
                <w:color w:val="auto"/>
              </w:rPr>
            </w:pPr>
          </w:p>
        </w:tc>
      </w:tr>
      <w:tr>
        <w:trPr>
          <w:trHeight w:val="310"/>
        </w:trPr>
        <w:tc>
          <w:tcPr>
            <w:tcW w:w="10620" w:type="dxa"/>
            <w:vAlign w:val="bottom"/>
            <w:gridSpan w:val="7"/>
          </w:tcPr>
          <w:p>
            <w:pPr>
              <w:ind w:left="120"/>
              <w:spacing w:after="0"/>
              <w:rPr>
                <w:sz w:val="20"/>
                <w:szCs w:val="20"/>
                <w:color w:val="auto"/>
              </w:rPr>
            </w:pPr>
            <w:r>
              <w:rPr>
                <w:rFonts w:ascii="Arial" w:cs="Arial" w:eastAsia="Arial" w:hAnsi="Arial"/>
                <w:sz w:val="18"/>
                <w:szCs w:val="18"/>
                <w:color w:val="auto"/>
              </w:rPr>
              <w:t>Audited Consolidated Financial Statements:</w:t>
            </w:r>
          </w:p>
        </w:tc>
        <w:tc>
          <w:tcPr>
            <w:tcW w:w="460" w:type="dxa"/>
            <w:vAlign w:val="bottom"/>
          </w:tcPr>
          <w:p>
            <w:pPr>
              <w:spacing w:after="0"/>
              <w:rPr>
                <w:sz w:val="24"/>
                <w:szCs w:val="24"/>
                <w:color w:val="auto"/>
              </w:rPr>
            </w:pP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Balance Sheet as of June 30, 2020</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0">
              <w:r>
                <w:rPr>
                  <w:rFonts w:ascii="Arial" w:cs="Arial" w:eastAsia="Arial" w:hAnsi="Arial"/>
                  <w:sz w:val="18"/>
                  <w:szCs w:val="18"/>
                  <w:u w:val="single" w:color="auto"/>
                  <w:color w:val="0000EE"/>
                </w:rPr>
                <w:t>Notes to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0"/>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0620" w:type="dxa"/>
            <w:vAlign w:val="bottom"/>
            <w:gridSpan w:val="7"/>
          </w:tcPr>
          <w:p>
            <w:pPr>
              <w:ind w:left="120"/>
              <w:spacing w:after="0"/>
              <w:rPr>
                <w:sz w:val="20"/>
                <w:szCs w:val="20"/>
                <w:color w:val="auto"/>
              </w:rPr>
            </w:pPr>
            <w:r>
              <w:rPr>
                <w:rFonts w:ascii="Arial" w:cs="Arial" w:eastAsia="Arial" w:hAnsi="Arial"/>
                <w:sz w:val="18"/>
                <w:szCs w:val="18"/>
                <w:color w:val="auto"/>
              </w:rPr>
              <w:t>Unaudited Condensed Consolidated Financial Statements:</w:t>
            </w:r>
          </w:p>
        </w:tc>
        <w:tc>
          <w:tcPr>
            <w:tcW w:w="460" w:type="dxa"/>
            <w:vAlign w:val="bottom"/>
          </w:tcPr>
          <w:p>
            <w:pPr>
              <w:spacing w:after="0"/>
              <w:rPr>
                <w:sz w:val="24"/>
                <w:szCs w:val="24"/>
                <w:color w:val="auto"/>
              </w:rPr>
            </w:pP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Unaudited Consolidated Balance Sheets as of October 31, 2020, February 1, 2020 and November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w w:val="98"/>
              </w:rPr>
            </w:pPr>
            <w:hyperlink w:anchor="page272">
              <w:r>
                <w:rPr>
                  <w:rFonts w:ascii="Arial" w:cs="Arial" w:eastAsia="Arial" w:hAnsi="Arial"/>
                  <w:sz w:val="18"/>
                  <w:szCs w:val="18"/>
                  <w:u w:val="single" w:color="auto"/>
                  <w:color w:val="0000EE"/>
                  <w:w w:val="98"/>
                </w:rPr>
                <w:t>Unaudited Consolidated Statements of Income for thirteen and thirty-nine weeks ended October 31, 2020 and November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0"/>
        </w:trPr>
        <w:tc>
          <w:tcPr>
            <w:tcW w:w="10620" w:type="dxa"/>
            <w:vAlign w:val="bottom"/>
            <w:gridSpan w:val="7"/>
          </w:tcPr>
          <w:p>
            <w:pPr>
              <w:ind w:left="480"/>
              <w:spacing w:after="0" w:line="190" w:lineRule="exact"/>
              <w:rPr>
                <w:rFonts w:ascii="Arial" w:cs="Arial" w:eastAsia="Arial" w:hAnsi="Arial"/>
                <w:sz w:val="18"/>
                <w:szCs w:val="18"/>
                <w:color w:val="0000EE"/>
                <w:w w:val="92"/>
              </w:rPr>
            </w:pPr>
            <w:hyperlink w:anchor="page274">
              <w:r>
                <w:rPr>
                  <w:rFonts w:ascii="Arial" w:cs="Arial" w:eastAsia="Arial" w:hAnsi="Arial"/>
                  <w:sz w:val="18"/>
                  <w:szCs w:val="18"/>
                  <w:color w:val="0000EE"/>
                  <w:w w:val="92"/>
                </w:rPr>
                <w:t>Unaudited Consolidated Statements of Partners’ Equity / of Stockholders’ Equity for the thirteen and thirty-nine weeks ended October 31,</w:t>
              </w:r>
            </w:hyperlink>
          </w:p>
        </w:tc>
        <w:tc>
          <w:tcPr>
            <w:tcW w:w="46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196"/>
        </w:trPr>
        <w:tc>
          <w:tcPr>
            <w:tcW w:w="4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74">
              <w:r>
                <w:rPr>
                  <w:rFonts w:ascii="Arial" w:cs="Arial" w:eastAsia="Arial" w:hAnsi="Arial"/>
                  <w:sz w:val="18"/>
                  <w:szCs w:val="18"/>
                  <w:color w:val="0000EE"/>
                </w:rPr>
                <w:t>2020 and November 2, 2019</w:t>
              </w:r>
            </w:hyperlink>
          </w:p>
        </w:tc>
        <w:tc>
          <w:tcPr>
            <w:tcW w:w="2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660" w:type="dxa"/>
            <w:vAlign w:val="bottom"/>
            <w:gridSpan w:val="2"/>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10620" w:type="dxa"/>
            <w:vAlign w:val="bottom"/>
            <w:gridSpan w:val="7"/>
          </w:tcPr>
          <w:p>
            <w:pPr>
              <w:ind w:left="480"/>
              <w:spacing w:after="0"/>
              <w:rPr>
                <w:rFonts w:ascii="Arial" w:cs="Arial" w:eastAsia="Arial" w:hAnsi="Arial"/>
                <w:sz w:val="18"/>
                <w:szCs w:val="18"/>
                <w:u w:val="single" w:color="auto"/>
                <w:color w:val="0000EE"/>
                <w:w w:val="92"/>
              </w:rPr>
            </w:pPr>
            <w:hyperlink w:anchor="page276">
              <w:r>
                <w:rPr>
                  <w:rFonts w:ascii="Arial" w:cs="Arial" w:eastAsia="Arial" w:hAnsi="Arial"/>
                  <w:sz w:val="18"/>
                  <w:szCs w:val="18"/>
                  <w:u w:val="single" w:color="auto"/>
                  <w:color w:val="0000EE"/>
                  <w:w w:val="92"/>
                </w:rPr>
                <w:t>Unaudited Consolidated Statements of Cash Flows for the thirteen and thirty-nine weeks ended October 31, 2020 and November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Condensed 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0"/>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6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920" w:type="dxa"/>
            <w:vAlign w:val="bottom"/>
            <w:gridSpan w:val="3"/>
          </w:tcPr>
          <w:p>
            <w:pPr>
              <w:jc w:val="center"/>
              <w:ind w:right="2080"/>
              <w:spacing w:after="0"/>
              <w:rPr>
                <w:sz w:val="20"/>
                <w:szCs w:val="20"/>
                <w:color w:val="auto"/>
              </w:rPr>
            </w:pPr>
            <w:r>
              <w:rPr>
                <w:rFonts w:ascii="Arial" w:cs="Arial" w:eastAsia="Arial" w:hAnsi="Arial"/>
                <w:sz w:val="18"/>
                <w:szCs w:val="18"/>
                <w:color w:val="auto"/>
                <w:w w:val="88"/>
              </w:rPr>
              <w:t>F-1</w:t>
            </w:r>
          </w:p>
        </w:tc>
        <w:tc>
          <w:tcPr>
            <w:tcW w:w="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Partners and the Board of Managers of New Academy Holding Company, LLC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New Academy Holding Company, LLC and subsidiaries (the “Company”) as of February 1, 2020 and February 2, 2019, the related consolidated statements of income (loss), comprehensive income (loss), partners’ equity, and cash flows, for each of the three years in the period ended February 1, 2020, and the related notes to the consolidated financial statements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 xml:space="preserve">As discussed in Notes 2 and 14 to the financial statements, the Company adopted Financial Accounting Standards Board (FASB)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using the modified retrospective approach.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10,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1996.</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vMerge w:val="restart"/>
          </w:tcPr>
          <w:p>
            <w:pPr>
              <w:ind w:left="3600"/>
              <w:spacing w:after="0"/>
              <w:rPr>
                <w:sz w:val="20"/>
                <w:szCs w:val="20"/>
                <w:color w:val="auto"/>
              </w:rPr>
            </w:pPr>
            <w:r>
              <w:rPr>
                <w:rFonts w:ascii="Arial" w:cs="Arial" w:eastAsia="Arial" w:hAnsi="Arial"/>
                <w:sz w:val="18"/>
                <w:szCs w:val="18"/>
                <w:b w:val="1"/>
                <w:bCs w:val="1"/>
                <w:color w:val="auto"/>
              </w:rPr>
              <w:t>ASSETS</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February 1, 2020</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2, 2019</w:t>
            </w:r>
          </w:p>
        </w:tc>
        <w:tc>
          <w:tcPr>
            <w:tcW w:w="0" w:type="dxa"/>
            <w:vAlign w:val="bottom"/>
          </w:tcPr>
          <w:p>
            <w:pPr>
              <w:spacing w:after="0"/>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149,385</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75,691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 less allowance for doubtful accounts of $3,275 and $3,008,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13,999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15,725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Merchandise inventories,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1,099,749</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1,134,156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24,548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39,937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1,763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1,289,444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1,267,272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441,407</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496,153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1,145,705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TRADE NAME AND 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577,000</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592,067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861,920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15,845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b w:val="1"/>
                <w:bCs w:val="1"/>
                <w:color w:val="auto"/>
                <w:w w:val="94"/>
              </w:rPr>
              <w:t>4,331,321</w:t>
            </w:r>
          </w:p>
        </w:tc>
        <w:tc>
          <w:tcPr>
            <w:tcW w:w="1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96"/>
              </w:rPr>
              <w:t>3,238,957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60"/>
              <w:spacing w:after="0"/>
              <w:rPr>
                <w:sz w:val="20"/>
                <w:szCs w:val="20"/>
                <w:color w:val="auto"/>
              </w:rPr>
            </w:pPr>
            <w:r>
              <w:rPr>
                <w:rFonts w:ascii="Arial" w:cs="Arial" w:eastAsia="Arial" w:hAnsi="Arial"/>
                <w:sz w:val="18"/>
                <w:szCs w:val="18"/>
                <w:b w:val="1"/>
                <w:bCs w:val="1"/>
                <w:color w:val="auto"/>
              </w:rPr>
              <w:t>LIABILITIES AND PARTNERS’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428,823</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432,037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211,381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184,141</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Current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76,329</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34,116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68,305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750,649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net of current maturities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1,428,542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1,556,755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LONG-TERM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1,141,896</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19,197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122,795</w:t>
            </w:r>
          </w:p>
        </w:tc>
        <w:tc>
          <w:tcPr>
            <w:tcW w:w="0" w:type="dxa"/>
            <w:vAlign w:val="bottom"/>
          </w:tcPr>
          <w:p>
            <w:pPr>
              <w:spacing w:after="0"/>
              <w:rPr>
                <w:sz w:val="1"/>
                <w:szCs w:val="1"/>
                <w:color w:val="auto"/>
              </w:rPr>
            </w:pPr>
          </w:p>
        </w:tc>
      </w:tr>
      <w:tr>
        <w:trPr>
          <w:trHeight w:val="228"/>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3,340,284</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REDEEMABLE MEMBERSHIP UNITS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2,818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ind w:left="360"/>
              <w:spacing w:after="0" w:line="201" w:lineRule="exact"/>
              <w:rPr>
                <w:sz w:val="20"/>
                <w:szCs w:val="20"/>
                <w:color w:val="auto"/>
              </w:rPr>
            </w:pPr>
            <w:r>
              <w:rPr>
                <w:rFonts w:ascii="Arial" w:cs="Arial" w:eastAsia="Arial" w:hAnsi="Arial"/>
                <w:sz w:val="18"/>
                <w:szCs w:val="18"/>
                <w:color w:val="auto"/>
                <w:w w:val="97"/>
              </w:rPr>
              <w:t>Partners’ equity, membership units authorized, issued and outstanding 228,274,749 and 228,289,163,</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996,285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848,591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(8,066)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Partners’ equity</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988,219</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partners’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4,331,321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3,238,957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earnings per unit)</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2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2019</w:t>
            </w: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b w:val="1"/>
                <w:bCs w:val="1"/>
                <w:color w:val="auto"/>
                <w:w w:val="8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4,829,897</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4,783,893</w:t>
            </w: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4,835,582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3,398,743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3,415,941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3,436,618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1,431,154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1,367,952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1,398,964</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1,251,733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1,239,002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1,241,643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179,421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157,321</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101,307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108,652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104,857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61,282</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w w:val="8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b w:val="1"/>
                <w:bCs w:val="1"/>
                <w:color w:val="auto"/>
              </w:rPr>
              <w:t>120,043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w w:val="8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21,442</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58,501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Earnings per 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0.53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0.51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227,942,148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236,804,721</w:t>
            </w: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Unaudited Pro Forma Financial Information (Note 2)</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Pro forma income tax expense</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32,918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89,942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Pro forma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83,012,535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85,331,699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Fiscal Year Ended</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1, 2020</w:t>
            </w:r>
          </w:p>
        </w:tc>
        <w:tc>
          <w:tcPr>
            <w:tcW w:w="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2019</w:t>
            </w:r>
          </w:p>
        </w:tc>
        <w:tc>
          <w:tcPr>
            <w:tcW w:w="3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40" w:type="dxa"/>
            <w:vAlign w:val="bottom"/>
          </w:tcPr>
          <w:p>
            <w:pPr>
              <w:spacing w:after="0"/>
              <w:rPr>
                <w:sz w:val="12"/>
                <w:szCs w:val="12"/>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54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ind w:left="800"/>
              <w:spacing w:after="0"/>
              <w:rPr>
                <w:sz w:val="20"/>
                <w:szCs w:val="20"/>
                <w:color w:val="auto"/>
              </w:rPr>
            </w:pPr>
            <w:r>
              <w:rPr>
                <w:rFonts w:ascii="Arial" w:cs="Arial" w:eastAsia="Arial" w:hAnsi="Arial"/>
                <w:sz w:val="20"/>
                <w:szCs w:val="20"/>
                <w:b w:val="1"/>
                <w:bCs w:val="1"/>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20"/>
                <w:szCs w:val="20"/>
                <w:b w:val="1"/>
                <w:bCs w:val="1"/>
                <w:color w:val="auto"/>
              </w:rPr>
              <w:t>120,043</w:t>
            </w:r>
          </w:p>
        </w:tc>
        <w:tc>
          <w:tcPr>
            <w:tcW w:w="68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20"/>
                <w:szCs w:val="20"/>
                <w:color w:val="auto"/>
              </w:rPr>
              <w:t>21,442</w:t>
            </w:r>
          </w:p>
        </w:tc>
        <w:tc>
          <w:tcPr>
            <w:tcW w:w="66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rPr>
              <w:t>58,501</w:t>
            </w: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interest rate swaps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(16,096)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Recognized interest expense (income) on interest rate swaps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7,497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20"/>
                <w:szCs w:val="20"/>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b w:val="1"/>
                <w:bCs w:val="1"/>
                <w:color w:val="auto"/>
              </w:rPr>
              <w:t>103,529</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19,923</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71,874</w:t>
            </w:r>
          </w:p>
        </w:tc>
      </w:tr>
      <w:tr>
        <w:trPr>
          <w:trHeight w:val="20"/>
        </w:trPr>
        <w:tc>
          <w:tcPr>
            <w:tcW w:w="5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0" w:type="dxa"/>
            <w:vAlign w:val="bottom"/>
            <w:gridSpan w:val="5"/>
          </w:tcPr>
          <w:p>
            <w:pPr>
              <w:jc w:val="right"/>
              <w:ind w:right="580"/>
              <w:spacing w:after="0" w:line="135" w:lineRule="exact"/>
              <w:rPr>
                <w:sz w:val="20"/>
                <w:szCs w:val="20"/>
                <w:color w:val="auto"/>
              </w:rPr>
            </w:pPr>
            <w:r>
              <w:rPr>
                <w:rFonts w:ascii="Arial" w:cs="Arial" w:eastAsia="Arial" w:hAnsi="Arial"/>
                <w:sz w:val="13"/>
                <w:szCs w:val="13"/>
                <w:b w:val="1"/>
                <w:bCs w:val="1"/>
                <w:color w:val="auto"/>
              </w:rPr>
              <w:t>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Membership</w:t>
            </w: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1600" w:type="dxa"/>
            <w:vAlign w:val="bottom"/>
            <w:gridSpan w:val="5"/>
          </w:tcPr>
          <w:p>
            <w:pPr>
              <w:ind w:left="200"/>
              <w:spacing w:after="0"/>
              <w:rPr>
                <w:sz w:val="20"/>
                <w:szCs w:val="20"/>
                <w:color w:val="auto"/>
              </w:rPr>
            </w:pPr>
            <w:r>
              <w:rPr>
                <w:rFonts w:ascii="Arial" w:cs="Arial" w:eastAsia="Arial" w:hAnsi="Arial"/>
                <w:sz w:val="13"/>
                <w:szCs w:val="13"/>
                <w:b w:val="1"/>
                <w:bCs w:val="1"/>
                <w:color w:val="auto"/>
              </w:rPr>
              <w:t>Membership Units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Partners' 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right"/>
              <w:ind w:right="280"/>
              <w:spacing w:after="0" w:line="110" w:lineRule="exact"/>
              <w:rPr>
                <w:sz w:val="20"/>
                <w:szCs w:val="20"/>
                <w:color w:val="auto"/>
              </w:rPr>
            </w:pPr>
            <w:r>
              <w:rPr>
                <w:rFonts w:ascii="Arial" w:cs="Arial" w:eastAsia="Arial" w:hAnsi="Arial"/>
                <w:sz w:val="12"/>
                <w:szCs w:val="12"/>
                <w:b w:val="1"/>
                <w:bCs w:val="1"/>
                <w:color w:val="auto"/>
              </w:rPr>
              <w:t>Accumulated</w:t>
            </w: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Total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Partners'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Units</w:t>
            </w:r>
          </w:p>
        </w:tc>
        <w:tc>
          <w:tcPr>
            <w:tcW w:w="74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w w:val="93"/>
              </w:rPr>
              <w:t>Amount</w:t>
            </w:r>
          </w:p>
        </w:tc>
        <w:tc>
          <w:tcPr>
            <w:tcW w:w="172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Partners' Equity</w:t>
            </w: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rPr>
              <w:t>Units</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69"/>
              <w:spacing w:after="0" w:line="129"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as of January 28,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3,813,842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w w:val="83"/>
              </w:rPr>
              <w:t>15,231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224,000,107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$759,668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$756,262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227,813,949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58,501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58,501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4,580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4,580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200,648</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200,648</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Adjustment to Redeemable Units for contributions from Managers and settlement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 vested Restricted Units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(1,200)</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8,238</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Option Payment adjustment due to forfeitures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Unrealized gain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5,876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5,876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Recognized interest expense on interest rate swaps</w:t>
            </w:r>
          </w:p>
        </w:tc>
        <w:tc>
          <w:tcPr>
            <w:tcW w:w="6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7,497</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7,497</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February 3, 2018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4,022,728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16,431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224,000,107</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$822,720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9,967</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$832,687</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228,022,835</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21,442</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21,442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4,633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4,633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231,624</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231,624</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Adjustment to Redeemable Units for contributions from Managers and settlement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 vested Restricted Units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34,704</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(1,454)</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34,704</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Unrealized loss on interest rate swaps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(2,625)</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(2,625)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Recognized interest expense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02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as of February 2, 2019</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4,289,056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83"/>
              </w:rPr>
              <w:t>17,885</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224,000,107</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$848,591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8,448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$857,039</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228,289,163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Equity compensation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7,881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7,881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contributions from Managers</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130"/>
        </w:trPr>
        <w:tc>
          <w:tcPr>
            <w:tcW w:w="5020" w:type="dxa"/>
            <w:vAlign w:val="bottom"/>
          </w:tcPr>
          <w:p>
            <w:pPr>
              <w:ind w:left="140"/>
              <w:spacing w:after="0" w:line="130" w:lineRule="exact"/>
              <w:rPr>
                <w:sz w:val="20"/>
                <w:szCs w:val="20"/>
                <w:color w:val="auto"/>
              </w:rPr>
            </w:pPr>
            <w:r>
              <w:rPr>
                <w:rFonts w:ascii="Arial" w:cs="Arial" w:eastAsia="Arial" w:hAnsi="Arial"/>
                <w:sz w:val="14"/>
                <w:szCs w:val="14"/>
                <w:color w:val="auto"/>
                <w:w w:val="96"/>
              </w:rPr>
              <w:t>Adjustment to Redeemable Units for contributions from Managers and settlement</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280"/>
              <w:spacing w:after="0"/>
              <w:rPr>
                <w:sz w:val="20"/>
                <w:szCs w:val="20"/>
                <w:color w:val="auto"/>
              </w:rPr>
            </w:pPr>
            <w:r>
              <w:rPr>
                <w:rFonts w:ascii="Arial" w:cs="Arial" w:eastAsia="Arial" w:hAnsi="Arial"/>
                <w:sz w:val="14"/>
                <w:szCs w:val="14"/>
                <w:color w:val="auto"/>
              </w:rPr>
              <w:t>of vested Restricted Units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57,363</w:t>
            </w:r>
          </w:p>
        </w:tc>
        <w:tc>
          <w:tcPr>
            <w:tcW w:w="8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400</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(400)</w:t>
            </w:r>
          </w:p>
        </w:tc>
        <w:tc>
          <w:tcPr>
            <w:tcW w:w="1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57,363</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Adjustment to Redeemable Membership Units for repurchase of units from</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Managers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(91,008)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91,008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Repurchase of Redeemable Membership Units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(91,008)</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(473)</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(473)</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(91,008)</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Reclassification of membership units with lapsed put rights (Note 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(3,763,118)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(14,929)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3,763,118</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14,930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14,930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7"/>
              </w:rPr>
              <w:t>Cumulative-effect adjustment related to the adoption of the New Lease Standard</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5,075</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5,075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Unrealized loss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(16,096)</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(16,096)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Recognized interest income on interest rate swaps</w:t>
            </w:r>
          </w:p>
        </w:tc>
        <w:tc>
          <w:tcPr>
            <w:tcW w:w="6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(418)</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(418)</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February 1, 2020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511,524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2,818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227,763,225</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$996,285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(8,066)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$988,219</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228,274,749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Fiscal Year Ended</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1, 2020</w:t>
            </w:r>
          </w:p>
        </w:tc>
        <w:tc>
          <w:tcPr>
            <w:tcW w:w="4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2019</w:t>
            </w:r>
          </w:p>
        </w:tc>
        <w:tc>
          <w:tcPr>
            <w:tcW w:w="3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100" w:type="dxa"/>
            <w:vAlign w:val="bottom"/>
          </w:tcPr>
          <w:p>
            <w:pPr>
              <w:spacing w:after="0"/>
              <w:rPr>
                <w:sz w:val="12"/>
                <w:szCs w:val="12"/>
                <w:color w:val="auto"/>
              </w:rPr>
            </w:pPr>
          </w:p>
        </w:tc>
      </w:tr>
      <w:tr>
        <w:trPr>
          <w:trHeight w:val="128"/>
        </w:trPr>
        <w:tc>
          <w:tcPr>
            <w:tcW w:w="5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120,043</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21,442</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58,501</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117,254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132,782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133,203</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Non-cash lease expense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3,965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Equity 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7,881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4,633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4,580</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Amortization of deferred loan and other costs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3,717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4,163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4,577</w:t>
            </w:r>
          </w:p>
        </w:tc>
      </w:tr>
      <w:tr>
        <w:trPr>
          <w:trHeight w:val="149"/>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Deferred income taxes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297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Non-cash gain on early retirement of debt,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(42,265)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(6,294)</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(559)</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Casualty loss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569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46</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Impairment of long-lived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1,408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Changes in assets and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 net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4,476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2,934</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Merchandise inventories,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34,407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89,284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(132,687)</w:t>
            </w: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(3,732)</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2,187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noncurrent assets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398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1,590</w:t>
            </w: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(2,904)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(70,029)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6,976</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20,615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(2,703)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990</w:t>
            </w: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Deferred rent/tenant improvement allowances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2,833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2,297</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long-term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(1,029)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10,874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8,220</w:t>
            </w:r>
          </w:p>
        </w:tc>
      </w:tr>
      <w:tr>
        <w:trPr>
          <w:trHeight w:val="163"/>
        </w:trPr>
        <w:tc>
          <w:tcPr>
            <w:tcW w:w="5540" w:type="dxa"/>
            <w:vAlign w:val="bottom"/>
          </w:tcPr>
          <w:p>
            <w:pPr>
              <w:ind w:left="11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263,669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198,481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83,355</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(62,818)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(107,905)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(132,126)</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insurance claims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2,593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w:t>
            </w: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10,429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15,992</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Note receivable from member</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(3,988)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(4,144)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63"/>
        </w:trPr>
        <w:tc>
          <w:tcPr>
            <w:tcW w:w="5540" w:type="dxa"/>
            <w:vAlign w:val="bottom"/>
          </w:tcPr>
          <w:p>
            <w:pPr>
              <w:ind w:left="1140"/>
              <w:spacing w:after="0" w:line="155" w:lineRule="exact"/>
              <w:rPr>
                <w:sz w:val="20"/>
                <w:szCs w:val="20"/>
                <w:color w:val="auto"/>
              </w:rPr>
            </w:pPr>
            <w:r>
              <w:rPr>
                <w:rFonts w:ascii="Arial" w:cs="Arial" w:eastAsia="Arial" w:hAnsi="Arial"/>
                <w:sz w:val="14"/>
                <w:szCs w:val="14"/>
                <w:color w:val="auto"/>
              </w:rPr>
              <w:t>Net cash used in investing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(66,783)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(115,901)</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revolving credit facility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502,500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526,812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851,400</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of revolving credit facility</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(502,500)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(561,812)</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(816,400)</w:t>
            </w: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Repayment of term loan facility and capital lease obligations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(122,819)</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(18,250)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(37,989)</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issuance fees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Construction allowance receipts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10,353</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contributions from Managers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100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1,250</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1,150</w:t>
            </w:r>
          </w:p>
        </w:tc>
      </w:tr>
      <w:tr>
        <w:trPr>
          <w:trHeight w:val="149"/>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Repurchase of Redeemable Membership Units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(473)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27"/>
        </w:trPr>
        <w:tc>
          <w:tcPr>
            <w:tcW w:w="5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554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(123,192)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8,514</w:t>
            </w:r>
          </w:p>
        </w:tc>
      </w:tr>
      <w:tr>
        <w:trPr>
          <w:trHeight w:val="155"/>
        </w:trPr>
        <w:tc>
          <w:tcPr>
            <w:tcW w:w="554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73,694</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44,646</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(24,032)</w:t>
            </w:r>
          </w:p>
        </w:tc>
        <w:tc>
          <w:tcPr>
            <w:tcW w:w="100" w:type="dxa"/>
            <w:vAlign w:val="bottom"/>
          </w:tcPr>
          <w:p>
            <w:pPr>
              <w:spacing w:after="0"/>
              <w:rPr>
                <w:sz w:val="13"/>
                <w:szCs w:val="13"/>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75,691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31,045</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55,077</w:t>
            </w:r>
          </w:p>
        </w:tc>
      </w:tr>
      <w:tr>
        <w:trPr>
          <w:trHeight w:val="156"/>
        </w:trPr>
        <w:tc>
          <w:tcPr>
            <w:tcW w:w="554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6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149,385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75,691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31,045</w:t>
            </w:r>
          </w:p>
        </w:tc>
        <w:tc>
          <w:tcPr>
            <w:tcW w:w="100" w:type="dxa"/>
            <w:vAlign w:val="bottom"/>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Cash paid for interest</w:t>
            </w: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93,556</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108,208</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105,661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for state and local income taxes</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2,588</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2,449</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2,848</w:t>
            </w:r>
          </w:p>
        </w:tc>
      </w:tr>
      <w:tr>
        <w:trPr>
          <w:trHeight w:val="149"/>
        </w:trPr>
        <w:tc>
          <w:tcPr>
            <w:tcW w:w="5540" w:type="dxa"/>
            <w:vAlign w:val="bottom"/>
          </w:tcPr>
          <w:p>
            <w:pPr>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De-recognition of construction assets and liabilities, net</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(6,600)</w:t>
            </w:r>
          </w:p>
        </w:tc>
      </w:tr>
      <w:tr>
        <w:trPr>
          <w:trHeight w:val="186"/>
        </w:trPr>
        <w:tc>
          <w:tcPr>
            <w:tcW w:w="5540" w:type="dxa"/>
            <w:vAlign w:val="bottom"/>
          </w:tcPr>
          <w:p>
            <w:pPr>
              <w:ind w:left="280"/>
              <w:spacing w:after="0"/>
              <w:rPr>
                <w:sz w:val="20"/>
                <w:szCs w:val="20"/>
                <w:color w:val="auto"/>
              </w:rPr>
            </w:pPr>
            <w:r>
              <w:rPr>
                <w:rFonts w:ascii="Arial" w:cs="Arial" w:eastAsia="Arial" w:hAnsi="Arial"/>
                <w:sz w:val="14"/>
                <w:szCs w:val="14"/>
                <w:color w:val="auto"/>
              </w:rPr>
              <w:t>Change in capital expenditures in accounts payable and accrued liabilities</w:t>
            </w:r>
          </w:p>
        </w:tc>
        <w:tc>
          <w:tcPr>
            <w:tcW w:w="900" w:type="dxa"/>
            <w:vAlign w:val="bottom"/>
            <w:gridSpan w:val="2"/>
          </w:tcPr>
          <w:p>
            <w:pPr>
              <w:ind w:left="60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309</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128</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7,412</w:t>
            </w: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ACADEMY HOLDING COMPANY, LLC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60" w:right="8940" w:hanging="444"/>
        <w:spacing w:after="0" w:line="425" w:lineRule="auto"/>
        <w:tabs>
          <w:tab w:leader="none" w:pos="552"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Nature of Operations </w:t>
      </w:r>
      <w:r>
        <w:rPr>
          <w:rFonts w:ascii="Arial" w:cs="Arial" w:eastAsia="Arial" w:hAnsi="Arial"/>
          <w:sz w:val="16"/>
          <w:szCs w:val="16"/>
          <w:b w:val="1"/>
          <w:bCs w:val="1"/>
          <w:i w:val="1"/>
          <w:iCs w:val="1"/>
          <w:color w:val="auto"/>
        </w:rPr>
        <w:t>The Company</w:t>
      </w:r>
    </w:p>
    <w:p>
      <w:pPr>
        <w:ind w:left="560" w:firstLine="423"/>
        <w:spacing w:after="0" w:line="257" w:lineRule="auto"/>
        <w:rPr>
          <w:sz w:val="20"/>
          <w:szCs w:val="20"/>
          <w:color w:val="auto"/>
        </w:rPr>
      </w:pPr>
      <w:r>
        <w:rPr>
          <w:rFonts w:ascii="Arial" w:cs="Arial" w:eastAsia="Arial" w:hAnsi="Arial"/>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On August 3, 2011, an investment entity owned by investment funds and other entities affiliated with Kohlberg Kravis Roberts &amp; Co. L.P., or collectively, KKR, acquired a majority interest in the Company.</w:t>
      </w:r>
    </w:p>
    <w:p>
      <w:pPr>
        <w:spacing w:after="0" w:line="188" w:lineRule="exact"/>
        <w:rPr>
          <w:sz w:val="20"/>
          <w:szCs w:val="20"/>
          <w:color w:val="auto"/>
        </w:rPr>
      </w:pPr>
    </w:p>
    <w:p>
      <w:pPr>
        <w:ind w:left="560" w:right="60" w:firstLine="423"/>
        <w:spacing w:after="0" w:line="279" w:lineRule="auto"/>
        <w:rPr>
          <w:sz w:val="20"/>
          <w:szCs w:val="20"/>
          <w:color w:val="auto"/>
        </w:rPr>
      </w:pPr>
      <w:r>
        <w:rPr>
          <w:rFonts w:ascii="Arial" w:cs="Arial" w:eastAsia="Arial" w:hAnsi="Arial"/>
          <w:sz w:val="17"/>
          <w:szCs w:val="17"/>
          <w:color w:val="auto"/>
        </w:rPr>
        <w:t xml:space="preserve">The Company is one of the leading full-line sporting goods and outdoor recreational products retailers in the United States in terms of net sales. As of February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jc w:val="both"/>
        <w:ind w:left="560" w:right="80" w:firstLine="423"/>
        <w:spacing w:after="0" w:line="263" w:lineRule="auto"/>
        <w:rPr>
          <w:sz w:val="20"/>
          <w:szCs w:val="20"/>
          <w:color w:val="auto"/>
        </w:rPr>
      </w:pPr>
      <w:r>
        <w:rPr>
          <w:rFonts w:ascii="Arial" w:cs="Arial" w:eastAsia="Arial" w:hAnsi="Arial"/>
          <w:sz w:val="18"/>
          <w:szCs w:val="18"/>
          <w:color w:val="auto"/>
        </w:rPr>
        <w:t>The Company’s fiscal year represents the 52 or 53 weeks ending on the Saturday closest to January 31 each year. References herein to 2019 and 2018 relate to the 52-week fiscal years ended February 1, 2020 and February 2, 2019, respectively, and references herein to 2017 relate to the 53-week fiscal year ended February 3, 2018.</w:t>
      </w:r>
    </w:p>
    <w:p>
      <w:pPr>
        <w:spacing w:after="0" w:line="328" w:lineRule="exact"/>
        <w:rPr>
          <w:sz w:val="20"/>
          <w:szCs w:val="20"/>
          <w:color w:val="auto"/>
        </w:rPr>
      </w:pPr>
    </w:p>
    <w:p>
      <w:pPr>
        <w:ind w:left="540" w:hanging="424"/>
        <w:spacing w:after="0"/>
        <w:tabs>
          <w:tab w:leader="none" w:pos="5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560" w:right="60" w:firstLine="423"/>
        <w:spacing w:after="0" w:line="27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or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560" w:right="120" w:firstLine="423"/>
        <w:spacing w:after="0" w:line="257" w:lineRule="auto"/>
        <w:rPr>
          <w:sz w:val="20"/>
          <w:szCs w:val="20"/>
          <w:color w:val="auto"/>
        </w:rPr>
      </w:pPr>
      <w:r>
        <w:rPr>
          <w:rFonts w:ascii="Arial" w:cs="Arial" w:eastAsia="Arial" w:hAnsi="Arial"/>
          <w:sz w:val="18"/>
          <w:szCs w:val="18"/>
          <w:color w:val="auto"/>
        </w:rPr>
        <w:t>The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ind w:left="560" w:right="300" w:firstLine="423"/>
        <w:spacing w:after="0" w:line="277" w:lineRule="auto"/>
        <w:rPr>
          <w:sz w:val="20"/>
          <w:szCs w:val="20"/>
          <w:color w:val="auto"/>
        </w:rPr>
      </w:pPr>
      <w:r>
        <w:rPr>
          <w:rFonts w:ascii="Arial" w:cs="Arial" w:eastAsia="Arial" w:hAnsi="Arial"/>
          <w:sz w:val="18"/>
          <w:szCs w:val="18"/>
          <w:color w:val="auto"/>
        </w:rPr>
        <w:t>In connection with the proposed initial public offering, or the IPO, of Academy Sports and Outdoors, Inc., a Delaware corporation, or an IPO issuer, we will undertake a series of reorganization transactions,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color w:val="auto"/>
        </w:rPr>
        <w:t>the Reorganization Transactions, that will result in, among other things, Holdco being contributed by its unitholders to the IPO issuer and becoming a wholly owned subsidiary of the IPO issuer.</w:t>
      </w:r>
    </w:p>
    <w:p>
      <w:pPr>
        <w:spacing w:after="0" w:line="170" w:lineRule="exact"/>
        <w:rPr>
          <w:sz w:val="20"/>
          <w:szCs w:val="20"/>
          <w:color w:val="auto"/>
        </w:rPr>
      </w:pPr>
    </w:p>
    <w:p>
      <w:pPr>
        <w:ind w:left="560" w:right="140" w:firstLine="423"/>
        <w:spacing w:after="0" w:line="291" w:lineRule="auto"/>
        <w:rPr>
          <w:sz w:val="20"/>
          <w:szCs w:val="20"/>
          <w:color w:val="auto"/>
        </w:rPr>
      </w:pPr>
      <w:r>
        <w:rPr>
          <w:rFonts w:ascii="Arial" w:cs="Arial" w:eastAsia="Arial" w:hAnsi="Arial"/>
          <w:sz w:val="16"/>
          <w:szCs w:val="16"/>
          <w:color w:val="auto"/>
        </w:rPr>
        <w:t>The unaudited pro forma financial information provided on the consolidated statements of income provides the estimated impact to net income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66" w:lineRule="exact"/>
        <w:rPr>
          <w:sz w:val="20"/>
          <w:szCs w:val="20"/>
          <w:color w:val="auto"/>
        </w:rPr>
      </w:pPr>
    </w:p>
    <w:p>
      <w:pPr>
        <w:ind w:left="560" w:right="120" w:firstLine="423"/>
        <w:spacing w:after="0" w:line="277" w:lineRule="auto"/>
        <w:rPr>
          <w:sz w:val="20"/>
          <w:szCs w:val="20"/>
          <w:color w:val="auto"/>
        </w:rPr>
      </w:pPr>
      <w:r>
        <w:rPr>
          <w:rFonts w:ascii="Arial" w:cs="Arial" w:eastAsia="Arial" w:hAnsi="Arial"/>
          <w:sz w:val="18"/>
          <w:szCs w:val="18"/>
          <w:color w:val="auto"/>
        </w:rPr>
        <w:t>On August 28, 2020, Holdco distributed a $257.0 million one-time special distribution (the “Distribution”) to existing unitholders of record as of August 25, 2020.</w:t>
      </w:r>
    </w:p>
    <w:p>
      <w:pPr>
        <w:spacing w:after="0" w:line="170" w:lineRule="exact"/>
        <w:rPr>
          <w:sz w:val="20"/>
          <w:szCs w:val="20"/>
          <w:color w:val="auto"/>
        </w:rPr>
      </w:pPr>
    </w:p>
    <w:p>
      <w:pPr>
        <w:ind w:left="560" w:right="140" w:firstLine="423"/>
        <w:spacing w:after="0" w:line="259" w:lineRule="auto"/>
        <w:rPr>
          <w:sz w:val="20"/>
          <w:szCs w:val="20"/>
          <w:color w:val="auto"/>
        </w:rPr>
      </w:pPr>
      <w:r>
        <w:rPr>
          <w:rFonts w:ascii="Arial" w:cs="Arial" w:eastAsia="Arial" w:hAnsi="Arial"/>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7"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Unaudited basic and diluted pro forma net income per share data presented below assumed that (i) 72,477,381, basic, and 74,796,545, diluted, shares of common stock of the IPO issuer were issued and outstanding for 2019 in connection with the contribution of Holdco by its unitholders and related Reorganization Transactions and related cancellation of all outstanding partners’ equity at Holdco in connection with the IPO and (ii) an additional 10,535,154 shares of common stock of the IPO issuer were outstanding for 2019, which represents the number of shares of common stock that the Company would have been required to issue to fund the amount of the Distribution in excess of its net income for 2019. The number of shares of common stock that the Company would have been required to issue to pay the Distribution was calculated by dividing the portion of the total $257.0 million Distribution in excess of the Company’s net income for 2019 by an initial public offering price in the IPO of $13.00 per share.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table below sets forth the computation of the Company’s unaudited basic and diluted pro forma net income per share for 2019:</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PRO FORMA NET INCOME PER SHARE:</w:t>
            </w:r>
          </w:p>
        </w:tc>
        <w:tc>
          <w:tcPr>
            <w:tcW w:w="100" w:type="dxa"/>
            <w:vAlign w:val="bottom"/>
          </w:tcPr>
          <w:p>
            <w:pPr>
              <w:spacing w:after="0"/>
              <w:rPr>
                <w:sz w:val="14"/>
                <w:szCs w:val="1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Basic</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78"/>
        </w:trPr>
        <w:tc>
          <w:tcPr>
            <w:tcW w:w="83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(In thousands, except for share and per share data)</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Pro forma net income</w:t>
            </w:r>
          </w:p>
        </w:tc>
        <w:tc>
          <w:tcPr>
            <w:tcW w:w="5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89,942</w:t>
            </w: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89,942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 after giving effect to the Reorganization</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72,477,381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74,796,545</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to weighted average shares of common stock outstanding related to the Distribution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10,535,154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10,535,154</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Pro forma weighted average shares of common stock outstanding</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83,012,535</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85,331,699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right="880" w:firstLine="423"/>
        <w:spacing w:after="0" w:line="277" w:lineRule="auto"/>
        <w:rPr>
          <w:sz w:val="20"/>
          <w:szCs w:val="20"/>
          <w:color w:val="auto"/>
        </w:rPr>
      </w:pPr>
      <w:r>
        <w:rPr>
          <w:rFonts w:ascii="Arial" w:cs="Arial" w:eastAsia="Arial" w:hAnsi="Arial"/>
          <w:sz w:val="18"/>
          <w:szCs w:val="18"/>
          <w:color w:val="auto"/>
        </w:rPr>
        <w:t>Certain reclassifications have been made in the 2018 and 2017 consolidated financial statements to conform to the current period presentation. Within the merchandise division sales table presented in Note 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140"/>
        <w:spacing w:after="0" w:line="311" w:lineRule="auto"/>
        <w:rPr>
          <w:sz w:val="20"/>
          <w:szCs w:val="20"/>
          <w:color w:val="auto"/>
        </w:rPr>
      </w:pPr>
      <w:r>
        <w:rPr>
          <w:rFonts w:ascii="Arial" w:cs="Arial" w:eastAsia="Arial" w:hAnsi="Arial"/>
          <w:sz w:val="16"/>
          <w:szCs w:val="16"/>
          <w:color w:val="auto"/>
        </w:rPr>
        <w:t>certain products and categories were recategorized amongst categories and divisions during 2019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17" w:lineRule="exact"/>
        <w:rPr>
          <w:sz w:val="20"/>
          <w:szCs w:val="20"/>
          <w:color w:val="auto"/>
        </w:rPr>
      </w:pPr>
    </w:p>
    <w:p>
      <w:pPr>
        <w:ind w:left="560" w:right="20" w:firstLine="423"/>
        <w:spacing w:after="0" w:line="288" w:lineRule="auto"/>
        <w:rPr>
          <w:sz w:val="20"/>
          <w:szCs w:val="20"/>
          <w:color w:val="auto"/>
        </w:rPr>
      </w:pPr>
      <w:r>
        <w:rPr>
          <w:rFonts w:ascii="Arial" w:cs="Arial" w:eastAsia="Arial" w:hAnsi="Arial"/>
          <w:sz w:val="16"/>
          <w:szCs w:val="16"/>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11).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68"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right="60" w:firstLine="423"/>
        <w:spacing w:after="0" w:line="308" w:lineRule="auto"/>
        <w:rPr>
          <w:sz w:val="20"/>
          <w:szCs w:val="20"/>
          <w:color w:val="auto"/>
        </w:rPr>
      </w:pPr>
      <w:r>
        <w:rPr>
          <w:rFonts w:ascii="Arial" w:cs="Arial" w:eastAsia="Arial" w:hAnsi="Arial"/>
          <w:sz w:val="17"/>
          <w:szCs w:val="17"/>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 financial instruments for trading or speculative purposes (see Note 4 and Note 5). The fair value of debt is influenced by fluctuations in market conditions for interest rates (see Note 6).</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9" w:right="5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left="560" w:right="140" w:firstLine="423"/>
        <w:spacing w:after="0" w:line="275" w:lineRule="auto"/>
        <w:rPr>
          <w:sz w:val="20"/>
          <w:szCs w:val="20"/>
          <w:color w:val="auto"/>
        </w:rPr>
      </w:pPr>
      <w:r>
        <w:rPr>
          <w:rFonts w:ascii="Arial" w:cs="Arial" w:eastAsia="Arial" w:hAnsi="Arial"/>
          <w:sz w:val="17"/>
          <w:szCs w:val="17"/>
          <w:color w:val="auto"/>
        </w:rPr>
        <w:t>Financial instruments which subject us to potential credit risk consist of cash and cash equivalents and derivative financial instruments.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176"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We purchase merchandise inventories from approximately 1,300 vendors. In 2019, 2018 and 2017, purchases from our largest vendor represented approximately 14%, 13% and 14% of our total inventory purchases, respectively. No other vendor in any of the aforementioned years exceeded 10% of our purchases. We typically do not enter into long-term inventory purchase commitments and there were none as of February 1, 2020 or February 2, 2019.</w:t>
      </w:r>
    </w:p>
    <w:p>
      <w:pPr>
        <w:spacing w:after="0" w:line="187" w:lineRule="exact"/>
        <w:rPr>
          <w:sz w:val="20"/>
          <w:szCs w:val="20"/>
          <w:color w:val="auto"/>
        </w:rPr>
      </w:pPr>
    </w:p>
    <w:p>
      <w:pPr>
        <w:ind w:left="560" w:right="220" w:firstLine="423"/>
        <w:spacing w:after="0" w:line="259" w:lineRule="auto"/>
        <w:rPr>
          <w:sz w:val="20"/>
          <w:szCs w:val="20"/>
          <w:color w:val="auto"/>
        </w:rPr>
      </w:pPr>
      <w:r>
        <w:rPr>
          <w:rFonts w:ascii="Arial" w:cs="Arial" w:eastAsia="Arial" w:hAnsi="Arial"/>
          <w:sz w:val="18"/>
          <w:szCs w:val="18"/>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117"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60" w:right="260" w:firstLine="423"/>
        <w:spacing w:after="0" w:line="311" w:lineRule="auto"/>
        <w:rPr>
          <w:sz w:val="20"/>
          <w:szCs w:val="20"/>
          <w:color w:val="auto"/>
        </w:rPr>
      </w:pPr>
      <w:r>
        <w:rPr>
          <w:rFonts w:ascii="Arial" w:cs="Arial" w:eastAsia="Arial" w:hAnsi="Arial"/>
          <w:sz w:val="16"/>
          <w:szCs w:val="16"/>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1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Lesser of asset useful life or lease term</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Software and computer equipment</w:t>
            </w:r>
          </w:p>
        </w:tc>
        <w:tc>
          <w:tcPr>
            <w:tcW w:w="6140" w:type="dxa"/>
            <w:vAlign w:val="bottom"/>
          </w:tcPr>
          <w:p>
            <w:pPr>
              <w:ind w:left="1480"/>
              <w:spacing w:after="0"/>
              <w:rPr>
                <w:sz w:val="20"/>
                <w:szCs w:val="20"/>
                <w:color w:val="auto"/>
              </w:rPr>
            </w:pPr>
            <w:r>
              <w:rPr>
                <w:rFonts w:ascii="Arial" w:cs="Arial" w:eastAsia="Arial" w:hAnsi="Arial"/>
                <w:sz w:val="18"/>
                <w:szCs w:val="18"/>
                <w:color w:val="auto"/>
              </w:rPr>
              <w:t>2–5 years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equipment</w:t>
            </w:r>
          </w:p>
        </w:tc>
        <w:tc>
          <w:tcPr>
            <w:tcW w:w="61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5–10 years</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140" w:type="dxa"/>
            <w:vAlign w:val="bottom"/>
          </w:tcPr>
          <w:p>
            <w:pPr>
              <w:ind w:left="1480"/>
              <w:spacing w:after="0"/>
              <w:rPr>
                <w:sz w:val="20"/>
                <w:szCs w:val="20"/>
                <w:color w:val="auto"/>
              </w:rPr>
            </w:pPr>
            <w:r>
              <w:rPr>
                <w:rFonts w:ascii="Arial" w:cs="Arial" w:eastAsia="Arial" w:hAnsi="Arial"/>
                <w:sz w:val="18"/>
                <w:szCs w:val="18"/>
                <w:color w:val="auto"/>
              </w:rPr>
              <w:t>7–10 years</w:t>
            </w:r>
          </w:p>
        </w:tc>
      </w:tr>
    </w:tbl>
    <w:p>
      <w:pPr>
        <w:spacing w:after="0" w:line="187" w:lineRule="exact"/>
        <w:rPr>
          <w:sz w:val="20"/>
          <w:szCs w:val="20"/>
          <w:color w:val="auto"/>
        </w:rPr>
      </w:pPr>
    </w:p>
    <w:p>
      <w:pPr>
        <w:ind w:left="560" w:right="40" w:firstLine="423"/>
        <w:spacing w:after="0" w:line="263" w:lineRule="auto"/>
        <w:rPr>
          <w:sz w:val="20"/>
          <w:szCs w:val="20"/>
          <w:color w:val="auto"/>
        </w:rPr>
      </w:pPr>
      <w:r>
        <w:rPr>
          <w:rFonts w:ascii="Arial" w:cs="Arial" w:eastAsia="Arial" w:hAnsi="Arial"/>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of an asset are capitalized and amortized.</w:t>
      </w:r>
    </w:p>
    <w:p>
      <w:pPr>
        <w:spacing w:after="0" w:line="184"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In the normal course of business, we acquire land and construct new stores to be sold to and leased from third party landlords. New stores completed but not yet sold to and leased from third parties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classified as assets held for sale and are expected to be sold within one year. Our intent is to sell the stores for approximately the total land and construction costs incurred (which approximate the fair market value of the property, net of selling costs) and simultaneously enter into operating leases.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Capitalized Computer Software Costs</w:t>
      </w:r>
    </w:p>
    <w:p>
      <w:pPr>
        <w:spacing w:after="0" w:line="117"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$12.9 million, $13.8 million and $21.0 million in 2019, 2018 and 2017, respectively.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17" w:lineRule="exact"/>
        <w:rPr>
          <w:sz w:val="20"/>
          <w:szCs w:val="20"/>
          <w:color w:val="auto"/>
        </w:rPr>
      </w:pPr>
    </w:p>
    <w:p>
      <w:pPr>
        <w:jc w:val="both"/>
        <w:ind w:left="560" w:right="60" w:firstLine="423"/>
        <w:spacing w:after="0" w:line="263" w:lineRule="auto"/>
        <w:rPr>
          <w:sz w:val="20"/>
          <w:szCs w:val="20"/>
          <w:color w:val="auto"/>
        </w:rPr>
      </w:pPr>
      <w:r>
        <w:rPr>
          <w:rFonts w:ascii="Arial" w:cs="Arial" w:eastAsia="Arial" w:hAnsi="Arial"/>
          <w:sz w:val="18"/>
          <w:szCs w:val="18"/>
          <w:color w:val="auto"/>
        </w:rPr>
        <w:t>We capitalized interest primarily related to construction of new stores, store renovations, distribution centers and IT projects in the amount of $0.6 million, $1.3 million and $1.4 million in 2019, 2018 and 2017, respectively. Interest expense, net on the consolidated statement of income is shown net of capitalized interest.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560" w:right="80" w:firstLine="423"/>
        <w:spacing w:after="0" w:line="271" w:lineRule="auto"/>
        <w:rPr>
          <w:sz w:val="20"/>
          <w:szCs w:val="20"/>
          <w:color w:val="auto"/>
        </w:rPr>
      </w:pPr>
      <w:r>
        <w:rPr>
          <w:rFonts w:ascii="Arial" w:cs="Arial" w:eastAsia="Arial" w:hAnsi="Arial"/>
          <w:sz w:val="17"/>
          <w:szCs w:val="17"/>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selling, general and administrative expenses on the consolidated statements of income (see Note 6).</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7"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8" w:lineRule="exact"/>
        <w:rPr>
          <w:sz w:val="20"/>
          <w:szCs w:val="20"/>
          <w:color w:val="auto"/>
        </w:rPr>
      </w:pPr>
    </w:p>
    <w:p>
      <w:pPr>
        <w:ind w:left="560" w:right="160" w:firstLine="423"/>
        <w:spacing w:after="0" w:line="263" w:lineRule="auto"/>
        <w:rPr>
          <w:sz w:val="20"/>
          <w:szCs w:val="20"/>
          <w:color w:val="auto"/>
        </w:rPr>
      </w:pPr>
      <w:r>
        <w:rPr>
          <w:rFonts w:ascii="Arial" w:cs="Arial" w:eastAsia="Arial" w:hAnsi="Arial"/>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70" w:lineRule="exact"/>
        <w:rPr>
          <w:sz w:val="20"/>
          <w:szCs w:val="20"/>
          <w:color w:val="auto"/>
        </w:rPr>
      </w:pPr>
    </w:p>
    <w:p>
      <w:pPr>
        <w:ind w:left="560" w:right="220" w:firstLine="423"/>
        <w:spacing w:after="0" w:line="257" w:lineRule="auto"/>
        <w:rPr>
          <w:sz w:val="20"/>
          <w:szCs w:val="20"/>
          <w:color w:val="auto"/>
        </w:rPr>
      </w:pPr>
      <w:r>
        <w:rPr>
          <w:rFonts w:ascii="Arial" w:cs="Arial" w:eastAsia="Arial" w:hAnsi="Arial"/>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8" w:lineRule="exact"/>
        <w:rPr>
          <w:sz w:val="20"/>
          <w:szCs w:val="20"/>
          <w:color w:val="auto"/>
        </w:rPr>
      </w:pPr>
    </w:p>
    <w:p>
      <w:pPr>
        <w:ind w:left="560" w:right="680" w:firstLine="423"/>
        <w:spacing w:after="0" w:line="277" w:lineRule="auto"/>
        <w:rPr>
          <w:sz w:val="20"/>
          <w:szCs w:val="20"/>
          <w:color w:val="auto"/>
        </w:rPr>
      </w:pPr>
      <w:r>
        <w:rPr>
          <w:rFonts w:ascii="Arial" w:cs="Arial" w:eastAsia="Arial" w:hAnsi="Arial"/>
          <w:sz w:val="18"/>
          <w:szCs w:val="18"/>
          <w:color w:val="auto"/>
        </w:rPr>
        <w:t>In 2019, 2018 and 2017, we performed a quantitative assessment for the determination of impairment. Based on the results of these quantitative assessments, no impairment of goodwill existed for 2019, 2018 or 2017.</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Intangible assets consist of the trade name of “Academy Sports + Outdoors”, or the Trade Name, and our favorable leases. The favorable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leases are accounted for as finite-lived assets and are amortized over their estimated useful economic lives. With the adoption of ASU 2016-02,</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Leases (Topic 842)</w:t>
      </w:r>
      <w:r>
        <w:rPr>
          <w:rFonts w:ascii="Arial" w:cs="Arial" w:eastAsia="Arial" w:hAnsi="Arial"/>
          <w:sz w:val="16"/>
          <w:szCs w:val="16"/>
          <w:color w:val="auto"/>
        </w:rPr>
        <w:t>” and a series of related Accounting Standards Updates that followed, or collectively, the New Lease Standard, on February 3,</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2019, the balance of the favorable lease rights, net was netted into the right-of-use assets on the balance sheet (see Note 14). The Trade Name is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expected to generate cash flows indefinitely and, therefore, is accounted for as an indefinite-lived asset not subject to amortization.</w:t>
      </w:r>
    </w:p>
    <w:p>
      <w:pPr>
        <w:spacing w:after="0" w:line="211"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Loan Costs</w:t>
      </w:r>
    </w:p>
    <w:p>
      <w:pPr>
        <w:spacing w:after="0" w:line="117" w:lineRule="exact"/>
        <w:rPr>
          <w:sz w:val="20"/>
          <w:szCs w:val="20"/>
          <w:color w:val="auto"/>
        </w:rPr>
      </w:pPr>
    </w:p>
    <w:p>
      <w:pPr>
        <w:ind w:left="560" w:right="260" w:firstLine="423"/>
        <w:spacing w:after="0" w:line="275" w:lineRule="auto"/>
        <w:rPr>
          <w:sz w:val="20"/>
          <w:szCs w:val="20"/>
          <w:color w:val="auto"/>
        </w:rPr>
      </w:pPr>
      <w:r>
        <w:rPr>
          <w:rFonts w:ascii="Arial" w:cs="Arial" w:eastAsia="Arial" w:hAnsi="Arial"/>
          <w:sz w:val="17"/>
          <w:szCs w:val="17"/>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560" w:right="100" w:firstLine="423"/>
        <w:spacing w:after="0" w:line="311" w:lineRule="auto"/>
        <w:rPr>
          <w:sz w:val="20"/>
          <w:szCs w:val="20"/>
          <w:color w:val="auto"/>
        </w:rPr>
      </w:pPr>
      <w:r>
        <w:rPr>
          <w:rFonts w:ascii="Arial" w:cs="Arial" w:eastAsia="Arial" w:hAnsi="Arial"/>
          <w:sz w:val="16"/>
          <w:szCs w:val="16"/>
          <w:color w:val="auto"/>
        </w:rPr>
        <w:t>We are exposed to interest rate risk, primarily related to changes in interest rates on our term loan (see Note 4) and have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60"/>
        <w:spacing w:after="0" w:line="277" w:lineRule="auto"/>
        <w:rPr>
          <w:sz w:val="20"/>
          <w:szCs w:val="20"/>
          <w:color w:val="auto"/>
        </w:rPr>
      </w:pPr>
      <w:r>
        <w:rPr>
          <w:rFonts w:ascii="Arial" w:cs="Arial" w:eastAsia="Arial" w:hAnsi="Arial"/>
          <w:sz w:val="18"/>
          <w:szCs w:val="18"/>
          <w:color w:val="auto"/>
        </w:rPr>
        <w:t>effective in offsetting the changes in the fair value or cash flow of the hedged items. If it is determined that a derivative is not highly effective as a hedge or ceases to be highly effective, we discontinue hedge accounting prospectively.</w:t>
      </w:r>
    </w:p>
    <w:p>
      <w:pPr>
        <w:spacing w:after="0" w:line="170" w:lineRule="exact"/>
        <w:rPr>
          <w:sz w:val="20"/>
          <w:szCs w:val="20"/>
          <w:color w:val="auto"/>
        </w:rPr>
      </w:pPr>
    </w:p>
    <w:p>
      <w:pPr>
        <w:jc w:val="both"/>
        <w:ind w:left="560" w:right="60" w:firstLine="423"/>
        <w:spacing w:after="0" w:line="286" w:lineRule="auto"/>
        <w:rPr>
          <w:sz w:val="20"/>
          <w:szCs w:val="20"/>
          <w:color w:val="auto"/>
        </w:rPr>
      </w:pPr>
      <w:r>
        <w:rPr>
          <w:rFonts w:ascii="Arial" w:cs="Arial" w:eastAsia="Arial" w:hAnsi="Arial"/>
          <w:sz w:val="17"/>
          <w:szCs w:val="17"/>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or AOCI, net of tax effects, and are subsequently reclassified to earnings when the hedged transaction affects earnings.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Self-Insurance</w:t>
      </w:r>
    </w:p>
    <w:p>
      <w:pPr>
        <w:spacing w:after="0" w:line="117" w:lineRule="exact"/>
        <w:rPr>
          <w:sz w:val="20"/>
          <w:szCs w:val="20"/>
          <w:color w:val="auto"/>
        </w:rPr>
      </w:pPr>
    </w:p>
    <w:p>
      <w:pPr>
        <w:ind w:left="560" w:firstLine="423"/>
        <w:spacing w:after="0" w:line="269" w:lineRule="auto"/>
        <w:rPr>
          <w:sz w:val="20"/>
          <w:szCs w:val="20"/>
          <w:color w:val="auto"/>
        </w:rPr>
      </w:pPr>
      <w:r>
        <w:rPr>
          <w:rFonts w:ascii="Arial" w:cs="Arial" w:eastAsia="Arial" w:hAnsi="Arial"/>
          <w:sz w:val="17"/>
          <w:szCs w:val="17"/>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 Incentives</w:t>
      </w:r>
    </w:p>
    <w:p>
      <w:pPr>
        <w:spacing w:after="0" w:line="117" w:lineRule="exact"/>
        <w:rPr>
          <w:sz w:val="20"/>
          <w:szCs w:val="20"/>
          <w:color w:val="auto"/>
        </w:rPr>
      </w:pPr>
    </w:p>
    <w:p>
      <w:pPr>
        <w:ind w:left="560" w:right="100" w:firstLine="423"/>
        <w:spacing w:after="0" w:line="263" w:lineRule="auto"/>
        <w:rPr>
          <w:sz w:val="20"/>
          <w:szCs w:val="20"/>
          <w:color w:val="auto"/>
        </w:rPr>
      </w:pPr>
      <w:r>
        <w:rPr>
          <w:rFonts w:ascii="Arial" w:cs="Arial" w:eastAsia="Arial" w:hAnsi="Arial"/>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or collectively, Lease Incentives.</w:t>
      </w:r>
    </w:p>
    <w:p>
      <w:pPr>
        <w:spacing w:after="0" w:line="184" w:lineRule="exact"/>
        <w:rPr>
          <w:sz w:val="20"/>
          <w:szCs w:val="20"/>
          <w:color w:val="auto"/>
        </w:rPr>
      </w:pPr>
    </w:p>
    <w:p>
      <w:pPr>
        <w:ind w:left="560" w:right="60" w:firstLine="423"/>
        <w:spacing w:after="0" w:line="254" w:lineRule="auto"/>
        <w:rPr>
          <w:sz w:val="20"/>
          <w:szCs w:val="20"/>
          <w:color w:val="auto"/>
        </w:rPr>
      </w:pPr>
      <w:r>
        <w:rPr>
          <w:rFonts w:ascii="Arial" w:cs="Arial" w:eastAsia="Arial" w:hAnsi="Arial"/>
          <w:sz w:val="18"/>
          <w:szCs w:val="18"/>
          <w:color w:val="auto"/>
        </w:rPr>
        <w:t>Prior to the New Lease Standard, if we were the deemed owner of the property during the construction period and the sale-leaseback criteria were met, any differences between fair value of the property and the sales price of the property, are deferred and recognized ratably as an adjustment to selling, general and administrative expenses in the consolidated statements of income over the term of the related lease. Under the New Lease Standard, the losses and gains from sale-leaseback transactions are no longer deferred, but instead recognized immediately. Upon transition to the new standard on February 3, 2019, the remaining deferred gains and losses related to our previous sale-leaseback transactions resulted in a cumulative effect adjustment to retained earnings (see Note 14). To date, the Company has not executed a sale-leaseback transaction under the New Lease Standard.</w:t>
      </w:r>
    </w:p>
    <w:p>
      <w:pPr>
        <w:spacing w:after="0" w:line="195" w:lineRule="exact"/>
        <w:rPr>
          <w:sz w:val="20"/>
          <w:szCs w:val="20"/>
          <w:color w:val="auto"/>
        </w:rPr>
      </w:pPr>
    </w:p>
    <w:p>
      <w:pPr>
        <w:ind w:left="560" w:right="20" w:firstLine="423"/>
        <w:spacing w:after="0" w:line="257" w:lineRule="auto"/>
        <w:rPr>
          <w:sz w:val="20"/>
          <w:szCs w:val="20"/>
          <w:color w:val="auto"/>
        </w:rPr>
      </w:pPr>
      <w:r>
        <w:rPr>
          <w:rFonts w:ascii="Arial" w:cs="Arial" w:eastAsia="Arial" w:hAnsi="Arial"/>
          <w:sz w:val="18"/>
          <w:szCs w:val="18"/>
          <w:color w:val="auto"/>
        </w:rPr>
        <w:t>Prior to the New Lease Standard, cash received from a landlord for tenant improvement allowances in store lease transactions not considered a sale-leaseback transaction were recorded in other long-term liabilities in the consolidated balance sheets and amortized as a reduction of rent expense in selling, general and administrative expenses in the consolidated statements of income over the term of the related lease. Under the New Lease Standard these receipts are a reduction to the right-of-use assets on the balance sheet (see Note 14), which are amortized ratably over the remaining terms of the corresponding leases.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560" w:right="280" w:firstLine="423"/>
        <w:spacing w:after="0" w:line="277" w:lineRule="auto"/>
        <w:rPr>
          <w:sz w:val="20"/>
          <w:szCs w:val="20"/>
          <w:color w:val="auto"/>
        </w:rPr>
      </w:pPr>
      <w:r>
        <w:rPr>
          <w:rFonts w:ascii="Arial" w:cs="Arial" w:eastAsia="Arial" w:hAnsi="Arial"/>
          <w:sz w:val="18"/>
          <w:szCs w:val="18"/>
          <w:color w:val="auto"/>
        </w:rPr>
        <w:t>We sell merchandise under implicit contracts whereby the transaction price is the listed sales price less any discounts or coupons applied. Our typical coupons offer a discount, which is applied immediately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time of purchase. However, under certain circumstances we may issue a coupon, or similar incentive, which contains a material future right. In such instances, a portion of the revenue is deferred and subsequently recognized when earned.</w:t>
      </w:r>
    </w:p>
    <w:p>
      <w:pPr>
        <w:spacing w:after="0" w:line="170"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ind w:left="560" w:right="280" w:firstLine="423"/>
        <w:spacing w:after="0" w:line="277" w:lineRule="auto"/>
        <w:rPr>
          <w:sz w:val="20"/>
          <w:szCs w:val="20"/>
          <w:color w:val="auto"/>
        </w:rPr>
      </w:pPr>
      <w:r>
        <w:rPr>
          <w:rFonts w:ascii="Arial" w:cs="Arial" w:eastAsia="Arial" w:hAnsi="Arial"/>
          <w:sz w:val="18"/>
          <w:szCs w:val="18"/>
          <w:color w:val="auto"/>
        </w:rPr>
        <w:t>Cost of goods sold includes the direct cost of merchandise and costs related to procurement, warehousing and distribution and the related depreciation and amortization. These costs consist primarily of payroll and benefits, occupancy costs and freight.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117" w:lineRule="exact"/>
        <w:rPr>
          <w:sz w:val="20"/>
          <w:szCs w:val="20"/>
          <w:color w:val="auto"/>
        </w:rPr>
      </w:pPr>
    </w:p>
    <w:p>
      <w:pPr>
        <w:ind w:left="560" w:right="20" w:firstLine="423"/>
        <w:spacing w:after="0" w:line="291" w:lineRule="auto"/>
        <w:rPr>
          <w:sz w:val="20"/>
          <w:szCs w:val="20"/>
          <w:color w:val="auto"/>
        </w:rPr>
      </w:pPr>
      <w:r>
        <w:rPr>
          <w:rFonts w:ascii="Arial" w:cs="Arial" w:eastAsia="Arial" w:hAnsi="Arial"/>
          <w:sz w:val="16"/>
          <w:szCs w:val="16"/>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560" w:right="180" w:firstLine="423"/>
        <w:spacing w:after="0" w:line="263" w:lineRule="auto"/>
        <w:rPr>
          <w:sz w:val="20"/>
          <w:szCs w:val="20"/>
          <w:color w:val="auto"/>
        </w:rPr>
      </w:pPr>
      <w:r>
        <w:rPr>
          <w:rFonts w:ascii="Arial" w:cs="Arial" w:eastAsia="Arial" w:hAnsi="Arial"/>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depreciation and amortization and other store and administrative expenses.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Advertising costs are expensed as incurred. Advertising expenses, net of specific vendor allowances, were $142.3 million, $139.1 million and $140.8 million in 2019, 2018 and 2017,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117" w:lineRule="exact"/>
        <w:rPr>
          <w:sz w:val="20"/>
          <w:szCs w:val="20"/>
          <w:color w:val="auto"/>
        </w:rPr>
      </w:pPr>
    </w:p>
    <w:p>
      <w:pPr>
        <w:ind w:left="560" w:right="320" w:firstLine="423"/>
        <w:spacing w:after="0" w:line="263" w:lineRule="auto"/>
        <w:rPr>
          <w:sz w:val="20"/>
          <w:szCs w:val="20"/>
          <w:color w:val="auto"/>
        </w:rPr>
      </w:pPr>
      <w:r>
        <w:rPr>
          <w:rFonts w:ascii="Arial" w:cs="Arial" w:eastAsia="Arial" w:hAnsi="Arial"/>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$3.2 million, $3.4 million and $10.8 million in 2019, 2018 and 2017,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Rent</w:t>
      </w:r>
    </w:p>
    <w:p>
      <w:pPr>
        <w:spacing w:after="0" w:line="117" w:lineRule="exact"/>
        <w:rPr>
          <w:sz w:val="20"/>
          <w:szCs w:val="20"/>
          <w:color w:val="auto"/>
        </w:rPr>
      </w:pPr>
    </w:p>
    <w:p>
      <w:pPr>
        <w:ind w:left="560" w:right="140" w:firstLine="423"/>
        <w:spacing w:after="0" w:line="279" w:lineRule="auto"/>
        <w:rPr>
          <w:sz w:val="20"/>
          <w:szCs w:val="20"/>
          <w:color w:val="auto"/>
        </w:rPr>
      </w:pPr>
      <w:r>
        <w:rPr>
          <w:rFonts w:ascii="Arial" w:cs="Arial" w:eastAsia="Arial" w:hAnsi="Arial"/>
          <w:sz w:val="17"/>
          <w:szCs w:val="17"/>
          <w:color w:val="auto"/>
        </w:rPr>
        <w:t>Substantially all of our leases contain landlord incentives and escalation clauses. Where a lease contains an escalation clause calling for increased rent, or a landlord incentive such as a rent holiday, rent expense is recognized using the straight-line method over the term of the lease. With the adoption of the New Lease Standard on February 3, 2019, the deferred rent balances were netted into the right-of-use assets on the balance sheet (see Note 14), which are amortized ratably over the remaining terms of the corresponding leases.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 xml:space="preserve">We account for equity compensation in accordance with Financial Accounting Standards Board, or FASB,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The Company is a flow through entity for federal income tax purposes, and thus no federal income tax expense has been recorded in the consolidated statements of income. Members of the Company are responsible for federal and state income taxes on their respective share of the Company’s profit and losses. When necessary the Company’s operating agreement requires it to make distributions, or loans under certain circumstances, to fund the tax obligations of its members. There were no distributions made 2019, 2018 and 2017. In 2019 and 2018, the Company loaned $4.0 million and $4.1 million, respectively, with notes receivable issued to a member (see Note 13). The Company is responsible for certain state and foreign income taxes and recognized expense of $2.8 million, $2.0 million and $2.8 million in 2019, 2018 and 2017, respectively. As of February 1, 2020 and February 2, 2019, the Company had no uncertain tax positions that required recognition in the consolidated financial statements.</w:t>
      </w:r>
    </w:p>
    <w:p>
      <w:pPr>
        <w:spacing w:after="0" w:line="192" w:lineRule="exact"/>
        <w:rPr>
          <w:sz w:val="20"/>
          <w:szCs w:val="20"/>
          <w:color w:val="auto"/>
        </w:rPr>
      </w:pPr>
    </w:p>
    <w:p>
      <w:pPr>
        <w:ind w:left="560" w:firstLine="423"/>
        <w:spacing w:after="0" w:line="290" w:lineRule="auto"/>
        <w:rPr>
          <w:sz w:val="20"/>
          <w:szCs w:val="20"/>
          <w:color w:val="auto"/>
        </w:rPr>
      </w:pPr>
      <w:r>
        <w:rPr>
          <w:rFonts w:ascii="Arial" w:cs="Arial" w:eastAsia="Arial" w:hAnsi="Arial"/>
          <w:sz w:val="16"/>
          <w:szCs w:val="16"/>
          <w:color w:val="auto"/>
        </w:rPr>
        <w:t>We account for deferred income taxes related to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 forwards and tax credits.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 forwards are expected to be recovered or settled. Deferred tax assets and deferred tax liabilities are recorded in other noncurrent assets and other long-term liabilities, respectively, in our consolidated balance sheets. The effect of a change in tax rates is recognized in the period which includes the enactment date. We recognize interest and penalties as a component of income tax expense.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left="560" w:right="20" w:firstLine="423"/>
        <w:spacing w:after="0" w:line="263" w:lineRule="auto"/>
        <w:rPr>
          <w:sz w:val="20"/>
          <w:szCs w:val="20"/>
          <w:color w:val="auto"/>
        </w:rPr>
      </w:pPr>
      <w:r>
        <w:rPr>
          <w:rFonts w:ascii="Arial" w:cs="Arial" w:eastAsia="Arial" w:hAnsi="Arial"/>
          <w:sz w:val="18"/>
          <w:szCs w:val="18"/>
          <w:color w:val="auto"/>
        </w:rPr>
        <w:t>Comprehensive income represents the net income for the period plus the results of certain changes to partners’ equity (other comprehensive income) that are not reflected in the consolidated statements of income. Other comprehensive income consists of adjustments, net of tax, related to the Company’s interest rate swaps.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Segment</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Arial" w:cs="Arial" w:eastAsia="Arial" w:hAnsi="Arial"/>
          <w:sz w:val="18"/>
          <w:szCs w:val="18"/>
          <w:i w:val="1"/>
          <w:iCs w:val="1"/>
          <w:color w:val="auto"/>
        </w:rPr>
        <w:t>academy.com</w:t>
      </w:r>
      <w:r>
        <w:rPr>
          <w:rFonts w:ascii="Arial" w:cs="Arial" w:eastAsia="Arial" w:hAnsi="Arial"/>
          <w:sz w:val="18"/>
          <w:szCs w:val="18"/>
          <w:color w:val="auto"/>
        </w:rPr>
        <w:t xml:space="preserve"> website, we report our financial results as one reportable segment. Substantially all of the Company’s identifiable assets are located in the United States.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ind w:left="560" w:right="320" w:firstLine="423"/>
        <w:spacing w:after="0" w:line="277" w:lineRule="auto"/>
        <w:rPr>
          <w:sz w:val="20"/>
          <w:szCs w:val="20"/>
          <w:color w:val="auto"/>
        </w:rPr>
      </w:pPr>
      <w:r>
        <w:rPr>
          <w:rFonts w:ascii="Arial" w:cs="Arial" w:eastAsia="Arial" w:hAnsi="Arial"/>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70" w:lineRule="exact"/>
        <w:rPr>
          <w:sz w:val="20"/>
          <w:szCs w:val="20"/>
          <w:color w:val="auto"/>
        </w:rPr>
      </w:pPr>
    </w:p>
    <w:p>
      <w:pPr>
        <w:ind w:left="560" w:right="380" w:firstLine="423"/>
        <w:spacing w:after="0" w:line="287" w:lineRule="auto"/>
        <w:rPr>
          <w:sz w:val="20"/>
          <w:szCs w:val="20"/>
          <w:color w:val="auto"/>
        </w:rPr>
      </w:pPr>
      <w:r>
        <w:rPr>
          <w:rFonts w:ascii="Arial" w:cs="Arial" w:eastAsia="Arial" w:hAnsi="Arial"/>
          <w:sz w:val="16"/>
          <w:szCs w:val="16"/>
          <w:color w:val="auto"/>
        </w:rPr>
        <w:t xml:space="preserve">We elected the practical expedient available to us under ASU 2018-11, </w:t>
      </w:r>
      <w:r>
        <w:rPr>
          <w:rFonts w:ascii="Arial" w:cs="Arial" w:eastAsia="Arial" w:hAnsi="Arial"/>
          <w:sz w:val="16"/>
          <w:szCs w:val="16"/>
          <w:i w:val="1"/>
          <w:iCs w:val="1"/>
          <w:color w:val="auto"/>
        </w:rPr>
        <w:t>“Leases: Targeted Improvements”</w:t>
      </w:r>
      <w:r>
        <w:rPr>
          <w:rFonts w:ascii="Arial" w:cs="Arial" w:eastAsia="Arial" w:hAnsi="Arial"/>
          <w:sz w:val="16"/>
          <w:szCs w:val="16"/>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w:t>
      </w:r>
    </w:p>
    <w:p>
      <w:pPr>
        <w:spacing w:after="0" w:line="2" w:lineRule="exact"/>
        <w:rPr>
          <w:sz w:val="20"/>
          <w:szCs w:val="20"/>
          <w:color w:val="auto"/>
        </w:rPr>
      </w:pPr>
    </w:p>
    <w:p>
      <w:pPr>
        <w:ind w:left="560" w:right="40"/>
        <w:spacing w:after="0" w:line="302" w:lineRule="auto"/>
        <w:rPr>
          <w:sz w:val="20"/>
          <w:szCs w:val="20"/>
          <w:color w:val="auto"/>
        </w:rPr>
      </w:pPr>
      <w:r>
        <w:rPr>
          <w:rFonts w:ascii="Arial" w:cs="Arial" w:eastAsia="Arial" w:hAnsi="Arial"/>
          <w:sz w:val="16"/>
          <w:szCs w:val="16"/>
          <w:color w:val="auto"/>
        </w:rPr>
        <w:t>$1.2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Adoption of the New Lease Standard did not impact our debt-covenant compliance or liquidity under our current agreements.</w:t>
      </w:r>
    </w:p>
    <w:p>
      <w:pPr>
        <w:spacing w:after="0" w:line="300"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the approximate amount of sales by merchandise divisions for the periods presented (amounts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Arial" w:cs="Arial" w:eastAsia="Arial" w:hAnsi="Arial"/>
                <w:sz w:val="14"/>
                <w:szCs w:val="14"/>
                <w:b w:val="1"/>
                <w:bCs w:val="1"/>
                <w:color w:val="auto"/>
                <w:w w:val="92"/>
              </w:rPr>
              <w:t>Fiscal Year Ended</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2140" w:type="dxa"/>
            <w:vAlign w:val="bottom"/>
            <w:gridSpan w:val="4"/>
          </w:tcPr>
          <w:p>
            <w:pPr>
              <w:jc w:val="center"/>
              <w:ind w:left="262"/>
              <w:spacing w:after="0" w:line="142" w:lineRule="exact"/>
              <w:rPr>
                <w:sz w:val="20"/>
                <w:szCs w:val="20"/>
                <w:color w:val="auto"/>
              </w:rPr>
            </w:pPr>
            <w:r>
              <w:rPr>
                <w:rFonts w:ascii="Arial" w:cs="Arial" w:eastAsia="Arial" w:hAnsi="Arial"/>
                <w:sz w:val="14"/>
                <w:szCs w:val="14"/>
                <w:b w:val="1"/>
                <w:bCs w:val="1"/>
                <w:color w:val="auto"/>
                <w:w w:val="94"/>
              </w:rPr>
              <w:t>February 2, 2019</w:t>
            </w:r>
          </w:p>
        </w:tc>
        <w:tc>
          <w:tcPr>
            <w:tcW w:w="140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60" w:type="dxa"/>
            <w:vAlign w:val="bottom"/>
          </w:tcPr>
          <w:p>
            <w:pPr>
              <w:spacing w:after="0"/>
              <w:rPr>
                <w:sz w:val="12"/>
                <w:szCs w:val="12"/>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Outdoors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1,522,985</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1,583,183</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1,311,054</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4600" w:type="dxa"/>
            <w:vAlign w:val="bottom"/>
          </w:tcPr>
          <w:p>
            <w:pPr>
              <w:ind w:left="720"/>
              <w:spacing w:after="0"/>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4,820,588</w:t>
            </w:r>
          </w:p>
        </w:tc>
        <w:tc>
          <w:tcPr>
            <w:tcW w:w="6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sales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4,835,582</w:t>
            </w:r>
          </w:p>
        </w:tc>
        <w:tc>
          <w:tcPr>
            <w:tcW w:w="6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480" w:hanging="224"/>
        <w:spacing w:after="0" w:line="287" w:lineRule="auto"/>
        <w:tabs>
          <w:tab w:leader="none" w:pos="340" w:val="left"/>
        </w:tabs>
        <w:numPr>
          <w:ilvl w:val="0"/>
          <w:numId w:val="194"/>
        </w:numPr>
        <w:rPr>
          <w:rFonts w:ascii="Arial" w:cs="Arial" w:eastAsia="Arial" w:hAnsi="Arial"/>
          <w:sz w:val="13"/>
          <w:szCs w:val="13"/>
          <w:color w:val="auto"/>
        </w:rPr>
      </w:pPr>
      <w:r>
        <w:rPr>
          <w:rFonts w:ascii="Arial" w:cs="Arial" w:eastAsia="Arial" w:hAnsi="Arial"/>
          <w:sz w:val="16"/>
          <w:szCs w:val="16"/>
          <w:color w:val="auto"/>
        </w:rPr>
        <w:t>Certain products and categories were recategorized amongst categories and divisions during 2019 in order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 (see Note 2).</w:t>
      </w:r>
    </w:p>
    <w:p>
      <w:pPr>
        <w:spacing w:after="0" w:line="2" w:lineRule="exact"/>
        <w:rPr>
          <w:rFonts w:ascii="Arial" w:cs="Arial" w:eastAsia="Arial" w:hAnsi="Arial"/>
          <w:sz w:val="13"/>
          <w:szCs w:val="13"/>
          <w:color w:val="auto"/>
        </w:rPr>
      </w:pPr>
    </w:p>
    <w:p>
      <w:pPr>
        <w:ind w:left="340" w:hanging="224"/>
        <w:spacing w:after="0"/>
        <w:tabs>
          <w:tab w:leader="none" w:pos="340" w:val="left"/>
        </w:tabs>
        <w:numPr>
          <w:ilvl w:val="0"/>
          <w:numId w:val="194"/>
        </w:numPr>
        <w:rPr>
          <w:rFonts w:ascii="Arial" w:cs="Arial" w:eastAsia="Arial" w:hAnsi="Arial"/>
          <w:sz w:val="15"/>
          <w:szCs w:val="15"/>
          <w:color w:val="auto"/>
        </w:rPr>
      </w:pPr>
      <w:r>
        <w:rPr>
          <w:rFonts w:ascii="Arial" w:cs="Arial" w:eastAsia="Arial" w:hAnsi="Arial"/>
          <w:sz w:val="18"/>
          <w:szCs w:val="18"/>
          <w:color w:val="auto"/>
        </w:rPr>
        <w:t>E-commerce sales consist of 5.1%, 4.9% and 4.0% of merchandise sales for 2019, 2018 and 2017, respectively.</w:t>
      </w:r>
    </w:p>
    <w:p>
      <w:pPr>
        <w:spacing w:after="0" w:line="9" w:lineRule="exact"/>
        <w:rPr>
          <w:rFonts w:ascii="Arial" w:cs="Arial" w:eastAsia="Arial" w:hAnsi="Arial"/>
          <w:sz w:val="15"/>
          <w:szCs w:val="15"/>
          <w:color w:val="auto"/>
        </w:rPr>
      </w:pPr>
    </w:p>
    <w:p>
      <w:pPr>
        <w:ind w:left="340" w:right="500" w:hanging="224"/>
        <w:spacing w:after="0" w:line="260" w:lineRule="auto"/>
        <w:tabs>
          <w:tab w:leader="none" w:pos="340" w:val="left"/>
        </w:tabs>
        <w:numPr>
          <w:ilvl w:val="0"/>
          <w:numId w:val="194"/>
        </w:numPr>
        <w:rPr>
          <w:rFonts w:ascii="Arial" w:cs="Arial" w:eastAsia="Arial" w:hAnsi="Arial"/>
          <w:sz w:val="15"/>
          <w:szCs w:val="15"/>
          <w:color w:val="auto"/>
        </w:rPr>
      </w:pPr>
      <w:r>
        <w:rPr>
          <w:rFonts w:ascii="Arial" w:cs="Arial" w:eastAsia="Arial" w:hAnsi="Arial"/>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We sell gift cards in stores, online and in third-party retail locations. The gift cards we sell have no expiration dates. We establish a liability for gift cards, which is recorded in accrued expenses and other liabilities on our consolidated balance sheets, at the time of sale and recognize revenues as the gift cards are redeemed.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Fiscal Year Ended</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1940" w:type="dxa"/>
            <w:vAlign w:val="bottom"/>
            <w:gridSpan w:val="4"/>
          </w:tcPr>
          <w:p>
            <w:pPr>
              <w:ind w:left="420"/>
              <w:spacing w:after="0" w:line="142" w:lineRule="exact"/>
              <w:rPr>
                <w:sz w:val="20"/>
                <w:szCs w:val="20"/>
                <w:color w:val="auto"/>
              </w:rPr>
            </w:pPr>
            <w:r>
              <w:rPr>
                <w:rFonts w:ascii="Arial" w:cs="Arial" w:eastAsia="Arial" w:hAnsi="Arial"/>
                <w:sz w:val="14"/>
                <w:szCs w:val="14"/>
                <w:b w:val="1"/>
                <w:bCs w:val="1"/>
                <w:color w:val="auto"/>
              </w:rPr>
              <w:t>February 2, 2019</w:t>
            </w: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Gift card liability, beginning balance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66,153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Issued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134,839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153,429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Redeemed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(128,638)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(142,742)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Recognized as breakage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(4,258)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Gift card liability, ending balance</w:t>
            </w:r>
          </w:p>
        </w:tc>
        <w:tc>
          <w:tcPr>
            <w:tcW w:w="9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67,993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debt consisted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February 1, 2020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February 2, 2019</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Asset-Based Revolving Credit Facility</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Senior Secured Term Loan Facility, due July 2022 net of</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1,466,402</w:t>
            </w:r>
          </w:p>
        </w:tc>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discount of $2.6 million and $4.0 million, respectively</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1,630,890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1,466,402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1,630,890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(34,116)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(3,744)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1,428,542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196"/>
        </w:numPr>
        <w:rPr>
          <w:rFonts w:ascii="Arial" w:cs="Arial" w:eastAsia="Arial" w:hAnsi="Arial"/>
          <w:sz w:val="15"/>
          <w:szCs w:val="15"/>
          <w:color w:val="auto"/>
        </w:rPr>
      </w:pPr>
      <w:r>
        <w:rPr>
          <w:rFonts w:ascii="Arial" w:cs="Arial" w:eastAsia="Arial" w:hAnsi="Arial"/>
          <w:sz w:val="18"/>
          <w:szCs w:val="18"/>
          <w:color w:val="auto"/>
        </w:rPr>
        <w:t>These costs are related to the 2015 Term Loan Facility (as defined below).</w:t>
      </w:r>
    </w:p>
    <w:p>
      <w:pPr>
        <w:spacing w:after="0" w:line="225" w:lineRule="exact"/>
        <w:rPr>
          <w:sz w:val="20"/>
          <w:szCs w:val="20"/>
          <w:color w:val="auto"/>
        </w:rPr>
      </w:pPr>
    </w:p>
    <w:p>
      <w:pPr>
        <w:jc w:val="both"/>
        <w:ind w:left="560" w:right="280" w:firstLine="423"/>
        <w:spacing w:after="0" w:line="311" w:lineRule="auto"/>
        <w:rPr>
          <w:sz w:val="20"/>
          <w:szCs w:val="20"/>
          <w:color w:val="auto"/>
        </w:rPr>
      </w:pPr>
      <w:r>
        <w:rPr>
          <w:rFonts w:ascii="Arial" w:cs="Arial" w:eastAsia="Arial" w:hAnsi="Arial"/>
          <w:sz w:val="16"/>
          <w:szCs w:val="16"/>
          <w:color w:val="auto"/>
        </w:rPr>
        <w:t>As of February 1, 2020 and February 2, 2019, the balance in deferred loan costs related to the Amended ABL Facility (as defined below) was approximately $3.4 million and $4.5 million, respectively, and was included in other noncurrent assets on our consolidated balance sheets. Total amortization of deferred loan costs was $2.6 million, $3.0 million and $3.2 million in 2019, 2018 and 2017, respectively.</w:t>
      </w:r>
    </w:p>
    <w:p>
      <w:pPr>
        <w:spacing w:after="0" w:line="149"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color w:val="auto"/>
        </w:rPr>
        <w:t>On July 2, 2015, Academy, Ltd. entered into a seven-year $1.8 billion senior secured term loan facility, or the 2015 Term Loan Facility, with Morgan Stanley Senior Funding, Inc., as the administrative and collateral agent, and other lenders, and a five-year $650 million secured asset-based revolving credit facility, or the 2015 ABL Facility, with JPMorgan Chase Bank, N.A., as administrative agent, and other lenders. Academy, Ltd. received proceeds from the 2015 Term Loan Facility of $1.8 billion, which was net of discount of $9.1 million. On May 22, 2018, the Company amended the agreement governing the 2015 ABL Facility, or as amended, the Amended ABL Facility, to increase the commitment on the facility from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In connection with the Amended ABL Facility, the Company capitalized related professional fees of $2.8 million as deferred loan costs and wrote off $0.1 million in previously capitalized deferred loan costs. Academy, Ltd. has the option to increase the commitments under the Amended ABL Facility by $250 million, subject to the satisfaction of certain conditions under the agreement.</w:t>
      </w:r>
    </w:p>
    <w:p>
      <w:pPr>
        <w:spacing w:after="0" w:line="192" w:lineRule="exact"/>
        <w:rPr>
          <w:sz w:val="20"/>
          <w:szCs w:val="20"/>
          <w:color w:val="auto"/>
        </w:rPr>
      </w:pPr>
    </w:p>
    <w:p>
      <w:pPr>
        <w:ind w:left="560" w:right="40" w:firstLine="423"/>
        <w:spacing w:after="0" w:line="272" w:lineRule="auto"/>
        <w:rPr>
          <w:sz w:val="20"/>
          <w:szCs w:val="20"/>
          <w:color w:val="auto"/>
        </w:rPr>
      </w:pPr>
      <w:r>
        <w:rPr>
          <w:rFonts w:ascii="Arial" w:cs="Arial" w:eastAsia="Arial" w:hAnsi="Arial"/>
          <w:sz w:val="17"/>
          <w:szCs w:val="17"/>
          <w:b w:val="1"/>
          <w:bCs w:val="1"/>
          <w:i w:val="1"/>
          <w:iCs w:val="1"/>
          <w:u w:val="single" w:color="auto"/>
          <w:color w:val="auto"/>
        </w:rPr>
        <w:t>2015 Term Loan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2015 Term Loan Facility bears interest, at our election, at either (1) LIBOR rate with a floor of 1.00%, plus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February 1, 2020, the weighted average interest rate was 5.77%, with interest payable monthly. The terms and conditions of the 2015 Term Loan Facility also require that we prepay outstanding loans under the 2015 Term Loan Facility under certain circumstances. As of February 1, 2020, a $15.9 million prepayment was due under the terms and conditions of the 2015 Term Loan Facility.</w:t>
      </w:r>
    </w:p>
    <w:p>
      <w:pPr>
        <w:spacing w:after="0" w:line="177"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In 2019 and 2017, we repurchased principal on our 2015 Term Loan Facility, which was trading at a discount. The following table provides further detail regarding these repurchases (amounts in millions):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Fiscal Year Ended</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1, 2020</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40" w:type="dxa"/>
            <w:vAlign w:val="bottom"/>
          </w:tcPr>
          <w:p>
            <w:pPr>
              <w:spacing w:after="0"/>
              <w:rPr>
                <w:sz w:val="12"/>
                <w:szCs w:val="12"/>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principal repurchased</w:t>
            </w:r>
          </w:p>
        </w:tc>
        <w:tc>
          <w:tcPr>
            <w:tcW w:w="15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10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Reacquisition price of debt</w:t>
            </w:r>
          </w:p>
        </w:tc>
        <w:tc>
          <w:tcPr>
            <w:tcW w:w="1940" w:type="dxa"/>
            <w:vAlign w:val="bottom"/>
            <w:gridSpan w:val="2"/>
          </w:tcPr>
          <w:p>
            <w:pPr>
              <w:ind w:left="15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104.6</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gain recognized</w:t>
            </w:r>
          </w:p>
        </w:tc>
        <w:tc>
          <w:tcPr>
            <w:tcW w:w="194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42.3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bl>
    <w:p>
      <w:pPr>
        <w:spacing w:after="0" w:line="202" w:lineRule="exact"/>
        <w:rPr>
          <w:sz w:val="20"/>
          <w:szCs w:val="20"/>
          <w:color w:val="auto"/>
        </w:rPr>
      </w:pPr>
    </w:p>
    <w:p>
      <w:pPr>
        <w:ind w:left="560" w:right="80" w:firstLine="423"/>
        <w:spacing w:after="0" w:line="273" w:lineRule="auto"/>
        <w:rPr>
          <w:sz w:val="20"/>
          <w:szCs w:val="20"/>
          <w:color w:val="auto"/>
        </w:rPr>
      </w:pPr>
      <w:r>
        <w:rPr>
          <w:rFonts w:ascii="Arial" w:cs="Arial" w:eastAsia="Arial" w:hAnsi="Arial"/>
          <w:sz w:val="17"/>
          <w:szCs w:val="17"/>
          <w:b w:val="1"/>
          <w:bCs w:val="1"/>
          <w:i w:val="1"/>
          <w:iCs w:val="1"/>
          <w:u w:val="single" w:color="auto"/>
          <w:color w:val="auto"/>
        </w:rPr>
        <w:t>Amended ABL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Amended ABL Facility is used to provide financing for working capital and other general corporate purposes,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1, 2020, we had outstanding letters of credit of approximately $17.7 million, of which $15.9 million were issued under the Amended ABL Facility, and we had no borrowings outstanding under the Amended ABL Facility, leaving the available borrowing capacity under the Amended ABL Facility of $827.4 million (see Note 19).</w:t>
      </w:r>
    </w:p>
    <w:p>
      <w:pPr>
        <w:spacing w:after="0" w:line="178"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Borrowings under the Amended ABL Facility bear interest, at our election, at either of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February 1, 2020, no future prepayments of outstanding loans have been triggered under the terms and conditions of the Amended ABL Facility.</w:t>
      </w:r>
    </w:p>
    <w:p>
      <w:pPr>
        <w:spacing w:after="0" w:line="192" w:lineRule="exact"/>
        <w:rPr>
          <w:sz w:val="20"/>
          <w:szCs w:val="20"/>
          <w:color w:val="auto"/>
        </w:rPr>
      </w:pPr>
    </w:p>
    <w:p>
      <w:pPr>
        <w:ind w:left="560" w:right="400" w:firstLine="423"/>
        <w:spacing w:after="0" w:line="277" w:lineRule="auto"/>
        <w:rPr>
          <w:sz w:val="20"/>
          <w:szCs w:val="20"/>
          <w:color w:val="auto"/>
        </w:rPr>
      </w:pPr>
      <w:r>
        <w:rPr>
          <w:rFonts w:ascii="Arial" w:cs="Arial" w:eastAsia="Arial" w:hAnsi="Arial"/>
          <w:sz w:val="18"/>
          <w:szCs w:val="18"/>
          <w:b w:val="1"/>
          <w:bCs w:val="1"/>
          <w:i w:val="1"/>
          <w:iCs w:val="1"/>
          <w:u w:val="single" w:color="auto"/>
          <w:color w:val="auto"/>
        </w:rPr>
        <w:t>Liens and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Amended ABL Facility has a first priority lien on all Academy, Ltd.’s cash, accounts receivable, inventory,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and securities accounts and proceeds therefrom, or the ABL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0"/>
        <w:spacing w:after="0" w:line="277" w:lineRule="auto"/>
        <w:rPr>
          <w:sz w:val="20"/>
          <w:szCs w:val="20"/>
          <w:color w:val="auto"/>
        </w:rPr>
      </w:pPr>
      <w:r>
        <w:rPr>
          <w:rFonts w:ascii="Arial" w:cs="Arial" w:eastAsia="Arial" w:hAnsi="Arial"/>
          <w:sz w:val="18"/>
          <w:szCs w:val="18"/>
          <w:color w:val="auto"/>
        </w:rPr>
        <w:t>Collateral. Additionally, the Amended ABL Facility has a second priority lien on all other collateral of the 2015 Term Loan Facility. All obligations under the 2015 Term Loan Facility and the guarantees of those obligations are secured by:</w:t>
      </w:r>
    </w:p>
    <w:p>
      <w:pPr>
        <w:spacing w:after="0" w:line="76" w:lineRule="exact"/>
        <w:rPr>
          <w:sz w:val="20"/>
          <w:szCs w:val="20"/>
          <w:color w:val="auto"/>
        </w:rPr>
      </w:pPr>
    </w:p>
    <w:p>
      <w:pPr>
        <w:ind w:left="1540" w:hanging="331"/>
        <w:spacing w:after="0"/>
        <w:tabs>
          <w:tab w:leader="none" w:pos="1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second-priority security interest in the ABL Collateral;</w:t>
      </w:r>
    </w:p>
    <w:p>
      <w:pPr>
        <w:spacing w:after="0" w:line="130"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Ltd.; and</w:t>
      </w:r>
    </w:p>
    <w:p>
      <w:pPr>
        <w:spacing w:after="0" w:line="75" w:lineRule="exact"/>
        <w:rPr>
          <w:rFonts w:ascii="Arial" w:cs="Arial" w:eastAsia="Arial" w:hAnsi="Arial"/>
          <w:sz w:val="18"/>
          <w:szCs w:val="18"/>
          <w:color w:val="auto"/>
        </w:rPr>
      </w:pPr>
    </w:p>
    <w:p>
      <w:pPr>
        <w:ind w:left="1540" w:right="200" w:hanging="331"/>
        <w:spacing w:after="0" w:line="342" w:lineRule="auto"/>
        <w:tabs>
          <w:tab w:leader="none" w:pos="15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24"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The Amended ABL Facility and the 2015 Term Loan Facility are each guaranteed by Holdco and all of its subsidiaries except for Academy International Limited, a Hong Kong limited liability company and subsidiary of Academy, Ltd.</w:t>
      </w:r>
    </w:p>
    <w:p>
      <w:pPr>
        <w:spacing w:after="0" w:line="170" w:lineRule="exact"/>
        <w:rPr>
          <w:sz w:val="20"/>
          <w:szCs w:val="20"/>
          <w:color w:val="auto"/>
        </w:rPr>
      </w:pPr>
    </w:p>
    <w:p>
      <w:pPr>
        <w:ind w:left="560" w:right="220" w:firstLine="423"/>
        <w:spacing w:after="0" w:line="296" w:lineRule="auto"/>
        <w:rPr>
          <w:sz w:val="20"/>
          <w:szCs w:val="20"/>
          <w:color w:val="auto"/>
        </w:rPr>
      </w:pPr>
      <w:r>
        <w:rPr>
          <w:rFonts w:ascii="Arial" w:cs="Arial" w:eastAsia="Arial" w:hAnsi="Arial"/>
          <w:sz w:val="16"/>
          <w:szCs w:val="16"/>
          <w:b w:val="1"/>
          <w:bCs w:val="1"/>
          <w:i w:val="1"/>
          <w:iCs w:val="1"/>
          <w:u w:val="single" w:color="auto"/>
          <w:color w:val="auto"/>
        </w:rPr>
        <w:t>Covenants.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ABL Facility and the 2015 Term Loan Facility agreements contain covenants, including, among other things,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covenants 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minimum adjusted fixed charge coverage ratio. These covenants are subject to certain qualifications and limitations. We were in compliance with these covenants as of February 1, 2020.</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February 1, 2020, scheduled principal payments on our debt are as follows (amounts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1"/>
              </w:rPr>
              <w:t>Fiscal Year</w:t>
            </w: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2021</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18,250</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1,416,627</w:t>
            </w:r>
          </w:p>
        </w:tc>
        <w:tc>
          <w:tcPr>
            <w:tcW w:w="40" w:type="dxa"/>
            <w:vAlign w:val="bottom"/>
            <w:shd w:val="clear" w:color="auto" w:fill="CCEEFF"/>
          </w:tcPr>
          <w:p>
            <w:pPr>
              <w:spacing w:after="0"/>
              <w:rPr>
                <w:sz w:val="18"/>
                <w:szCs w:val="18"/>
                <w:color w:val="auto"/>
              </w:rPr>
            </w:pPr>
          </w:p>
        </w:tc>
      </w:tr>
      <w:tr>
        <w:trPr>
          <w:trHeight w:val="223"/>
        </w:trPr>
        <w:tc>
          <w:tcPr>
            <w:tcW w:w="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1,468,993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left="560" w:right="180" w:firstLine="423"/>
        <w:spacing w:after="0" w:line="277" w:lineRule="auto"/>
        <w:rPr>
          <w:sz w:val="20"/>
          <w:szCs w:val="20"/>
          <w:color w:val="auto"/>
        </w:rPr>
      </w:pPr>
      <w:r>
        <w:rPr>
          <w:rFonts w:ascii="Arial" w:cs="Arial" w:eastAsia="Arial" w:hAnsi="Arial"/>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80" w:type="dxa"/>
            <w:vAlign w:val="bottom"/>
            <w:gridSpan w:val="2"/>
          </w:tcPr>
          <w:p>
            <w:pPr>
              <w:ind w:left="780"/>
              <w:spacing w:after="0"/>
              <w:rPr>
                <w:sz w:val="20"/>
                <w:szCs w:val="20"/>
                <w:color w:val="auto"/>
              </w:rPr>
            </w:pPr>
            <w:r>
              <w:rPr>
                <w:rFonts w:ascii="Arial" w:cs="Arial" w:eastAsia="Arial" w:hAnsi="Arial"/>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195"/>
        </w:trPr>
        <w:tc>
          <w:tcPr>
            <w:tcW w:w="2620" w:type="dxa"/>
            <w:vAlign w:val="bottom"/>
            <w:tcBorders>
              <w:top w:val="single" w:sz="8" w:color="auto"/>
            </w:tcBorders>
          </w:tcPr>
          <w:p>
            <w:pPr>
              <w:ind w:left="960"/>
              <w:spacing w:after="0" w:line="195" w:lineRule="exact"/>
              <w:rPr>
                <w:sz w:val="20"/>
                <w:szCs w:val="20"/>
                <w:color w:val="auto"/>
              </w:rPr>
            </w:pPr>
            <w:r>
              <w:rPr>
                <w:rFonts w:ascii="Arial" w:cs="Arial" w:eastAsia="Arial" w:hAnsi="Arial"/>
                <w:sz w:val="18"/>
                <w:szCs w:val="18"/>
                <w:color w:val="auto"/>
              </w:rPr>
              <w:t xml:space="preserve">$320,000 </w:t>
            </w:r>
            <w:r>
              <w:rPr>
                <w:rFonts w:ascii="Arial" w:cs="Arial" w:eastAsia="Arial" w:hAnsi="Arial"/>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September 3, 2021</w:t>
            </w:r>
          </w:p>
        </w:tc>
      </w:tr>
      <w:tr>
        <w:trPr>
          <w:trHeight w:val="216"/>
        </w:trPr>
        <w:tc>
          <w:tcPr>
            <w:tcW w:w="2620" w:type="dxa"/>
            <w:vAlign w:val="bottom"/>
          </w:tcPr>
          <w:p>
            <w:pPr>
              <w:ind w:left="98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November 1, 2016</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November 1, 2021</w:t>
            </w:r>
          </w:p>
        </w:tc>
      </w:tr>
      <w:tr>
        <w:trPr>
          <w:trHeight w:val="230"/>
        </w:trPr>
        <w:tc>
          <w:tcPr>
            <w:tcW w:w="2620" w:type="dxa"/>
            <w:vAlign w:val="bottom"/>
          </w:tcPr>
          <w:p>
            <w:pPr>
              <w:ind w:left="98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 2018</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bl>
    <w:p>
      <w:pPr>
        <w:spacing w:after="0" w:line="229" w:lineRule="exact"/>
        <w:rPr>
          <w:sz w:val="20"/>
          <w:szCs w:val="20"/>
          <w:color w:val="auto"/>
        </w:rPr>
      </w:pPr>
    </w:p>
    <w:p>
      <w:pPr>
        <w:ind w:left="340" w:right="60" w:hanging="224"/>
        <w:spacing w:after="0" w:line="277" w:lineRule="auto"/>
        <w:tabs>
          <w:tab w:leader="none" w:pos="340" w:val="left"/>
        </w:tabs>
        <w:numPr>
          <w:ilvl w:val="0"/>
          <w:numId w:val="199"/>
        </w:numPr>
        <w:rPr>
          <w:rFonts w:ascii="Arial" w:cs="Arial" w:eastAsia="Arial" w:hAnsi="Arial"/>
          <w:sz w:val="15"/>
          <w:szCs w:val="15"/>
          <w:color w:val="auto"/>
        </w:rPr>
      </w:pPr>
      <w:r>
        <w:rPr>
          <w:rFonts w:ascii="Arial" w:cs="Arial" w:eastAsia="Arial" w:hAnsi="Arial"/>
          <w:sz w:val="18"/>
          <w:szCs w:val="18"/>
          <w:color w:val="auto"/>
        </w:rPr>
        <w:t>The initial $600,000 notional amount of the swap amortizes to $525,000, $430,000, $320,000 and $250,000 on September 3 of 2017, 2018, 2019 and 2020,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of the interest rate swaps is as follows (amounts in thousands) as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0" w:type="dxa"/>
            <w:vAlign w:val="bottom"/>
            <w:gridSpan w:val="4"/>
          </w:tcPr>
          <w:p>
            <w:pPr>
              <w:ind w:left="800"/>
              <w:spacing w:after="0"/>
              <w:rPr>
                <w:sz w:val="20"/>
                <w:szCs w:val="20"/>
                <w:color w:val="auto"/>
              </w:rPr>
            </w:pPr>
            <w:r>
              <w:rPr>
                <w:rFonts w:ascii="Arial" w:cs="Arial" w:eastAsia="Arial" w:hAnsi="Arial"/>
                <w:sz w:val="14"/>
                <w:szCs w:val="14"/>
                <w:b w:val="1"/>
                <w:bCs w:val="1"/>
                <w:color w:val="auto"/>
              </w:rPr>
              <w:t>February 1, 2020</w:t>
            </w:r>
          </w:p>
        </w:tc>
        <w:tc>
          <w:tcPr>
            <w:tcW w:w="1620" w:type="dxa"/>
            <w:vAlign w:val="bottom"/>
            <w:gridSpan w:val="4"/>
          </w:tcPr>
          <w:p>
            <w:pPr>
              <w:ind w:left="500"/>
              <w:spacing w:after="0"/>
              <w:rPr>
                <w:sz w:val="20"/>
                <w:szCs w:val="20"/>
                <w:color w:val="auto"/>
              </w:rPr>
            </w:pPr>
            <w:r>
              <w:rPr>
                <w:rFonts w:ascii="Arial" w:cs="Arial" w:eastAsia="Arial" w:hAnsi="Arial"/>
                <w:sz w:val="14"/>
                <w:szCs w:val="14"/>
                <w:b w:val="1"/>
                <w:bCs w:val="1"/>
                <w:color w:val="auto"/>
                <w:w w:val="99"/>
              </w:rPr>
              <w:t>February 2, 2019</w:t>
            </w:r>
          </w:p>
        </w:tc>
        <w:tc>
          <w:tcPr>
            <w:tcW w:w="0" w:type="dxa"/>
            <w:vAlign w:val="bottom"/>
          </w:tcPr>
          <w:p>
            <w:pPr>
              <w:spacing w:after="0"/>
              <w:rPr>
                <w:sz w:val="1"/>
                <w:szCs w:val="1"/>
                <w:color w:val="auto"/>
              </w:rPr>
            </w:pPr>
          </w:p>
        </w:tc>
      </w:tr>
      <w:tr>
        <w:trPr>
          <w:trHeight w:val="155"/>
        </w:trPr>
        <w:tc>
          <w:tcPr>
            <w:tcW w:w="52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Assets</w:t>
            </w:r>
          </w:p>
        </w:tc>
        <w:tc>
          <w:tcPr>
            <w:tcW w:w="8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Amounts included in other current assets</w:t>
            </w:r>
          </w:p>
        </w:tc>
        <w:tc>
          <w:tcPr>
            <w:tcW w:w="114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Amounts included in other noncurrent assets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Amounts included in accrued expenses and other current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6,130</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liabilities</w:t>
            </w: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Amounts included in other long-term liabilities</w:t>
            </w:r>
          </w:p>
        </w:tc>
        <w:tc>
          <w:tcPr>
            <w:tcW w:w="8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swap net assets (liabilities)</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(8,106)</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380" w:firstLine="423"/>
        <w:spacing w:after="0" w:line="286" w:lineRule="auto"/>
        <w:rPr>
          <w:sz w:val="20"/>
          <w:szCs w:val="20"/>
          <w:color w:val="auto"/>
        </w:rPr>
      </w:pPr>
      <w:r>
        <w:rPr>
          <w:rFonts w:ascii="Arial" w:cs="Arial" w:eastAsia="Arial" w:hAnsi="Arial"/>
          <w:sz w:val="17"/>
          <w:szCs w:val="17"/>
          <w:color w:val="auto"/>
        </w:rPr>
        <w:t>Amounts included in AOCI are reclassified to interest expense in the same period during which the hedged transaction affects earnings, which is as interest expense is recorded on the underlying 2015 Term Loan Facility. As of February 1, 2020, we estimate that approximately $6.7 million of the balance in AOCI will be reclassified as an increase in interest expense during the next 12 months.</w:t>
      </w:r>
    </w:p>
    <w:p>
      <w:pPr>
        <w:spacing w:after="0" w:line="165" w:lineRule="exact"/>
        <w:rPr>
          <w:sz w:val="20"/>
          <w:szCs w:val="20"/>
          <w:color w:val="auto"/>
        </w:rPr>
      </w:pPr>
    </w:p>
    <w:p>
      <w:pPr>
        <w:ind w:left="560" w:right="120" w:firstLine="423"/>
        <w:spacing w:after="0" w:line="277"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interest expense is as follows (amounts in thousands):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Fiscal Year Ended</w:t>
            </w: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198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rPr>
              <w:t>February 2, 2019</w:t>
            </w:r>
          </w:p>
        </w:tc>
        <w:tc>
          <w:tcPr>
            <w:tcW w:w="148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60" w:type="dxa"/>
            <w:vAlign w:val="bottom"/>
          </w:tcPr>
          <w:p>
            <w:pPr>
              <w:spacing w:after="0"/>
              <w:rPr>
                <w:sz w:val="12"/>
                <w:szCs w:val="12"/>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deferred into AOCI</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(16,096)</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Increase (decrease) to interest expense</w:t>
            </w:r>
          </w:p>
        </w:tc>
        <w:tc>
          <w:tcPr>
            <w:tcW w:w="10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(418)</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c>
          <w:tcPr>
            <w:tcW w:w="4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7,497</w:t>
            </w:r>
          </w:p>
        </w:tc>
        <w:tc>
          <w:tcPr>
            <w:tcW w:w="60" w:type="dxa"/>
            <w:vAlign w:val="bottom"/>
          </w:tcPr>
          <w:p>
            <w:pPr>
              <w:spacing w:after="0"/>
              <w:rPr>
                <w:sz w:val="20"/>
                <w:szCs w:val="20"/>
                <w:color w:val="auto"/>
              </w:rPr>
            </w:pPr>
          </w:p>
        </w:tc>
      </w:tr>
    </w:tbl>
    <w:p>
      <w:pPr>
        <w:spacing w:after="0" w:line="328" w:lineRule="exact"/>
        <w:rPr>
          <w:sz w:val="20"/>
          <w:szCs w:val="20"/>
          <w:color w:val="auto"/>
        </w:rPr>
      </w:pPr>
    </w:p>
    <w:p>
      <w:pPr>
        <w:ind w:left="540" w:hanging="424"/>
        <w:spacing w:after="0"/>
        <w:tabs>
          <w:tab w:leader="none" w:pos="5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560" w:right="220" w:firstLine="423"/>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measurements are classified as either:</w:t>
      </w:r>
    </w:p>
    <w:p>
      <w:pPr>
        <w:spacing w:after="0" w:line="131" w:lineRule="exact"/>
        <w:rPr>
          <w:sz w:val="20"/>
          <w:szCs w:val="20"/>
          <w:color w:val="auto"/>
        </w:rPr>
      </w:pPr>
    </w:p>
    <w:p>
      <w:pPr>
        <w:ind w:left="1540" w:right="60" w:hanging="331"/>
        <w:spacing w:after="0" w:line="277" w:lineRule="auto"/>
        <w:tabs>
          <w:tab w:leader="none" w:pos="1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75" w:lineRule="exact"/>
        <w:rPr>
          <w:rFonts w:ascii="Arial" w:cs="Arial" w:eastAsia="Arial" w:hAnsi="Arial"/>
          <w:sz w:val="18"/>
          <w:szCs w:val="18"/>
          <w:color w:val="auto"/>
        </w:rPr>
      </w:pPr>
    </w:p>
    <w:p>
      <w:pPr>
        <w:ind w:left="1540" w:right="180" w:hanging="331"/>
        <w:spacing w:after="0" w:line="263" w:lineRule="auto"/>
        <w:tabs>
          <w:tab w:leader="none" w:pos="1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9" w:lineRule="exact"/>
        <w:rPr>
          <w:rFonts w:ascii="Arial" w:cs="Arial" w:eastAsia="Arial" w:hAnsi="Arial"/>
          <w:sz w:val="18"/>
          <w:szCs w:val="18"/>
          <w:color w:val="auto"/>
        </w:rPr>
      </w:pPr>
    </w:p>
    <w:p>
      <w:pPr>
        <w:ind w:left="1540" w:right="280" w:hanging="331"/>
        <w:spacing w:after="0" w:line="277" w:lineRule="auto"/>
        <w:tabs>
          <w:tab w:leader="none" w:pos="1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2000" w:type="dxa"/>
            <w:vAlign w:val="bottom"/>
            <w:gridSpan w:val="3"/>
          </w:tcPr>
          <w:p>
            <w:pPr>
              <w:ind w:left="940"/>
              <w:spacing w:after="0"/>
              <w:rPr>
                <w:sz w:val="20"/>
                <w:szCs w:val="20"/>
                <w:color w:val="auto"/>
              </w:rPr>
            </w:pPr>
            <w:r>
              <w:rPr>
                <w:rFonts w:ascii="Arial" w:cs="Arial" w:eastAsia="Arial" w:hAnsi="Arial"/>
                <w:sz w:val="14"/>
                <w:szCs w:val="14"/>
                <w:b w:val="1"/>
                <w:bCs w:val="1"/>
                <w:color w:val="auto"/>
                <w:w w:val="94"/>
              </w:rPr>
              <w:t>February 1, 2020</w:t>
            </w:r>
          </w:p>
        </w:tc>
        <w:tc>
          <w:tcPr>
            <w:tcW w:w="2060" w:type="dxa"/>
            <w:vAlign w:val="bottom"/>
            <w:gridSpan w:val="4"/>
          </w:tcPr>
          <w:p>
            <w:pPr>
              <w:ind w:left="940"/>
              <w:spacing w:after="0"/>
              <w:rPr>
                <w:sz w:val="20"/>
                <w:szCs w:val="20"/>
                <w:color w:val="auto"/>
              </w:rPr>
            </w:pPr>
            <w:r>
              <w:rPr>
                <w:rFonts w:ascii="Arial" w:cs="Arial" w:eastAsia="Arial" w:hAnsi="Arial"/>
                <w:sz w:val="14"/>
                <w:szCs w:val="14"/>
                <w:b w:val="1"/>
                <w:bCs w:val="1"/>
                <w:color w:val="auto"/>
                <w:w w:val="99"/>
              </w:rPr>
              <w:t>February 2, 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Assets</w:t>
            </w:r>
          </w:p>
        </w:tc>
        <w:tc>
          <w:tcPr>
            <w:tcW w:w="114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Level 2</w:t>
            </w:r>
          </w:p>
        </w:tc>
        <w:tc>
          <w:tcPr>
            <w:tcW w:w="132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4"/>
              </w:rPr>
              <w:t>Liabilities</w:t>
            </w:r>
          </w:p>
        </w:tc>
        <w:tc>
          <w:tcPr>
            <w:tcW w:w="2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Level 2</w:t>
            </w:r>
          </w:p>
        </w:tc>
        <w:tc>
          <w:tcPr>
            <w:tcW w:w="132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8,106</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60" w:right="60" w:firstLine="423"/>
        <w:spacing w:after="0" w:line="291" w:lineRule="auto"/>
        <w:rPr>
          <w:sz w:val="20"/>
          <w:szCs w:val="20"/>
          <w:color w:val="auto"/>
        </w:rPr>
      </w:pPr>
      <w:r>
        <w:rPr>
          <w:rFonts w:ascii="Arial" w:cs="Arial" w:eastAsia="Arial" w:hAnsi="Arial"/>
          <w:sz w:val="16"/>
          <w:szCs w:val="16"/>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Non-Financial Assets Measured on a Non-Recurring Basis</w:t>
      </w:r>
    </w:p>
    <w:p>
      <w:pPr>
        <w:spacing w:after="0" w:line="117" w:lineRule="exact"/>
        <w:rPr>
          <w:sz w:val="20"/>
          <w:szCs w:val="20"/>
          <w:color w:val="auto"/>
        </w:rPr>
      </w:pPr>
    </w:p>
    <w:p>
      <w:pPr>
        <w:ind w:left="560" w:right="140" w:firstLine="423"/>
        <w:spacing w:after="0" w:line="293" w:lineRule="auto"/>
        <w:rPr>
          <w:sz w:val="20"/>
          <w:szCs w:val="20"/>
          <w:color w:val="auto"/>
        </w:rPr>
      </w:pPr>
      <w:r>
        <w:rPr>
          <w:rFonts w:ascii="Arial" w:cs="Arial" w:eastAsia="Arial" w:hAnsi="Arial"/>
          <w:sz w:val="16"/>
          <w:szCs w:val="16"/>
          <w:color w:val="auto"/>
        </w:rPr>
        <w:t>Certain non-financial assets are subject to periodic impairment tests and are not measured to fair value on a recurring basis. These assets include property and equipment, goodwill, our Trade Name and favorable leases (see Note 8). During 2018, we recorded full property and equipment impairment charges of $1.4 million on one project and one store that we continue to operate. During 2017, we recorded full property and equipment impairment charges of $2.5 million on two stores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left="560" w:right="120" w:firstLine="423"/>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We held investments in money market funds of $113.3 million and $42.6 million as of February 1, 2020 and February 2, 2019, respectively.</w:t>
      </w:r>
    </w:p>
    <w:p>
      <w:pPr>
        <w:spacing w:after="0" w:line="184"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February 1, 2020 and February 2, 2019, the estimated fair value of the 2015 Term Loan Facility was $1.2 billion and $1.1 billion, respectively. As borrowings on the Amended ABL Facility are generally repaid in less than 12 months, we believe that fair value approximates the carrying value.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Property and equipment consists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4"/>
                <w:szCs w:val="14"/>
                <w:b w:val="1"/>
                <w:bCs w:val="1"/>
                <w:color w:val="auto"/>
              </w:rPr>
              <w:t>February 1, 2020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February 2, 2019</w:t>
            </w: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436,807</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537,364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496,089</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316,420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304,784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Construction in progress and land</w:t>
            </w:r>
          </w:p>
        </w:tc>
        <w:tc>
          <w:tcPr>
            <w:tcW w:w="22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17,639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35,533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3,698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w:t>
            </w: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1,311,928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1,259,989</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(870,521)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(763,836)</w:t>
            </w: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441,407</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496,153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Depreciation expense, which is included in selling, general and administrative expenses in the consolidated statements of income, was $117.3 million, $130.4 million and $130.8 million in 2019, 2018 and 2017, respectively.</w:t>
      </w:r>
    </w:p>
    <w:p>
      <w:pPr>
        <w:spacing w:after="0" w:line="315" w:lineRule="exact"/>
        <w:rPr>
          <w:sz w:val="20"/>
          <w:szCs w:val="20"/>
          <w:color w:val="auto"/>
        </w:rPr>
      </w:pPr>
    </w:p>
    <w:p>
      <w:pPr>
        <w:ind w:left="540" w:hanging="424"/>
        <w:spacing w:after="0"/>
        <w:tabs>
          <w:tab w:leader="none" w:pos="5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Intangible assets consist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February 1, 2020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2019</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subject to amortization:</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Favorable lease rights, net</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15,067</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Assets not subject to amortization: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Trade name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577,000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577,000</w:t>
            </w:r>
          </w:p>
        </w:tc>
      </w:tr>
      <w:tr>
        <w:trPr>
          <w:trHeight w:val="27"/>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 and other intangible assets, net</w:t>
            </w: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577,000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592,067</w:t>
            </w:r>
          </w:p>
        </w:tc>
      </w:tr>
      <w:tr>
        <w:trPr>
          <w:trHeight w:val="20"/>
        </w:trPr>
        <w:tc>
          <w:tcPr>
            <w:tcW w:w="4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20" w:firstLine="423"/>
        <w:spacing w:after="0" w:line="342" w:lineRule="auto"/>
        <w:rPr>
          <w:sz w:val="20"/>
          <w:szCs w:val="20"/>
          <w:color w:val="auto"/>
        </w:rPr>
      </w:pPr>
      <w:r>
        <w:rPr>
          <w:rFonts w:ascii="Arial" w:cs="Arial" w:eastAsia="Arial" w:hAnsi="Arial"/>
          <w:sz w:val="16"/>
          <w:szCs w:val="16"/>
          <w:color w:val="auto"/>
        </w:rPr>
        <w:t>With the adoption of the New Lease Standard on February 3, 2019, the balance of the favorable lease rights, net was netted into the right-of-use assets on the balance sheet which are amortized ratably over the remaining terms of the corresponding leases (see Note 14).</w:t>
      </w:r>
    </w:p>
    <w:p>
      <w:pPr>
        <w:spacing w:after="0" w:line="124" w:lineRule="exact"/>
        <w:rPr>
          <w:sz w:val="20"/>
          <w:szCs w:val="20"/>
          <w:color w:val="auto"/>
        </w:rPr>
      </w:pPr>
    </w:p>
    <w:p>
      <w:pPr>
        <w:ind w:left="560" w:right="380" w:firstLine="423"/>
        <w:spacing w:after="0" w:line="277" w:lineRule="auto"/>
        <w:rPr>
          <w:sz w:val="20"/>
          <w:szCs w:val="20"/>
          <w:color w:val="auto"/>
        </w:rPr>
      </w:pPr>
      <w:r>
        <w:rPr>
          <w:rFonts w:ascii="Arial" w:cs="Arial" w:eastAsia="Arial" w:hAnsi="Arial"/>
          <w:sz w:val="18"/>
          <w:szCs w:val="18"/>
          <w:color w:val="auto"/>
        </w:rPr>
        <w:t>Amortization expense on favorable lease rights was $3.5 million in 2018 and 2017, respectively. Favorable lease rights are net of accumulated amortization of $25.0 million as of February 2, 2019.</w:t>
      </w:r>
    </w:p>
    <w:p>
      <w:pPr>
        <w:spacing w:after="0" w:line="315" w:lineRule="exact"/>
        <w:rPr>
          <w:sz w:val="20"/>
          <w:szCs w:val="20"/>
          <w:color w:val="auto"/>
        </w:rPr>
      </w:pPr>
    </w:p>
    <w:p>
      <w:pPr>
        <w:ind w:left="540" w:hanging="424"/>
        <w:spacing w:after="0"/>
        <w:tabs>
          <w:tab w:leader="none" w:pos="5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February 1, 2020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2019</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personnel costs</w:t>
            </w:r>
          </w:p>
        </w:tc>
        <w:tc>
          <w:tcPr>
            <w:tcW w:w="1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54,065</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interest</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7,835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3,574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use tax</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12,651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self-insurance</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14,107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14,632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16,919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Deferred revenue—gift cards and other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70,220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67,527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return allowance</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5,500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30,084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31,191</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Accrued expenses and other current liabilities</w:t>
            </w:r>
          </w:p>
        </w:tc>
        <w:tc>
          <w:tcPr>
            <w:tcW w:w="1940" w:type="dxa"/>
            <w:vAlign w:val="bottom"/>
            <w:gridSpan w:val="2"/>
            <w:shd w:val="clear" w:color="auto" w:fill="CCEEFF"/>
          </w:tcPr>
          <w:p>
            <w:pPr>
              <w:ind w:left="16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211,381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184,141</w:t>
            </w: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384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Arial" w:cs="Arial" w:eastAsia="Arial" w:hAnsi="Arial"/>
                <w:sz w:val="18"/>
                <w:szCs w:val="18"/>
                <w:color w:val="auto"/>
              </w:rPr>
              <w:t>F-23</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40"/>
          </w:cols>
          <w:pgMar w:left="320" w:top="459" w:right="9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Unit-Based Compensation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had 228,274,749 Membership Units authorized, issued and outstanding as of February 1, 2020.</w:t>
      </w:r>
    </w:p>
    <w:p>
      <w:pPr>
        <w:spacing w:after="0" w:line="225" w:lineRule="exact"/>
        <w:rPr>
          <w:sz w:val="20"/>
          <w:szCs w:val="20"/>
          <w:color w:val="auto"/>
        </w:rPr>
      </w:pPr>
    </w:p>
    <w:p>
      <w:pPr>
        <w:jc w:val="both"/>
        <w:ind w:left="560" w:right="280" w:firstLine="423"/>
        <w:spacing w:after="0" w:line="311" w:lineRule="auto"/>
        <w:rPr>
          <w:sz w:val="20"/>
          <w:szCs w:val="20"/>
          <w:color w:val="auto"/>
        </w:rPr>
      </w:pPr>
      <w:r>
        <w:rPr>
          <w:rFonts w:ascii="Arial" w:cs="Arial" w:eastAsia="Arial" w:hAnsi="Arial"/>
          <w:sz w:val="16"/>
          <w:szCs w:val="16"/>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49" w:lineRule="exact"/>
        <w:rPr>
          <w:sz w:val="20"/>
          <w:szCs w:val="20"/>
          <w:color w:val="auto"/>
        </w:rPr>
      </w:pPr>
    </w:p>
    <w:p>
      <w:pPr>
        <w:ind w:left="560" w:right="100" w:firstLine="423"/>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84" w:lineRule="exact"/>
        <w:rPr>
          <w:sz w:val="20"/>
          <w:szCs w:val="20"/>
          <w:color w:val="auto"/>
        </w:rPr>
      </w:pPr>
    </w:p>
    <w:p>
      <w:pPr>
        <w:ind w:left="560" w:right="40" w:firstLine="423"/>
        <w:spacing w:after="0" w:line="301" w:lineRule="auto"/>
        <w:rPr>
          <w:sz w:val="20"/>
          <w:szCs w:val="20"/>
          <w:color w:val="auto"/>
        </w:rPr>
      </w:pPr>
      <w:r>
        <w:rPr>
          <w:rFonts w:ascii="Arial" w:cs="Arial" w:eastAsia="Arial" w:hAnsi="Arial"/>
          <w:sz w:val="16"/>
          <w:szCs w:val="16"/>
          <w:color w:val="auto"/>
        </w:rPr>
        <w:t>Restricted Units granted under the 2011 Unit Incentive Plan consist of Restricted Units that vest upon the satisfaction of time-based requirements, or each, a Service Restricted Unit, and Restricted Units that vest upon the satisfaction of both time-based requirements and liquidity event-based requirements, or each, a Liquidity Event Restricted Unit. In each case, vesting of the Company’s outstanding and unvested Unit Options and Restricted Units is contingent upon the holder’s continued service through the date of each applicable vesting event.</w:t>
      </w:r>
    </w:p>
    <w:p>
      <w:pPr>
        <w:spacing w:after="0" w:line="157" w:lineRule="exact"/>
        <w:rPr>
          <w:sz w:val="20"/>
          <w:szCs w:val="20"/>
          <w:color w:val="auto"/>
        </w:rPr>
      </w:pPr>
    </w:p>
    <w:p>
      <w:pPr>
        <w:jc w:val="both"/>
        <w:ind w:left="560" w:firstLine="423"/>
        <w:spacing w:after="0" w:line="263" w:lineRule="auto"/>
        <w:rPr>
          <w:sz w:val="20"/>
          <w:szCs w:val="20"/>
          <w:color w:val="auto"/>
        </w:rPr>
      </w:pPr>
      <w:r>
        <w:rPr>
          <w:rFonts w:ascii="Arial" w:cs="Arial" w:eastAsia="Arial" w:hAnsi="Arial"/>
          <w:sz w:val="18"/>
          <w:szCs w:val="18"/>
          <w:color w:val="auto"/>
        </w:rPr>
        <w:t>As of February 1, 2020, the number of Holdco Membership Units authorized for the grant of Awards under the 2011 Unit Incentive Plan was 33,948,085 Membership Units. As of February 1, 2020, there were 2,051,547 Holdco Membership Units that were authorized and available for the grant of Awards under the 2011 Unit Incentive Plan.</w:t>
      </w:r>
    </w:p>
    <w:p>
      <w:pPr>
        <w:spacing w:after="0" w:line="184" w:lineRule="exact"/>
        <w:rPr>
          <w:sz w:val="20"/>
          <w:szCs w:val="20"/>
          <w:color w:val="auto"/>
        </w:rPr>
      </w:pPr>
    </w:p>
    <w:p>
      <w:pPr>
        <w:ind w:left="560" w:right="480" w:firstLine="423"/>
        <w:spacing w:after="0" w:line="277" w:lineRule="auto"/>
        <w:rPr>
          <w:sz w:val="20"/>
          <w:szCs w:val="20"/>
          <w:color w:val="auto"/>
        </w:rPr>
      </w:pPr>
      <w:r>
        <w:rPr>
          <w:rFonts w:ascii="Arial" w:cs="Arial" w:eastAsia="Arial" w:hAnsi="Arial"/>
          <w:sz w:val="18"/>
          <w:szCs w:val="18"/>
          <w:color w:val="auto"/>
        </w:rPr>
        <w:t>Equity compensation expense was $7.9 million, $4.6 million and $4.6 million in 2019, 2018 and 2017, respectively, and is included in selling, general and administrative expenses in our consolidated statements of income.</w:t>
      </w:r>
    </w:p>
    <w:p>
      <w:pPr>
        <w:spacing w:after="0" w:line="170" w:lineRule="exact"/>
        <w:rPr>
          <w:sz w:val="20"/>
          <w:szCs w:val="20"/>
          <w:color w:val="auto"/>
        </w:rPr>
      </w:pPr>
    </w:p>
    <w:p>
      <w:pPr>
        <w:ind w:left="560" w:right="520" w:firstLine="423"/>
        <w:spacing w:after="0" w:line="263" w:lineRule="auto"/>
        <w:rPr>
          <w:sz w:val="20"/>
          <w:szCs w:val="20"/>
          <w:color w:val="auto"/>
        </w:rPr>
      </w:pPr>
      <w:r>
        <w:rPr>
          <w:rFonts w:ascii="Arial" w:cs="Arial" w:eastAsia="Arial" w:hAnsi="Arial"/>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84" w:lineRule="exact"/>
        <w:rPr>
          <w:sz w:val="20"/>
          <w:szCs w:val="20"/>
          <w:color w:val="auto"/>
        </w:rPr>
      </w:pPr>
    </w:p>
    <w:p>
      <w:pPr>
        <w:ind w:left="560" w:right="360" w:firstLine="423"/>
        <w:spacing w:after="0" w:line="263" w:lineRule="auto"/>
        <w:rPr>
          <w:sz w:val="20"/>
          <w:szCs w:val="20"/>
          <w:color w:val="auto"/>
        </w:rPr>
      </w:pPr>
      <w:r>
        <w:rPr>
          <w:rFonts w:ascii="Arial" w:cs="Arial" w:eastAsia="Arial" w:hAnsi="Arial"/>
          <w:sz w:val="18"/>
          <w:szCs w:val="18"/>
          <w:color w:val="auto"/>
        </w:rPr>
        <w:t>As of February 1, 2020, unrecognized compensation cost related to Unit Options and Restricted Units of $16.7 million is expected to be recognized over a weighted average life of 2.7 years. The total fair value of Restricted Units vested was $0.3 million, $0.2 million and $0.2 million for 2019, 2018 and 2017,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 Option Fair Value Assumptions</w:t>
      </w:r>
    </w:p>
    <w:p>
      <w:pPr>
        <w:spacing w:after="0" w:line="117" w:lineRule="exact"/>
        <w:rPr>
          <w:sz w:val="20"/>
          <w:szCs w:val="20"/>
          <w:color w:val="auto"/>
        </w:rPr>
      </w:pPr>
    </w:p>
    <w:p>
      <w:pPr>
        <w:ind w:left="560" w:right="80" w:firstLine="423"/>
        <w:spacing w:after="0" w:line="293" w:lineRule="auto"/>
        <w:rPr>
          <w:sz w:val="20"/>
          <w:szCs w:val="20"/>
          <w:color w:val="auto"/>
        </w:rPr>
      </w:pPr>
      <w:r>
        <w:rPr>
          <w:rFonts w:ascii="Arial" w:cs="Arial" w:eastAsia="Arial" w:hAnsi="Arial"/>
          <w:sz w:val="16"/>
          <w:szCs w:val="16"/>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The following table presents the assumptions and grant date fair values for Service Options and Performance Options granted in 2019, 2018 and 2017:</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Fiscal Year Ended</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7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February 1, 2020</w:t>
            </w:r>
          </w:p>
        </w:tc>
        <w:tc>
          <w:tcPr>
            <w:tcW w:w="17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February 2, 2019</w:t>
            </w: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6.2</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6.2</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52%</w:t>
            </w:r>
          </w:p>
        </w:tc>
        <w:tc>
          <w:tcPr>
            <w:tcW w:w="36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50% to 55%</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52% to 57%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52.0%</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54.1%</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53.1%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1.4% to 2.5%</w:t>
            </w: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2.6% to 2.9%</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1.8% to 2.2%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8"/>
              </w:rPr>
              <w:t>Weighted-average grant date fair value—Service Options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$2.75</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$2.85</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$3.10</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grant date fair value—Performance</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$2.74</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3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$2.84</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 Option Activity</w:t>
      </w:r>
    </w:p>
    <w:p>
      <w:pPr>
        <w:spacing w:after="0" w:line="117" w:lineRule="exact"/>
        <w:rPr>
          <w:sz w:val="20"/>
          <w:szCs w:val="20"/>
          <w:color w:val="auto"/>
        </w:rPr>
      </w:pPr>
    </w:p>
    <w:p>
      <w:pPr>
        <w:jc w:val="both"/>
        <w:ind w:left="560" w:right="40" w:firstLine="423"/>
        <w:spacing w:after="0" w:line="263" w:lineRule="auto"/>
        <w:rPr>
          <w:sz w:val="20"/>
          <w:szCs w:val="20"/>
          <w:color w:val="auto"/>
        </w:rPr>
      </w:pPr>
      <w:r>
        <w:rPr>
          <w:rFonts w:ascii="Arial" w:cs="Arial" w:eastAsia="Arial" w:hAnsi="Arial"/>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84"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or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Holdco Membership Unit valuation target on a specified date, or the Company completing a change in control or an initial public offering.</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9" w:right="5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 Option activity is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Unit Options</w:t>
      </w:r>
      <w:r>
        <w:rPr>
          <w:rFonts w:ascii="Arial" w:cs="Arial" w:eastAsia="Arial" w:hAnsi="Arial"/>
          <w:sz w:val="15"/>
          <w:szCs w:val="15"/>
          <w:b w:val="1"/>
          <w:bCs w:val="1"/>
          <w:i w:val="1"/>
          <w:iCs w:val="1"/>
          <w:color w:val="auto"/>
        </w:rPr>
        <w:t>(1)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Unit</w:t>
            </w: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Life (in</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12,049,440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3.66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30,857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4,126,204</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5.92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(533,211)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5.83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(1,301,531)</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6.00</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14,340,902</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4.02</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18,415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9,654,571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5.29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(5,898,381)</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5.99</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(2,486,813)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15,610,279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3.82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33,157</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4,365,143</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(601,974)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4.60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(1,133,977)</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 xml:space="preserve">Outstanding as of February 1, 2020 </w:t>
            </w:r>
            <w:r>
              <w:rPr>
                <w:rFonts w:ascii="Arial" w:cs="Arial" w:eastAsia="Arial" w:hAnsi="Arial"/>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18,239,471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4.05</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28,855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3"/>
              </w:rPr>
              <w:t>11,225,459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3.29</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26,584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380" w:hanging="224"/>
        <w:spacing w:after="0" w:line="258" w:lineRule="auto"/>
        <w:tabs>
          <w:tab w:leader="none" w:pos="340" w:val="left"/>
        </w:tabs>
        <w:numPr>
          <w:ilvl w:val="0"/>
          <w:numId w:val="206"/>
        </w:numPr>
        <w:rPr>
          <w:rFonts w:ascii="Arial" w:cs="Arial" w:eastAsia="Arial" w:hAnsi="Arial"/>
          <w:sz w:val="15"/>
          <w:szCs w:val="15"/>
          <w:color w:val="auto"/>
        </w:rPr>
      </w:pPr>
      <w:r>
        <w:rPr>
          <w:rFonts w:ascii="Arial" w:cs="Arial" w:eastAsia="Arial" w:hAnsi="Arial"/>
          <w:sz w:val="18"/>
          <w:szCs w:val="18"/>
          <w:color w:val="auto"/>
        </w:rPr>
        <w:t>The fair value of a membership unit as of each period end was $6.07, $4.40, $5.91, $5.59, for the fiscal years ended 2016, 2017, 2018, and 2019, respectively.</w:t>
      </w:r>
    </w:p>
    <w:p>
      <w:pPr>
        <w:spacing w:after="0" w:line="1" w:lineRule="exact"/>
        <w:rPr>
          <w:rFonts w:ascii="Arial" w:cs="Arial" w:eastAsia="Arial" w:hAnsi="Arial"/>
          <w:sz w:val="15"/>
          <w:szCs w:val="15"/>
          <w:color w:val="auto"/>
        </w:rPr>
      </w:pPr>
    </w:p>
    <w:p>
      <w:pPr>
        <w:ind w:left="340" w:right="160" w:hanging="224"/>
        <w:spacing w:after="0" w:line="260" w:lineRule="auto"/>
        <w:tabs>
          <w:tab w:leader="none" w:pos="340" w:val="left"/>
        </w:tabs>
        <w:numPr>
          <w:ilvl w:val="0"/>
          <w:numId w:val="206"/>
        </w:numPr>
        <w:rPr>
          <w:rFonts w:ascii="Arial" w:cs="Arial" w:eastAsia="Arial" w:hAnsi="Arial"/>
          <w:sz w:val="15"/>
          <w:szCs w:val="15"/>
          <w:color w:val="auto"/>
        </w:rPr>
      </w:pPr>
      <w:r>
        <w:rPr>
          <w:rFonts w:ascii="Arial" w:cs="Arial" w:eastAsia="Arial" w:hAnsi="Arial"/>
          <w:sz w:val="18"/>
          <w:szCs w:val="18"/>
          <w:color w:val="auto"/>
        </w:rPr>
        <w:t>The Company has elected to recognize forfeitures as they occur. Therefore, the number of awards vested and expected to vest is equal to the awards outstanding.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Unit Options</w:t>
      </w:r>
      <w:r>
        <w:rPr>
          <w:rFonts w:ascii="Arial" w:cs="Arial" w:eastAsia="Arial" w:hAnsi="Arial"/>
          <w:sz w:val="15"/>
          <w:szCs w:val="15"/>
          <w:b w:val="1"/>
          <w:bCs w:val="1"/>
          <w:i w:val="1"/>
          <w:iCs w:val="1"/>
          <w:color w:val="auto"/>
        </w:rPr>
        <w:t>(1)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Unit</w:t>
            </w: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Life (in</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9,959,420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3.14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31,031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1,232,128</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5.95</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(436,759)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5.71</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(852,432)</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6.48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9,902,357</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3.09</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18,658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3,272,337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5.29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(2,258,138)</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5.86</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(1,231,868)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9,684,688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2.86</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29,960</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1,335,436</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(228,718)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(563,830)</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 xml:space="preserve">Outstanding as of February 1, 2020 </w:t>
            </w:r>
            <w:r>
              <w:rPr>
                <w:rFonts w:ascii="Arial" w:cs="Arial" w:eastAsia="Arial" w:hAnsi="Arial"/>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10,227,576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3.02</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26,838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7,760,964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2.31</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26,061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380" w:hanging="224"/>
        <w:spacing w:after="0" w:line="258" w:lineRule="auto"/>
        <w:tabs>
          <w:tab w:leader="none" w:pos="340" w:val="left"/>
        </w:tabs>
        <w:numPr>
          <w:ilvl w:val="0"/>
          <w:numId w:val="207"/>
        </w:numPr>
        <w:rPr>
          <w:rFonts w:ascii="Arial" w:cs="Arial" w:eastAsia="Arial" w:hAnsi="Arial"/>
          <w:sz w:val="15"/>
          <w:szCs w:val="15"/>
          <w:color w:val="auto"/>
        </w:rPr>
      </w:pPr>
      <w:r>
        <w:rPr>
          <w:rFonts w:ascii="Arial" w:cs="Arial" w:eastAsia="Arial" w:hAnsi="Arial"/>
          <w:sz w:val="18"/>
          <w:szCs w:val="18"/>
          <w:color w:val="auto"/>
        </w:rPr>
        <w:t>The fair value of a membership unit as of each period end was $6.07, $4.40, $5.91, $5.59, for the fiscal years ended 2016, 2017, 2018, and 2019, respectively.</w:t>
      </w:r>
    </w:p>
    <w:p>
      <w:pPr>
        <w:spacing w:after="0" w:line="1" w:lineRule="exact"/>
        <w:rPr>
          <w:rFonts w:ascii="Arial" w:cs="Arial" w:eastAsia="Arial" w:hAnsi="Arial"/>
          <w:sz w:val="15"/>
          <w:szCs w:val="15"/>
          <w:color w:val="auto"/>
        </w:rPr>
      </w:pPr>
    </w:p>
    <w:p>
      <w:pPr>
        <w:ind w:left="340" w:right="160" w:hanging="224"/>
        <w:spacing w:after="0" w:line="260" w:lineRule="auto"/>
        <w:tabs>
          <w:tab w:leader="none" w:pos="340" w:val="left"/>
        </w:tabs>
        <w:numPr>
          <w:ilvl w:val="0"/>
          <w:numId w:val="207"/>
        </w:numPr>
        <w:rPr>
          <w:rFonts w:ascii="Arial" w:cs="Arial" w:eastAsia="Arial" w:hAnsi="Arial"/>
          <w:sz w:val="15"/>
          <w:szCs w:val="15"/>
          <w:color w:val="auto"/>
        </w:rPr>
      </w:pPr>
      <w:r>
        <w:rPr>
          <w:rFonts w:ascii="Arial" w:cs="Arial" w:eastAsia="Arial" w:hAnsi="Arial"/>
          <w:sz w:val="18"/>
          <w:szCs w:val="18"/>
          <w:color w:val="auto"/>
        </w:rPr>
        <w:t>The Company has elected to recognize forfeitures as they occur. Therefore, the number of awards vested and expected to vest is equal to the awards outstanding.</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Unit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Unit activity is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Restricted Units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Average Grant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Value Per Unit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as of January 28, 2017</w:t>
            </w:r>
          </w:p>
        </w:tc>
        <w:tc>
          <w:tcPr>
            <w:tcW w:w="2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1,374,348</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Granted</w:t>
            </w:r>
          </w:p>
        </w:tc>
        <w:tc>
          <w:tcPr>
            <w:tcW w:w="4080" w:type="dxa"/>
            <w:vAlign w:val="bottom"/>
            <w:gridSpan w:val="3"/>
          </w:tcPr>
          <w:p>
            <w:pPr>
              <w:jc w:val="right"/>
              <w:ind w:right="820"/>
              <w:spacing w:after="0"/>
              <w:rPr>
                <w:sz w:val="20"/>
                <w:szCs w:val="20"/>
                <w:color w:val="auto"/>
              </w:rPr>
            </w:pPr>
            <w:r>
              <w:rPr>
                <w:rFonts w:ascii="Arial" w:cs="Arial" w:eastAsia="Arial" w:hAnsi="Arial"/>
                <w:sz w:val="18"/>
                <w:szCs w:val="18"/>
                <w:color w:val="auto"/>
              </w:rPr>
              <w:t>29,022</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4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(8,238)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Non-vested as of February 3, 2018</w:t>
            </w:r>
          </w:p>
        </w:tc>
        <w:tc>
          <w:tcPr>
            <w:tcW w:w="2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1,395,132</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40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2,769,316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Vested</w:t>
            </w:r>
          </w:p>
        </w:tc>
        <w:tc>
          <w:tcPr>
            <w:tcW w:w="4080" w:type="dxa"/>
            <w:vAlign w:val="bottom"/>
            <w:gridSpan w:val="3"/>
          </w:tcPr>
          <w:p>
            <w:pPr>
              <w:jc w:val="right"/>
              <w:ind w:right="760"/>
              <w:spacing w:after="0"/>
              <w:rPr>
                <w:sz w:val="20"/>
                <w:szCs w:val="20"/>
                <w:color w:val="auto"/>
              </w:rPr>
            </w:pPr>
            <w:r>
              <w:rPr>
                <w:rFonts w:ascii="Arial" w:cs="Arial" w:eastAsia="Arial" w:hAnsi="Arial"/>
                <w:sz w:val="18"/>
                <w:szCs w:val="18"/>
                <w:color w:val="auto"/>
              </w:rPr>
              <w:t>(34,704)</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(782,295)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Non-vested as of February 2, 2019</w:t>
            </w:r>
          </w:p>
        </w:tc>
        <w:tc>
          <w:tcPr>
            <w:tcW w:w="2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3,347,449</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40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180,610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Vested</w:t>
            </w:r>
          </w:p>
        </w:tc>
        <w:tc>
          <w:tcPr>
            <w:tcW w:w="40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(57,363)</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(141,510)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Non-vested as of February 1, 2020</w:t>
            </w:r>
          </w:p>
        </w:tc>
        <w:tc>
          <w:tcPr>
            <w:tcW w:w="2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3,329,186</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4080" w:type="dxa"/>
            <w:vAlign w:val="bottom"/>
            <w:gridSpan w:val="3"/>
          </w:tcPr>
          <w:p>
            <w:pPr>
              <w:jc w:val="right"/>
              <w:ind w:right="3040"/>
              <w:spacing w:after="0"/>
              <w:rPr>
                <w:sz w:val="20"/>
                <w:szCs w:val="20"/>
                <w:color w:val="auto"/>
              </w:rPr>
            </w:pPr>
            <w:r>
              <w:rPr>
                <w:rFonts w:ascii="Arial" w:cs="Arial" w:eastAsia="Arial" w:hAnsi="Arial"/>
                <w:sz w:val="18"/>
                <w:szCs w:val="18"/>
                <w:color w:val="auto"/>
              </w:rPr>
              <w:t>F-27</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firstLine="423"/>
        <w:spacing w:after="0" w:line="257" w:lineRule="auto"/>
        <w:rPr>
          <w:sz w:val="20"/>
          <w:szCs w:val="20"/>
          <w:color w:val="auto"/>
        </w:rPr>
      </w:pPr>
      <w:r>
        <w:rPr>
          <w:rFonts w:ascii="Arial" w:cs="Arial" w:eastAsia="Arial" w:hAnsi="Arial"/>
          <w:sz w:val="18"/>
          <w:szCs w:val="18"/>
          <w:color w:val="auto"/>
        </w:rPr>
        <w:t>As of February 1, 2020, there are 38,024 Holdco Membership Units that are subject to outstanding and unvested Service Restricted Units issued during 2019. The Service Restricted Units contain a weighted average grant date fair value of $5.26 per unit. 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88" w:lineRule="exact"/>
        <w:rPr>
          <w:sz w:val="20"/>
          <w:szCs w:val="20"/>
          <w:color w:val="auto"/>
        </w:rPr>
      </w:pPr>
    </w:p>
    <w:p>
      <w:pPr>
        <w:ind w:left="560" w:right="80" w:firstLine="423"/>
        <w:spacing w:after="0" w:line="269" w:lineRule="auto"/>
        <w:rPr>
          <w:sz w:val="20"/>
          <w:szCs w:val="20"/>
          <w:color w:val="auto"/>
        </w:rPr>
      </w:pPr>
      <w:r>
        <w:rPr>
          <w:rFonts w:ascii="Arial" w:cs="Arial" w:eastAsia="Arial" w:hAnsi="Arial"/>
          <w:sz w:val="17"/>
          <w:szCs w:val="17"/>
          <w:color w:val="auto"/>
        </w:rPr>
        <w:t>As of February 1, 2020, there are 3,291,162 Holdco Membership Units that are subject to outstanding and unvested Liquidity Event Restricted Units with a weighted average grant date fair value of $5.51 per unit. The Company’s outstanding and unvested Liquidity Event Restricted Units are currently not being expensed and will not be expensed until the performance objective meets the definition of “probable” in accordance with ASC 718. 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 If the performance objective of the Liquidity Event Restricted Units had been met as the result of the Company completing an initial public offering on February 1, 2020, we would have expensed approximately $10.2 million of stock compensation expense associated with the vesting of the Liquidity Event Restricted Units achieved as of such date.</w:t>
      </w:r>
    </w:p>
    <w:p>
      <w:pPr>
        <w:spacing w:after="0" w:line="330" w:lineRule="exact"/>
        <w:rPr>
          <w:sz w:val="20"/>
          <w:szCs w:val="20"/>
          <w:color w:val="auto"/>
        </w:rPr>
      </w:pPr>
    </w:p>
    <w:p>
      <w:pPr>
        <w:ind w:left="540" w:hanging="424"/>
        <w:spacing w:after="0"/>
        <w:tabs>
          <w:tab w:leader="none" w:pos="5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Unit</w:t>
      </w:r>
    </w:p>
    <w:p>
      <w:pPr>
        <w:spacing w:after="0" w:line="121" w:lineRule="exact"/>
        <w:rPr>
          <w:sz w:val="20"/>
          <w:szCs w:val="20"/>
          <w:color w:val="auto"/>
        </w:rPr>
      </w:pPr>
    </w:p>
    <w:p>
      <w:pPr>
        <w:ind w:left="560" w:right="60" w:firstLine="423"/>
        <w:spacing w:after="0" w:line="255" w:lineRule="auto"/>
        <w:rPr>
          <w:sz w:val="20"/>
          <w:szCs w:val="20"/>
          <w:color w:val="auto"/>
        </w:rPr>
      </w:pPr>
      <w:r>
        <w:rPr>
          <w:rFonts w:ascii="Arial" w:cs="Arial" w:eastAsia="Arial" w:hAnsi="Arial"/>
          <w:sz w:val="18"/>
          <w:szCs w:val="18"/>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Basic and dilutive units outstanding are calculated as follows (dollar amounts in thousands except per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February 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9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February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120,043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Weighed average units outstanding - basic</w:t>
            </w: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228,303,750</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228,160,508</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227,942,148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Restricted Units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35,376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51,417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Dilutive effect of Service Options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2,886,601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4,036,699</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4,062,335</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Dilutive effect of Performance</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4,383,391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4,625,349</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4,780,630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Weighed average units outstanding - diluted</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235,609,118</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236,873,973</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236,804,721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unit - basic</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0.53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Earnings per unit - diluted</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6"/>
              </w:rPr>
              <w:t>Anti-dilutive stock-based awards excluded form diluted calculation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1,833,855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7,485,706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10,150,627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80" w:type="dxa"/>
            <w:vAlign w:val="bottom"/>
          </w:tcPr>
          <w:p>
            <w:pPr>
              <w:spacing w:after="0"/>
              <w:rPr>
                <w:sz w:val="24"/>
                <w:szCs w:val="24"/>
                <w:color w:val="auto"/>
              </w:rPr>
            </w:pPr>
          </w:p>
        </w:tc>
        <w:tc>
          <w:tcPr>
            <w:tcW w:w="1520" w:type="dxa"/>
            <w:vAlign w:val="bottom"/>
            <w:gridSpan w:val="2"/>
          </w:tcPr>
          <w:p>
            <w:pPr>
              <w:jc w:val="right"/>
              <w:ind w:right="830"/>
              <w:spacing w:after="0"/>
              <w:rPr>
                <w:sz w:val="20"/>
                <w:szCs w:val="20"/>
                <w:color w:val="auto"/>
              </w:rPr>
            </w:pPr>
            <w:r>
              <w:rPr>
                <w:rFonts w:ascii="Arial" w:cs="Arial" w:eastAsia="Arial" w:hAnsi="Arial"/>
                <w:sz w:val="18"/>
                <w:szCs w:val="18"/>
                <w:color w:val="auto"/>
              </w:rPr>
              <w:t>F-28</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income tax provision consists of the following (amounts in thousands)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756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80" w:type="dxa"/>
            <w:vAlign w:val="bottom"/>
          </w:tcPr>
          <w:p>
            <w:pPr>
              <w:spacing w:after="0"/>
              <w:rPr>
                <w:sz w:val="10"/>
                <w:szCs w:val="10"/>
                <w:color w:val="auto"/>
              </w:rPr>
            </w:pPr>
          </w:p>
        </w:tc>
        <w:tc>
          <w:tcPr>
            <w:tcW w:w="132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February 2,</w:t>
            </w: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60" w:type="dxa"/>
            <w:vAlign w:val="bottom"/>
          </w:tcPr>
          <w:p>
            <w:pPr>
              <w:spacing w:after="0"/>
              <w:rPr>
                <w:sz w:val="10"/>
                <w:szCs w:val="10"/>
                <w:color w:val="auto"/>
              </w:rPr>
            </w:pPr>
          </w:p>
        </w:tc>
      </w:tr>
      <w:tr>
        <w:trPr>
          <w:trHeight w:val="171"/>
        </w:trPr>
        <w:tc>
          <w:tcPr>
            <w:tcW w:w="7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2019</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expense: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2,501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2,580</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7"/>
        </w:trPr>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2,634</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Deferred expense (benefit):</w:t>
            </w: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U.S. State</w:t>
            </w:r>
          </w:p>
        </w:tc>
        <w:tc>
          <w:tcPr>
            <w:tcW w:w="16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318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expense (benefit)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6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60" w:firstLine="423"/>
        <w:spacing w:after="0" w:line="277" w:lineRule="auto"/>
        <w:rPr>
          <w:sz w:val="20"/>
          <w:szCs w:val="20"/>
          <w:color w:val="auto"/>
        </w:rPr>
      </w:pPr>
      <w:r>
        <w:rPr>
          <w:rFonts w:ascii="Arial" w:cs="Arial" w:eastAsia="Arial" w:hAnsi="Arial"/>
          <w:sz w:val="18"/>
          <w:szCs w:val="18"/>
          <w:color w:val="auto"/>
        </w:rPr>
        <w:t>The provision for income taxes differs from the amounts computed by applying the federal statutory rate (dollar amounts in thousands)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9"/>
              </w:rPr>
              <w:t>Fiscal Year Ended</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2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0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122,860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23,393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61,282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Tax at federal statutory rate (21% for 2019, 21% for 2018 and 33.8% for 2017)</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25,801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20,731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in tax expense resulting from:</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State income tax</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2,818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1,898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Foreign tax</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Effect of rates due to pass through entities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(25,801)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(20,731)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2,817</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Income tax expense is less than the federal statutory rate since the Company is a flow through entity for federal income tax purposes. As such, no federal income tax expense has been recorded in the consolidated statements of income. Our tax rate is almost entirely the result of state income taxes.</w:t>
      </w:r>
    </w:p>
    <w:p>
      <w:pPr>
        <w:spacing w:after="0" w:line="184" w:lineRule="exact"/>
        <w:rPr>
          <w:sz w:val="20"/>
          <w:szCs w:val="20"/>
          <w:color w:val="auto"/>
        </w:rPr>
      </w:pPr>
    </w:p>
    <w:p>
      <w:pPr>
        <w:ind w:left="560" w:right="160" w:firstLine="423"/>
        <w:spacing w:after="0" w:line="263" w:lineRule="auto"/>
        <w:rPr>
          <w:sz w:val="20"/>
          <w:szCs w:val="20"/>
          <w:color w:val="auto"/>
        </w:rPr>
      </w:pPr>
      <w:r>
        <w:rPr>
          <w:rFonts w:ascii="Arial" w:cs="Arial" w:eastAsia="Arial" w:hAnsi="Arial"/>
          <w:sz w:val="18"/>
          <w:szCs w:val="18"/>
          <w:color w:val="auto"/>
        </w:rPr>
        <w:t>On December 22, 2017, the Tax Cuts and Jobs Act, or the Act, was signed into law. The Act decreased the U.S. corporate federal tax rate from 35% to 21% effective January 1, 2018. The Company did not have any impact on recorded deferred tax balances as the Company is a pass-through entity and only has deferred items related to state taxes.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components that give rise to significant portions of the net deferred tax assets and liabilities are presented below (amounts in thousands)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3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r>
      <w:tr>
        <w:trPr>
          <w:trHeight w:val="171"/>
        </w:trPr>
        <w:tc>
          <w:tcPr>
            <w:tcW w:w="20" w:type="dxa"/>
            <w:vAlign w:val="bottom"/>
          </w:tcPr>
          <w:p>
            <w:pPr>
              <w:spacing w:after="0"/>
              <w:rPr>
                <w:sz w:val="14"/>
                <w:szCs w:val="14"/>
                <w:color w:val="auto"/>
              </w:rPr>
            </w:pPr>
          </w:p>
        </w:tc>
        <w:tc>
          <w:tcPr>
            <w:tcW w:w="7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Tax credits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2,749</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2,741</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Intangibles and depreciation</w:t>
            </w: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and 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220</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60" w:right="160" w:firstLine="423"/>
        <w:spacing w:after="0" w:line="263" w:lineRule="auto"/>
        <w:rPr>
          <w:sz w:val="20"/>
          <w:szCs w:val="20"/>
          <w:color w:val="auto"/>
        </w:rPr>
      </w:pPr>
      <w:r>
        <w:rPr>
          <w:rFonts w:ascii="Arial" w:cs="Arial" w:eastAsia="Arial" w:hAnsi="Arial"/>
          <w:sz w:val="18"/>
          <w:szCs w:val="18"/>
          <w:color w:val="auto"/>
        </w:rPr>
        <w:t>Management evaluates the realizability of the deferred tax assets and the need for additional valuation allowances annually. At February 1, 2020, based on current facts and circumstances, management believes that it is more likely than not that the Company will realize benefit for its gross deferred tax assets.</w:t>
      </w:r>
    </w:p>
    <w:p>
      <w:pPr>
        <w:spacing w:after="0" w:line="184"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As of February 1, 2020, we had no unrecognized tax benefits and we do not anticipate that unrecognized tax benefits will significantly increase or decrease over the next 12 months. There are no tax returns that are currently under examination. Federal and state tax years that remain subject to examination are periods ended January 28, 2017 through February 1, 2020.</w:t>
      </w:r>
    </w:p>
    <w:p>
      <w:pPr>
        <w:spacing w:after="0" w:line="328" w:lineRule="exact"/>
        <w:rPr>
          <w:sz w:val="20"/>
          <w:szCs w:val="20"/>
          <w:color w:val="auto"/>
        </w:rPr>
      </w:pPr>
    </w:p>
    <w:p>
      <w:pPr>
        <w:ind w:left="560" w:right="8480" w:hanging="444"/>
        <w:spacing w:after="0" w:line="425" w:lineRule="auto"/>
        <w:tabs>
          <w:tab w:leader="none" w:pos="552"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Monitoring Agreement</w:t>
      </w:r>
    </w:p>
    <w:p>
      <w:pPr>
        <w:ind w:left="560" w:right="20" w:firstLine="423"/>
        <w:spacing w:after="0" w:line="270" w:lineRule="auto"/>
        <w:rPr>
          <w:sz w:val="20"/>
          <w:szCs w:val="20"/>
          <w:color w:val="auto"/>
        </w:rPr>
      </w:pPr>
      <w:r>
        <w:rPr>
          <w:rFonts w:ascii="Arial" w:cs="Arial" w:eastAsia="Arial" w:hAnsi="Arial"/>
          <w:sz w:val="17"/>
          <w:szCs w:val="17"/>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of $3.7 million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These expenses are included in selling, general and administrative expenses in the consolidated statements of income.</w:t>
      </w:r>
    </w:p>
    <w:p>
      <w:pPr>
        <w:spacing w:after="0" w:line="181" w:lineRule="exact"/>
        <w:rPr>
          <w:sz w:val="20"/>
          <w:szCs w:val="20"/>
          <w:color w:val="auto"/>
        </w:rPr>
      </w:pPr>
    </w:p>
    <w:p>
      <w:pPr>
        <w:ind w:left="560" w:right="140" w:firstLine="423"/>
        <w:spacing w:after="0" w:line="293" w:lineRule="auto"/>
        <w:rPr>
          <w:sz w:val="20"/>
          <w:szCs w:val="20"/>
          <w:color w:val="auto"/>
        </w:rPr>
      </w:pPr>
      <w:r>
        <w:rPr>
          <w:rFonts w:ascii="Arial" w:cs="Arial" w:eastAsia="Arial" w:hAnsi="Arial"/>
          <w:sz w:val="16"/>
          <w:szCs w:val="16"/>
          <w:color w:val="auto"/>
        </w:rPr>
        <w:t>The Monitoring Agreement terminates automatically upon the consummation of an initial public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If an initial public offering was consummated and the Monitoring Agreement was terminated on February 1, 2020, we would have owed approximately $14.2 million of termination fees to the Adviser. Pursuant to a separate agreement, the Adviser would be expected to share a portion of any such termination fee with certain investors who are family descendants of our founder, Max Gochman, or Gochman Investors.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Transaction and Other Fee Arrangements</w:t>
      </w:r>
    </w:p>
    <w:p>
      <w:pPr>
        <w:spacing w:after="0" w:line="117" w:lineRule="exact"/>
        <w:rPr>
          <w:sz w:val="20"/>
          <w:szCs w:val="20"/>
          <w:color w:val="auto"/>
        </w:rPr>
      </w:pPr>
    </w:p>
    <w:p>
      <w:pPr>
        <w:ind w:left="560" w:right="80" w:firstLine="423"/>
        <w:spacing w:after="0" w:line="279" w:lineRule="auto"/>
        <w:rPr>
          <w:sz w:val="20"/>
          <w:szCs w:val="20"/>
          <w:color w:val="auto"/>
        </w:rPr>
      </w:pPr>
      <w:r>
        <w:rPr>
          <w:rFonts w:ascii="Arial" w:cs="Arial" w:eastAsia="Arial" w:hAnsi="Arial"/>
          <w:sz w:val="17"/>
          <w:szCs w:val="17"/>
          <w:color w:val="auto"/>
        </w:rPr>
        <w:t>In 2015, we paid KKR Capital Markets LLC, or KCM, an affiliate of KKR, $2.1 million in fees in connection with the 2015 Term Loan Facility. These fees are recorded as deferred loan costs, net of amortization, within the long-term debt on the balance sheets. The Company also incurred expenses of $0.9 million and $0.3 million in 2018 and 2017, respectively, related to professional fees owed to an affiliate of KKR. These expenses are included in selling, general and administrative expenses in the statements of income.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left="560" w:right="40" w:firstLine="423"/>
        <w:spacing w:after="0" w:line="308" w:lineRule="auto"/>
        <w:rPr>
          <w:sz w:val="20"/>
          <w:szCs w:val="20"/>
          <w:color w:val="auto"/>
        </w:rPr>
      </w:pPr>
      <w:r>
        <w:rPr>
          <w:rFonts w:ascii="Arial" w:cs="Arial" w:eastAsia="Arial" w:hAnsi="Arial"/>
          <w:sz w:val="17"/>
          <w:szCs w:val="17"/>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Purchases</w:t>
      </w:r>
    </w:p>
    <w:p>
      <w:pPr>
        <w:spacing w:after="0" w:line="117" w:lineRule="exact"/>
        <w:rPr>
          <w:sz w:val="20"/>
          <w:szCs w:val="20"/>
          <w:color w:val="auto"/>
        </w:rPr>
      </w:pPr>
    </w:p>
    <w:p>
      <w:pPr>
        <w:ind w:left="560" w:right="260" w:firstLine="423"/>
        <w:spacing w:after="0" w:line="279" w:lineRule="auto"/>
        <w:rPr>
          <w:sz w:val="20"/>
          <w:szCs w:val="20"/>
          <w:color w:val="auto"/>
        </w:rPr>
      </w:pPr>
      <w:r>
        <w:rPr>
          <w:rFonts w:ascii="Arial" w:cs="Arial" w:eastAsia="Arial" w:hAnsi="Arial"/>
          <w:sz w:val="17"/>
          <w:szCs w:val="17"/>
          <w:color w:val="auto"/>
        </w:rPr>
        <w:t>For the years ended February 1, 2020, February 2, 2019 and February 3, 2018, executives and directors of the Company made cash purchases of Redeemable Membership Units in Managers for approximately $0.1 million, $1.3 million and $1.2 million, respectively. The cash consideration paid for the Redeemable Membership Units was subsequently contributed to Holdco by Managers in exchange for a number of Holdco Membership Units equal to the number of Redeemable Membership Units purchased.</w:t>
      </w:r>
    </w:p>
    <w:p>
      <w:pPr>
        <w:spacing w:after="0" w:line="171" w:lineRule="exact"/>
        <w:rPr>
          <w:sz w:val="20"/>
          <w:szCs w:val="20"/>
          <w:color w:val="auto"/>
        </w:rPr>
      </w:pPr>
    </w:p>
    <w:p>
      <w:pPr>
        <w:jc w:val="both"/>
        <w:ind w:left="560" w:firstLine="423"/>
        <w:spacing w:after="0" w:line="311" w:lineRule="auto"/>
        <w:rPr>
          <w:sz w:val="20"/>
          <w:szCs w:val="20"/>
          <w:color w:val="auto"/>
        </w:rPr>
      </w:pPr>
      <w:r>
        <w:rPr>
          <w:rFonts w:ascii="Arial" w:cs="Arial" w:eastAsia="Arial" w:hAnsi="Arial"/>
          <w:sz w:val="16"/>
          <w:szCs w:val="16"/>
          <w:color w:val="auto"/>
        </w:rPr>
        <w:t>During the year ended February 1, 2020, Managers repurchased at fair market value approximately $0.5 million of Redeemable Membership Units from a director and an executive of the Company for cash. Holdco concurrently repurchased from Managers for cash, at fair market value, a number of Holdco membership units equal to the number for Redeemable Membership Units repurchased from the director and executive.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Note Receivable from Member</w:t>
      </w:r>
    </w:p>
    <w:p>
      <w:pPr>
        <w:spacing w:after="0" w:line="117" w:lineRule="exact"/>
        <w:rPr>
          <w:sz w:val="20"/>
          <w:szCs w:val="20"/>
          <w:color w:val="auto"/>
        </w:rPr>
      </w:pPr>
    </w:p>
    <w:p>
      <w:pPr>
        <w:ind w:left="560" w:right="100" w:firstLine="423"/>
        <w:spacing w:after="0" w:line="255" w:lineRule="auto"/>
        <w:rPr>
          <w:sz w:val="20"/>
          <w:szCs w:val="20"/>
          <w:color w:val="auto"/>
        </w:rPr>
      </w:pPr>
      <w:r>
        <w:rPr>
          <w:rFonts w:ascii="Arial" w:cs="Arial" w:eastAsia="Arial" w:hAnsi="Arial"/>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On April 5, 2018, the Company loaned $4.1 million with a note receivable issued to a member. The note receivable bears semi-annual compounding interest at 2.1% per annum, with outstanding principal and interest due on April 5, 2021. These notes receivable have been recorded in other non-current assets in the balance sheets.</w:t>
      </w:r>
    </w:p>
    <w:p>
      <w:pPr>
        <w:spacing w:after="0" w:line="337" w:lineRule="exact"/>
        <w:rPr>
          <w:sz w:val="20"/>
          <w:szCs w:val="20"/>
          <w:color w:val="auto"/>
        </w:rPr>
      </w:pPr>
    </w:p>
    <w:p>
      <w:pPr>
        <w:ind w:left="540" w:hanging="424"/>
        <w:spacing w:after="0"/>
        <w:tabs>
          <w:tab w:leader="none" w:pos="5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thus requires a re-measurement of the lease liability at current discount rates. The life of leasehold improvement assets are limited by the expected lease term. Additionally, we have certain agreements for equipment rentals, which are typically twelve months or less in duration.</w:t>
      </w:r>
    </w:p>
    <w:p>
      <w:pPr>
        <w:spacing w:after="0" w:line="188" w:lineRule="exact"/>
        <w:rPr>
          <w:sz w:val="20"/>
          <w:szCs w:val="20"/>
          <w:color w:val="auto"/>
        </w:rPr>
      </w:pPr>
    </w:p>
    <w:p>
      <w:pPr>
        <w:ind w:left="560" w:right="20" w:firstLine="423"/>
        <w:spacing w:after="0" w:line="311" w:lineRule="auto"/>
        <w:rPr>
          <w:sz w:val="20"/>
          <w:szCs w:val="20"/>
          <w:color w:val="auto"/>
        </w:rPr>
      </w:pPr>
      <w:r>
        <w:rPr>
          <w:rFonts w:ascii="Arial" w:cs="Arial" w:eastAsia="Arial" w:hAnsi="Arial"/>
          <w:sz w:val="16"/>
          <w:szCs w:val="16"/>
          <w:color w:val="auto"/>
        </w:rPr>
        <w:t>Effective February 3, 2019, we adopted the New Lease Standard, which requires that lessees recognize assets and liabilities arising from operating leases on the balance sheet and disclose key information about leasing arrangements. In conjunction with the adoption of the New Lease Standard, we have elected to utilize the package of practical expedients, which allows us to carry forward our historical lease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classifications and eliminates the need to assess whether our pre-existing contracts are, or contain, leases. We also elected to utilize the practical expedient to account for each lease and non-lease components for our building leases as a single lease component which allows certain costs such as common area maintenance associated with these leases to be included as rent expense. Finally, we elected to exclude leases with contract terms of twelve months or less from the New Lease Standard accounting treatment, which results in straight-line recognition of the cost over the lease term with no associated balance sheet lease liability or right-of-use asset. As of February 1, 2020, all of our leases are classified as operating leases.</w:t>
      </w:r>
    </w:p>
    <w:p>
      <w:pPr>
        <w:spacing w:after="0" w:line="192" w:lineRule="exact"/>
        <w:rPr>
          <w:sz w:val="20"/>
          <w:szCs w:val="20"/>
          <w:color w:val="auto"/>
        </w:rPr>
      </w:pPr>
    </w:p>
    <w:p>
      <w:pPr>
        <w:ind w:left="560" w:right="700" w:firstLine="423"/>
        <w:spacing w:after="0" w:line="277" w:lineRule="auto"/>
        <w:rPr>
          <w:sz w:val="20"/>
          <w:szCs w:val="20"/>
          <w:color w:val="auto"/>
        </w:rPr>
      </w:pPr>
      <w:r>
        <w:rPr>
          <w:rFonts w:ascii="Arial" w:cs="Arial" w:eastAsia="Arial" w:hAnsi="Arial"/>
          <w:sz w:val="18"/>
          <w:szCs w:val="18"/>
          <w:color w:val="auto"/>
        </w:rPr>
        <w:t>The following table reflects the balance sheet impact of the implementation of the New Lease Standard upon adoption (amounts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Adoption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700" w:type="dxa"/>
            <w:vAlign w:val="bottom"/>
            <w:gridSpan w:val="3"/>
          </w:tcPr>
          <w:p>
            <w:pPr>
              <w:ind w:left="960"/>
              <w:spacing w:after="0" w:line="149" w:lineRule="exact"/>
              <w:rPr>
                <w:sz w:val="20"/>
                <w:szCs w:val="20"/>
                <w:color w:val="auto"/>
              </w:rPr>
            </w:pPr>
            <w:r>
              <w:rPr>
                <w:rFonts w:ascii="Arial" w:cs="Arial" w:eastAsia="Arial" w:hAnsi="Arial"/>
                <w:sz w:val="14"/>
                <w:szCs w:val="14"/>
                <w:b w:val="1"/>
                <w:bCs w:val="1"/>
                <w:color w:val="auto"/>
                <w:w w:val="95"/>
              </w:rPr>
              <w:t>February 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Impact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 xml:space="preserve">Prepaid expenses and other current assets </w:t>
            </w:r>
            <w:r>
              <w:rPr>
                <w:rFonts w:ascii="Arial" w:cs="Arial" w:eastAsia="Arial" w:hAnsi="Arial"/>
                <w:sz w:val="15"/>
                <w:szCs w:val="15"/>
                <w:color w:val="auto"/>
              </w:rPr>
              <w:t>(1)</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39,937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(15,778)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1,173,741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 xml:space="preserve">Trade name and other intangible assets, net </w:t>
            </w:r>
            <w:r>
              <w:rPr>
                <w:rFonts w:ascii="Arial" w:cs="Arial" w:eastAsia="Arial" w:hAnsi="Arial"/>
                <w:sz w:val="15"/>
                <w:szCs w:val="15"/>
                <w:color w:val="auto"/>
              </w:rPr>
              <w:t>(1)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592,067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(15,067)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5"/>
                <w:szCs w:val="15"/>
                <w:color w:val="auto"/>
              </w:rPr>
              <w:t>(1)(2)</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b w:val="1"/>
                <w:bCs w:val="1"/>
                <w:color w:val="auto"/>
              </w:rPr>
              <w:t>Liabilities and Partners’ Equity:</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lease liabilities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Long-term lease liabilities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1,154,697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1,154,697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(1) (2)</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122,795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 xml:space="preserve">Retained earnings </w:t>
            </w:r>
            <w:r>
              <w:rPr>
                <w:rFonts w:ascii="Arial" w:cs="Arial" w:eastAsia="Arial" w:hAnsi="Arial"/>
                <w:sz w:val="15"/>
                <w:szCs w:val="15"/>
                <w:color w:val="auto"/>
              </w:rPr>
              <w:t>(2)</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553,282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5,075</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558,357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right="320" w:hanging="224"/>
        <w:spacing w:after="0" w:line="291" w:lineRule="auto"/>
        <w:tabs>
          <w:tab w:leader="none" w:pos="340" w:val="left"/>
        </w:tabs>
        <w:numPr>
          <w:ilvl w:val="0"/>
          <w:numId w:val="212"/>
        </w:numPr>
        <w:rPr>
          <w:rFonts w:ascii="Arial" w:cs="Arial" w:eastAsia="Arial" w:hAnsi="Arial"/>
          <w:sz w:val="13"/>
          <w:szCs w:val="13"/>
          <w:color w:val="auto"/>
        </w:rPr>
      </w:pPr>
      <w:r>
        <w:rPr>
          <w:rFonts w:ascii="Arial" w:cs="Arial" w:eastAsia="Arial" w:hAnsi="Arial"/>
          <w:sz w:val="16"/>
          <w:szCs w:val="16"/>
          <w:color w:val="auto"/>
        </w:rPr>
        <w:t>The difference between the additional lease assets and lease liabilities relates to certain prepaid or deferred rents, lease incentives and purchase accounting related fair market value lease adjustments which were adjusted out of the accounts above and were netted into the right-of-use asset.</w:t>
      </w:r>
    </w:p>
    <w:p>
      <w:pPr>
        <w:ind w:left="340" w:right="400" w:hanging="224"/>
        <w:spacing w:after="0" w:line="260" w:lineRule="auto"/>
        <w:tabs>
          <w:tab w:leader="none" w:pos="340" w:val="left"/>
        </w:tabs>
        <w:numPr>
          <w:ilvl w:val="0"/>
          <w:numId w:val="212"/>
        </w:numPr>
        <w:rPr>
          <w:rFonts w:ascii="Arial" w:cs="Arial" w:eastAsia="Arial" w:hAnsi="Arial"/>
          <w:sz w:val="15"/>
          <w:szCs w:val="15"/>
          <w:color w:val="auto"/>
        </w:rPr>
      </w:pPr>
      <w:r>
        <w:rPr>
          <w:rFonts w:ascii="Arial" w:cs="Arial" w:eastAsia="Arial" w:hAnsi="Arial"/>
          <w:sz w:val="18"/>
          <w:szCs w:val="18"/>
          <w:color w:val="auto"/>
        </w:rPr>
        <w:t>As of February 2, 2019 we had a deferred loss in other noncurrent assets and deferred gain in other long-term liabilities related to previous sale-leaseback transactions, which upon transition resulted in a cumulative-effect adjustment to retained earnings.</w:t>
      </w:r>
    </w:p>
    <w:p>
      <w:pPr>
        <w:spacing w:after="0" w:line="185" w:lineRule="exact"/>
        <w:rPr>
          <w:sz w:val="20"/>
          <w:szCs w:val="20"/>
          <w:color w:val="auto"/>
        </w:rPr>
      </w:pPr>
    </w:p>
    <w:p>
      <w:pPr>
        <w:ind w:left="560" w:right="540" w:firstLine="423"/>
        <w:spacing w:after="0" w:line="342" w:lineRule="auto"/>
        <w:rPr>
          <w:sz w:val="20"/>
          <w:szCs w:val="20"/>
          <w:color w:val="auto"/>
        </w:rPr>
      </w:pPr>
      <w:r>
        <w:rPr>
          <w:rFonts w:ascii="Arial" w:cs="Arial" w:eastAsia="Arial" w:hAnsi="Arial"/>
          <w:sz w:val="16"/>
          <w:szCs w:val="16"/>
          <w:color w:val="auto"/>
        </w:rPr>
        <w:t>Adoption of the New Lease Standard resulted in $1.2 billion in right-of-use assets and a combined $1.2 billion between current lease liabilities and long-term lease liabilities ($0.1 billion and $1.2 billion, respectively) included on the balance sheet as of February 3, 2019.</w:t>
      </w:r>
    </w:p>
    <w:p>
      <w:pPr>
        <w:spacing w:after="0" w:line="124" w:lineRule="exact"/>
        <w:rPr>
          <w:sz w:val="20"/>
          <w:szCs w:val="20"/>
          <w:color w:val="auto"/>
        </w:rPr>
      </w:pPr>
    </w:p>
    <w:p>
      <w:pPr>
        <w:ind w:left="560" w:right="200" w:firstLine="423"/>
        <w:spacing w:after="0" w:line="308" w:lineRule="auto"/>
        <w:rPr>
          <w:sz w:val="20"/>
          <w:szCs w:val="20"/>
          <w:color w:val="auto"/>
        </w:rPr>
      </w:pPr>
      <w:r>
        <w:rPr>
          <w:rFonts w:ascii="Arial" w:cs="Arial" w:eastAsia="Arial" w:hAnsi="Arial"/>
          <w:sz w:val="17"/>
          <w:szCs w:val="17"/>
          <w:color w:val="auto"/>
        </w:rPr>
        <w:t>In addition, in certain situations, we may sublease real estate to third parties. Our sublease portfolio consists mainly of operating leases of former store locations for which we are still under lease and existing store leases in which we have excess or unused space.</w:t>
      </w:r>
    </w:p>
    <w:p>
      <w:pPr>
        <w:spacing w:after="0" w:line="146"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The components of lease expense and sublease income included in selling, general and administrative, or SG&amp;A, expenses on our statement of income is as follows (amounts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year ended</w:t>
            </w:r>
          </w:p>
        </w:tc>
      </w:tr>
      <w:tr>
        <w:trPr>
          <w:trHeight w:val="171"/>
        </w:trPr>
        <w:tc>
          <w:tcPr>
            <w:tcW w:w="2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3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195,301</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Sublease income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(1,591)</w:t>
            </w:r>
          </w:p>
        </w:tc>
      </w:tr>
      <w:tr>
        <w:trPr>
          <w:trHeight w:val="27"/>
        </w:trPr>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lease expense</w:t>
            </w:r>
          </w:p>
        </w:tc>
        <w:tc>
          <w:tcPr>
            <w:tcW w:w="386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201,446</w:t>
            </w:r>
          </w:p>
        </w:tc>
      </w:tr>
      <w:tr>
        <w:trPr>
          <w:trHeight w:val="372"/>
        </w:trPr>
        <w:tc>
          <w:tcPr>
            <w:tcW w:w="2700" w:type="dxa"/>
            <w:vAlign w:val="bottom"/>
          </w:tcPr>
          <w:p>
            <w:pPr>
              <w:spacing w:after="0"/>
              <w:rPr>
                <w:sz w:val="24"/>
                <w:szCs w:val="24"/>
                <w:color w:val="auto"/>
              </w:rPr>
            </w:pPr>
          </w:p>
        </w:tc>
        <w:tc>
          <w:tcPr>
            <w:tcW w:w="3600" w:type="dxa"/>
            <w:vAlign w:val="bottom"/>
          </w:tcPr>
          <w:p>
            <w:pPr>
              <w:ind w:left="880"/>
              <w:spacing w:after="0"/>
              <w:rPr>
                <w:sz w:val="20"/>
                <w:szCs w:val="20"/>
                <w:color w:val="auto"/>
              </w:rPr>
            </w:pPr>
            <w:r>
              <w:rPr>
                <w:rFonts w:ascii="Arial" w:cs="Arial" w:eastAsia="Arial" w:hAnsi="Arial"/>
                <w:sz w:val="18"/>
                <w:szCs w:val="18"/>
                <w:color w:val="auto"/>
              </w:rPr>
              <w:t>F-32</w:t>
            </w: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Information about our operating leases is as follows (dollar amounts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February 1,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Right-of-use assets obtained in exchange for new operating lease</w:t>
            </w:r>
          </w:p>
        </w:tc>
        <w:tc>
          <w:tcPr>
            <w:tcW w:w="240" w:type="dxa"/>
            <w:vAlign w:val="bottom"/>
            <w:vMerge w:val="restart"/>
            <w:shd w:val="clear" w:color="auto" w:fill="CCEEFF"/>
          </w:tcPr>
          <w:p>
            <w:pPr>
              <w:spacing w:after="0"/>
              <w:rPr>
                <w:sz w:val="20"/>
                <w:szCs w:val="20"/>
                <w:color w:val="auto"/>
              </w:rPr>
            </w:pPr>
            <w:r>
              <w:rPr>
                <w:rFonts w:ascii="Arial" w:cs="Arial" w:eastAsia="Arial" w:hAnsi="Arial"/>
                <w:sz w:val="20"/>
                <w:szCs w:val="20"/>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20"/>
                <w:szCs w:val="20"/>
                <w:color w:val="auto"/>
              </w:rPr>
              <w:t>57,383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Pr>
          <w:p>
            <w:pPr>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20"/>
                <w:szCs w:val="20"/>
                <w:color w:val="auto"/>
              </w:rPr>
              <w:t>192,849</w:t>
            </w:r>
          </w:p>
        </w:tc>
        <w:tc>
          <w:tcPr>
            <w:tcW w:w="0" w:type="dxa"/>
            <w:vAlign w:val="bottom"/>
          </w:tcPr>
          <w:p>
            <w:pPr>
              <w:spacing w:after="0"/>
              <w:rPr>
                <w:sz w:val="1"/>
                <w:szCs w:val="1"/>
                <w:color w:val="auto"/>
              </w:rPr>
            </w:pPr>
          </w:p>
        </w:tc>
      </w:tr>
      <w:tr>
        <w:trPr>
          <w:trHeight w:val="280"/>
        </w:trPr>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right="440" w:firstLine="423"/>
        <w:spacing w:after="0" w:line="263" w:lineRule="auto"/>
        <w:rPr>
          <w:sz w:val="20"/>
          <w:szCs w:val="20"/>
          <w:color w:val="auto"/>
        </w:rPr>
      </w:pPr>
      <w:r>
        <w:rPr>
          <w:rFonts w:ascii="Arial" w:cs="Arial" w:eastAsia="Arial" w:hAnsi="Arial"/>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maturities of lease liabilities by fiscal year as of February 1, 2020 are as follows (amounts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196,088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195,323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190,609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181,499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171,720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164,071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After 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834,644</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15"/>
                <w:szCs w:val="15"/>
                <w:color w:val="auto"/>
              </w:rPr>
              <w:t>(1)</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1,933,954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(715,729)</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1,218,225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hanging="224"/>
        <w:spacing w:after="0"/>
        <w:tabs>
          <w:tab w:leader="none" w:pos="340" w:val="left"/>
        </w:tabs>
        <w:numPr>
          <w:ilvl w:val="0"/>
          <w:numId w:val="213"/>
        </w:numPr>
        <w:rPr>
          <w:rFonts w:ascii="Arial" w:cs="Arial" w:eastAsia="Arial" w:hAnsi="Arial"/>
          <w:sz w:val="14"/>
          <w:szCs w:val="14"/>
          <w:color w:val="auto"/>
        </w:rPr>
      </w:pPr>
      <w:r>
        <w:rPr>
          <w:rFonts w:ascii="Arial" w:cs="Arial" w:eastAsia="Arial" w:hAnsi="Arial"/>
          <w:sz w:val="17"/>
          <w:szCs w:val="17"/>
          <w:color w:val="auto"/>
        </w:rPr>
        <w:t>Minimum lease payments have not been reduced by sublease rentals of $1.6 million due in the future under non-cancelable subleases.</w:t>
      </w:r>
    </w:p>
    <w:p>
      <w:pPr>
        <w:spacing w:after="0" w:line="23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Future minimum payments determined under the previous accounting standards for operating lease obligations, including committed leases that had not yet commenced, as of February 2, 2019, were as follows (in thousands):</w:t>
      </w:r>
    </w:p>
    <w:p>
      <w:pPr>
        <w:spacing w:after="0" w:line="211"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192,632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193,878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192,610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188,048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177,750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1,172,506</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Total minimum lease payments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2,117,424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Lease minimum sublease income</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(7,719)</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minimum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89"/>
              </w:rPr>
              <w:t>2,109,705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0" w:right="1040" w:hanging="5344"/>
        <w:spacing w:after="0" w:line="449" w:lineRule="auto"/>
        <w:tabs>
          <w:tab w:leader="none" w:pos="351" w:val="left"/>
        </w:tabs>
        <w:numPr>
          <w:ilvl w:val="0"/>
          <w:numId w:val="214"/>
        </w:numPr>
        <w:rPr>
          <w:rFonts w:ascii="Arial" w:cs="Arial" w:eastAsia="Arial" w:hAnsi="Arial"/>
          <w:sz w:val="15"/>
          <w:szCs w:val="15"/>
          <w:color w:val="auto"/>
        </w:rPr>
      </w:pPr>
      <w:r>
        <w:rPr>
          <w:rFonts w:ascii="Arial" w:cs="Arial" w:eastAsia="Arial" w:hAnsi="Arial"/>
          <w:sz w:val="18"/>
          <w:szCs w:val="18"/>
          <w:color w:val="auto"/>
        </w:rPr>
        <w:t>Minimum lease payments have not been reduced by sublease rentals of $7.7 million due in the future under non-cancelable subleases. F-33</w:t>
      </w:r>
    </w:p>
    <w:p>
      <w:pPr>
        <w:sectPr>
          <w:pgSz w:w="11900" w:h="16838" w:orient="portrait"/>
          <w:cols w:equalWidth="0" w:num="1">
            <w:col w:w="11020"/>
          </w:cols>
          <w:pgMar w:left="320" w:top="459" w:right="5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7200" w:hanging="444"/>
        <w:spacing w:after="0" w:line="453" w:lineRule="auto"/>
        <w:tabs>
          <w:tab w:leader="none" w:pos="552" w:val="left"/>
        </w:tabs>
        <w:numPr>
          <w:ilvl w:val="0"/>
          <w:numId w:val="2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Technology Related Commitments and Other</w:t>
      </w:r>
    </w:p>
    <w:p>
      <w:pPr>
        <w:spacing w:after="0" w:line="1" w:lineRule="exact"/>
        <w:rPr>
          <w:sz w:val="20"/>
          <w:szCs w:val="20"/>
          <w:color w:val="auto"/>
        </w:rPr>
      </w:pPr>
    </w:p>
    <w:p>
      <w:pPr>
        <w:ind w:left="560" w:right="80" w:firstLine="423"/>
        <w:spacing w:after="0" w:line="342" w:lineRule="auto"/>
        <w:rPr>
          <w:sz w:val="20"/>
          <w:szCs w:val="20"/>
          <w:color w:val="auto"/>
        </w:rPr>
      </w:pPr>
      <w:r>
        <w:rPr>
          <w:rFonts w:ascii="Arial" w:cs="Arial" w:eastAsia="Arial" w:hAnsi="Arial"/>
          <w:sz w:val="16"/>
          <w:szCs w:val="16"/>
          <w:color w:val="auto"/>
        </w:rPr>
        <w:t>As of February 1, 2020, we have obligations under technology related contractual commitments as well as other commitments, such as construction commitments, in the amount of $29.8 million. Of such commitments, approximately $20.6 million is payable in the next 12 months.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Commitments Related to Monitoring Agreement</w:t>
      </w:r>
    </w:p>
    <w:p>
      <w:pPr>
        <w:spacing w:after="0" w:line="117" w:lineRule="exact"/>
        <w:rPr>
          <w:sz w:val="20"/>
          <w:szCs w:val="20"/>
          <w:color w:val="auto"/>
        </w:rPr>
      </w:pPr>
    </w:p>
    <w:p>
      <w:pPr>
        <w:ind w:left="560" w:right="480" w:firstLine="423"/>
        <w:spacing w:after="0" w:line="277" w:lineRule="auto"/>
        <w:rPr>
          <w:sz w:val="20"/>
          <w:szCs w:val="20"/>
          <w:color w:val="auto"/>
        </w:rPr>
      </w:pPr>
      <w:r>
        <w:rPr>
          <w:rFonts w:ascii="Arial" w:cs="Arial" w:eastAsia="Arial" w:hAnsi="Arial"/>
          <w:sz w:val="18"/>
          <w:szCs w:val="18"/>
          <w:color w:val="auto"/>
        </w:rPr>
        <w:t>As of February 1, 2020, we have obligations under the Monitoring Agreement (see Note 13) in the amount of $14.4 million, of which $4.1 million is payable in the next 12 months.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17" w:lineRule="exact"/>
        <w:rPr>
          <w:sz w:val="20"/>
          <w:szCs w:val="20"/>
          <w:color w:val="auto"/>
        </w:rPr>
      </w:pPr>
    </w:p>
    <w:p>
      <w:pPr>
        <w:ind w:left="560" w:right="60" w:firstLine="423"/>
        <w:spacing w:after="0" w:line="286" w:lineRule="auto"/>
        <w:rPr>
          <w:sz w:val="20"/>
          <w:szCs w:val="20"/>
          <w:color w:val="auto"/>
        </w:rPr>
      </w:pPr>
      <w:r>
        <w:rPr>
          <w:rFonts w:ascii="Arial" w:cs="Arial" w:eastAsia="Arial" w:hAnsi="Arial"/>
          <w:sz w:val="17"/>
          <w:szCs w:val="17"/>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right="100" w:firstLine="423"/>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Sponsorship Agreements and Intellectual Property Commitments</w:t>
      </w:r>
    </w:p>
    <w:p>
      <w:pPr>
        <w:spacing w:after="0" w:line="117" w:lineRule="exact"/>
        <w:rPr>
          <w:sz w:val="20"/>
          <w:szCs w:val="20"/>
          <w:color w:val="auto"/>
        </w:rPr>
      </w:pPr>
    </w:p>
    <w:p>
      <w:pPr>
        <w:ind w:left="560" w:right="280" w:firstLine="423"/>
        <w:spacing w:after="0" w:line="296" w:lineRule="auto"/>
        <w:rPr>
          <w:sz w:val="20"/>
          <w:szCs w:val="20"/>
          <w:color w:val="auto"/>
        </w:rPr>
      </w:pPr>
      <w:r>
        <w:rPr>
          <w:rFonts w:ascii="Arial" w:cs="Arial" w:eastAsia="Arial" w:hAnsi="Arial"/>
          <w:sz w:val="16"/>
          <w:szCs w:val="16"/>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2020, we have $7.7 million in related commitments through 2027, of which $4.2 million is payable in next 12 months.</w:t>
      </w:r>
    </w:p>
    <w:p>
      <w:pPr>
        <w:spacing w:after="0" w:line="184" w:lineRule="exact"/>
        <w:rPr>
          <w:sz w:val="20"/>
          <w:szCs w:val="20"/>
          <w:color w:val="auto"/>
        </w:rPr>
      </w:pPr>
    </w:p>
    <w:p>
      <w:pPr>
        <w:ind w:left="560" w:right="8720" w:hanging="444"/>
        <w:spacing w:after="0" w:line="378" w:lineRule="auto"/>
        <w:tabs>
          <w:tab w:leader="none" w:pos="552"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401(k) Plan</w:t>
      </w:r>
    </w:p>
    <w:p>
      <w:pPr>
        <w:ind w:left="560" w:firstLine="423"/>
        <w:spacing w:after="0" w:line="293" w:lineRule="auto"/>
        <w:rPr>
          <w:sz w:val="20"/>
          <w:szCs w:val="20"/>
          <w:color w:val="auto"/>
        </w:rPr>
      </w:pPr>
      <w:r>
        <w:rPr>
          <w:rFonts w:ascii="Arial" w:cs="Arial" w:eastAsia="Arial" w:hAnsi="Arial"/>
          <w:sz w:val="16"/>
          <w:szCs w:val="16"/>
          <w:color w:val="auto"/>
        </w:rPr>
        <w:t>We sponsor a safe harbor defined contribution 401(k) profit sharing plan, or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amounts contributed by a plan participant to the 401(k) Plan each pay period, on a dollar-for-dollar basis, up to 6% of a plan participant’s eligible compensation during such pay period. Annual Company profit sharing contributions are made at the discretion of our board of managers, subject to certain limitations. The 401(k) Plan may be amended or terminated at our</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discretion. Employer contributions related to the 401(k) Plan totaled $12.4 million, $11.9 million and $11.6 million in 2019, 2018 and 2017, respectively.</w:t>
      </w:r>
    </w:p>
    <w:p>
      <w:pPr>
        <w:spacing w:after="0" w:line="315" w:lineRule="exact"/>
        <w:rPr>
          <w:sz w:val="20"/>
          <w:szCs w:val="20"/>
          <w:color w:val="auto"/>
        </w:rPr>
      </w:pPr>
    </w:p>
    <w:p>
      <w:pPr>
        <w:ind w:left="540" w:hanging="424"/>
        <w:spacing w:after="0"/>
        <w:tabs>
          <w:tab w:leader="none" w:pos="5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11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Charged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3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to costs and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Deductions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at end of</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144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of period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February 1, 2020:</w:t>
            </w:r>
          </w:p>
        </w:tc>
        <w:tc>
          <w:tcPr>
            <w:tcW w:w="1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tcPr>
          <w:p>
            <w:pPr>
              <w:ind w:left="144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3,008</w:t>
            </w:r>
          </w:p>
        </w:tc>
        <w:tc>
          <w:tcPr>
            <w:tcW w:w="400" w:type="dxa"/>
            <w:vAlign w:val="bottom"/>
            <w:gridSpan w:val="2"/>
          </w:tcPr>
          <w:p>
            <w:pPr>
              <w:ind w:left="30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499</w:t>
            </w:r>
          </w:p>
        </w:tc>
        <w:tc>
          <w:tcPr>
            <w:tcW w:w="4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ind w:right="184"/>
              <w:spacing w:after="0"/>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5"/>
                <w:szCs w:val="15"/>
                <w:b w:val="1"/>
                <w:bCs w:val="1"/>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3,275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return allowance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7"/>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7"/>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Inventory shrink adjustments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19,271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62,975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(69,355)</w:t>
            </w:r>
          </w:p>
        </w:tc>
        <w:tc>
          <w:tcPr>
            <w:tcW w:w="460" w:type="dxa"/>
            <w:vAlign w:val="bottom"/>
          </w:tcPr>
          <w:p>
            <w:pPr>
              <w:jc w:val="right"/>
              <w:ind w:right="184"/>
              <w:spacing w:after="0"/>
              <w:rPr>
                <w:sz w:val="20"/>
                <w:szCs w:val="20"/>
                <w:color w:val="auto"/>
              </w:rPr>
            </w:pPr>
            <w:r>
              <w:rPr>
                <w:rFonts w:ascii="Arial" w:cs="Arial" w:eastAsia="Arial" w:hAnsi="Arial"/>
                <w:sz w:val="15"/>
                <w:szCs w:val="15"/>
                <w:b w:val="1"/>
                <w:bCs w:val="1"/>
                <w:color w:val="auto"/>
                <w:w w:val="97"/>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12,891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Self-insurance reserves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0"/>
              </w:rPr>
              <w:t>22,807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61,220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(61,598)</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7"/>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22,429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February 2, 2019:</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 xml:space="preserve">(628) </w:t>
            </w:r>
            <w:r>
              <w:rPr>
                <w:rFonts w:ascii="Arial" w:cs="Arial" w:eastAsia="Arial" w:hAnsi="Arial"/>
                <w:sz w:val="15"/>
                <w:szCs w:val="15"/>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Sales return allowance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9,400</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(10,100)</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Inventory shrink adjustments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14,683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69,047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(64,459)</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19,271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Self-insurance reserves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19,942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(59,135)</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22,807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February 3, 2018:</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3,410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c>
          <w:tcPr>
            <w:tcW w:w="4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84"/>
              <w:spacing w:after="0"/>
              <w:rPr>
                <w:sz w:val="20"/>
                <w:szCs w:val="20"/>
                <w:color w:val="auto"/>
              </w:rPr>
            </w:pPr>
            <w:r>
              <w:rPr>
                <w:rFonts w:ascii="Arial" w:cs="Arial" w:eastAsia="Arial" w:hAnsi="Arial"/>
                <w:sz w:val="18"/>
                <w:szCs w:val="18"/>
                <w:color w:val="auto"/>
              </w:rPr>
              <w:t xml:space="preserve">(2,694) </w:t>
            </w:r>
            <w:r>
              <w:rPr>
                <w:rFonts w:ascii="Arial" w:cs="Arial" w:eastAsia="Arial" w:hAnsi="Arial"/>
                <w:sz w:val="15"/>
                <w:szCs w:val="15"/>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return allowance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Inventory shrink adjustments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5,976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93,248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(84,541)</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14,683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Self-insurance reserves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18,027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67,419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(65,504)</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19,942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224"/>
        <w:spacing w:after="0"/>
        <w:tabs>
          <w:tab w:leader="none" w:pos="34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Represents write-offs to the reserve.</w:t>
      </w:r>
    </w:p>
    <w:p>
      <w:pPr>
        <w:spacing w:after="0" w:line="23" w:lineRule="exact"/>
        <w:rPr>
          <w:rFonts w:ascii="Arial" w:cs="Arial" w:eastAsia="Arial" w:hAnsi="Arial"/>
          <w:sz w:val="15"/>
          <w:szCs w:val="15"/>
          <w:color w:val="auto"/>
        </w:rPr>
      </w:pPr>
    </w:p>
    <w:p>
      <w:pPr>
        <w:ind w:left="340" w:hanging="224"/>
        <w:spacing w:after="0"/>
        <w:tabs>
          <w:tab w:leader="none" w:pos="340" w:val="left"/>
        </w:tabs>
        <w:numPr>
          <w:ilvl w:val="0"/>
          <w:numId w:val="218"/>
        </w:numPr>
        <w:rPr>
          <w:rFonts w:ascii="Arial" w:cs="Arial" w:eastAsia="Arial" w:hAnsi="Arial"/>
          <w:sz w:val="13"/>
          <w:szCs w:val="13"/>
          <w:color w:val="auto"/>
        </w:rPr>
      </w:pPr>
      <w:r>
        <w:rPr>
          <w:rFonts w:ascii="Arial" w:cs="Arial" w:eastAsia="Arial" w:hAnsi="Arial"/>
          <w:sz w:val="16"/>
          <w:szCs w:val="16"/>
          <w:color w:val="auto"/>
        </w:rPr>
        <w:t>Represents the monthly increase (decrease) in the required reserve based on the Company’s evaluation of anticipated merchandise returns.</w:t>
      </w:r>
    </w:p>
    <w:p>
      <w:pPr>
        <w:spacing w:after="0" w:line="32" w:lineRule="exact"/>
        <w:rPr>
          <w:rFonts w:ascii="Arial" w:cs="Arial" w:eastAsia="Arial" w:hAnsi="Arial"/>
          <w:sz w:val="13"/>
          <w:szCs w:val="13"/>
          <w:color w:val="auto"/>
        </w:rPr>
      </w:pPr>
    </w:p>
    <w:p>
      <w:pPr>
        <w:ind w:left="340" w:hanging="224"/>
        <w:spacing w:after="0"/>
        <w:tabs>
          <w:tab w:leader="none" w:pos="34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Represents the actual inventory shrinkage experienced at the time of physical inventories.</w:t>
      </w:r>
    </w:p>
    <w:p>
      <w:pPr>
        <w:spacing w:after="0" w:line="9" w:lineRule="exact"/>
        <w:rPr>
          <w:rFonts w:ascii="Arial" w:cs="Arial" w:eastAsia="Arial" w:hAnsi="Arial"/>
          <w:sz w:val="15"/>
          <w:szCs w:val="15"/>
          <w:color w:val="auto"/>
        </w:rPr>
      </w:pPr>
    </w:p>
    <w:p>
      <w:pPr>
        <w:ind w:left="340" w:hanging="224"/>
        <w:spacing w:after="0"/>
        <w:tabs>
          <w:tab w:leader="none" w:pos="340" w:val="left"/>
        </w:tabs>
        <w:numPr>
          <w:ilvl w:val="0"/>
          <w:numId w:val="218"/>
        </w:numPr>
        <w:rPr>
          <w:rFonts w:ascii="Arial" w:cs="Arial" w:eastAsia="Arial" w:hAnsi="Arial"/>
          <w:sz w:val="15"/>
          <w:szCs w:val="15"/>
          <w:color w:val="auto"/>
        </w:rPr>
      </w:pPr>
      <w:r>
        <w:rPr>
          <w:rFonts w:ascii="Arial" w:cs="Arial" w:eastAsia="Arial" w:hAnsi="Arial"/>
          <w:sz w:val="18"/>
          <w:szCs w:val="18"/>
          <w:color w:val="auto"/>
        </w:rPr>
        <w:t>Represents claim payments for self-insured claims.</w:t>
      </w:r>
    </w:p>
    <w:p>
      <w:pPr>
        <w:spacing w:after="0" w:line="355" w:lineRule="exact"/>
        <w:rPr>
          <w:sz w:val="20"/>
          <w:szCs w:val="20"/>
          <w:color w:val="auto"/>
        </w:rPr>
      </w:pPr>
    </w:p>
    <w:p>
      <w:pPr>
        <w:ind w:left="540" w:hanging="424"/>
        <w:spacing w:after="0"/>
        <w:tabs>
          <w:tab w:leader="none" w:pos="54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3rd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4th</w:t>
            </w:r>
          </w:p>
        </w:tc>
      </w:tr>
      <w:tr>
        <w:trPr>
          <w:trHeight w:val="171"/>
        </w:trPr>
        <w:tc>
          <w:tcPr>
            <w:tcW w:w="404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1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1,076,792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1,237,410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1,145,203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1,370,492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312,996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385,204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362,422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370,532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301,602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312,570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309,246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328,315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72,634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42,217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25,549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24,585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24,136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(41,138)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25,406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48,347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28,552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17,738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1,119,480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1,262,207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1,060,188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1,342,018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387,130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328,333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332,133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295,278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317,164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300,195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326,365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27,608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42,103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(21,458)</w:t>
            </w:r>
          </w:p>
        </w:tc>
      </w:tr>
      <w:tr>
        <w:trPr>
          <w:trHeight w:val="365"/>
        </w:trPr>
        <w:tc>
          <w:tcPr>
            <w:tcW w:w="404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F-35</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680"/>
          </w:cols>
          <w:pgMar w:left="320" w:top="459" w:right="8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560" w:right="200" w:firstLine="423"/>
        <w:spacing w:after="0" w:line="277" w:lineRule="auto"/>
        <w:rPr>
          <w:sz w:val="20"/>
          <w:szCs w:val="20"/>
          <w:color w:val="auto"/>
        </w:rPr>
      </w:pPr>
      <w:r>
        <w:rPr>
          <w:rFonts w:ascii="Arial" w:cs="Arial" w:eastAsia="Arial" w:hAnsi="Arial"/>
          <w:sz w:val="18"/>
          <w:szCs w:val="18"/>
          <w:color w:val="auto"/>
        </w:rPr>
        <w:t>Our management evaluated events or transactions that occurred after February 1, 2020 through July 10, 2020. We identified the following matters to report:</w:t>
      </w:r>
    </w:p>
    <w:p>
      <w:pPr>
        <w:spacing w:after="0" w:line="170" w:lineRule="exact"/>
        <w:rPr>
          <w:sz w:val="20"/>
          <w:szCs w:val="20"/>
          <w:color w:val="auto"/>
        </w:rPr>
      </w:pPr>
    </w:p>
    <w:p>
      <w:pPr>
        <w:ind w:left="560" w:right="100" w:firstLine="423"/>
        <w:spacing w:after="0" w:line="290" w:lineRule="auto"/>
        <w:rPr>
          <w:sz w:val="20"/>
          <w:szCs w:val="20"/>
          <w:color w:val="auto"/>
        </w:rPr>
      </w:pPr>
      <w:r>
        <w:rPr>
          <w:rFonts w:ascii="Arial" w:cs="Arial" w:eastAsia="Arial" w:hAnsi="Arial"/>
          <w:sz w:val="16"/>
          <w:szCs w:val="16"/>
          <w:color w:val="auto"/>
        </w:rPr>
        <w:t>The global outbreak of COVID-19, which was recently declared a global pandemic by the World Health Organization, has resulted in federal, state and local authority recommendations or requirements aimed at slowing the spread of the virus such as self-quarantining, avoiding large group gatherings, restricting travel and closing of certain businesses. These measures could potentially have a negative impact on our operations, from lower customer traffic and sales in our brick and mortar stores, to potential supply chain interruptions in our distribution centers and from our third party vendors. The situation is rapidly evolving, and as a result of unpredictability regarding the duration and severity of the pandemic, we cannot reasonably estimate its future impact to our business as of the date of this report. Due to this uncertainty, the Company borrowed $500 million under the Amended ABL Facility in March 2020 as a precautionary measure to ensure financial flexibility, and we subsequently repaid the entire $500 million outstanding balance under our Amended ABL Facility in June 2020.</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On June 30, 2020, New Academy Holding Company, LLC purchased 100 shares of common stock from Academy Sports and Outdoors, Inc.</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purchase price per share equal to the par value per share of such shares, or $1 in the aggregate.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Academy Sports and Outdoors, Inc.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have audited the accompanying balance sheet of Academy Sports and Outdoors, Inc. (the “Company”) as of June 30, 2020 and the related notes (collectively referred to as the “financial statement”). In our opinion, the financial statement presents fairly, in all material respects, the financial position of the Company as of June 30, 2020,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assessing the accounting principles used and significant estimates made by management, as well as evaluating the overall presentation of the financial statement. We believe that our audit of the financial statement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10,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20" w:type="dxa"/>
            <w:vAlign w:val="bottom"/>
          </w:tcPr>
          <w:p>
            <w:pPr>
              <w:ind w:left="3680"/>
              <w:spacing w:after="0"/>
              <w:rPr>
                <w:sz w:val="20"/>
                <w:szCs w:val="20"/>
                <w:color w:val="auto"/>
              </w:rPr>
            </w:pPr>
            <w:r>
              <w:rPr>
                <w:rFonts w:ascii="Arial" w:cs="Arial" w:eastAsia="Arial" w:hAnsi="Arial"/>
                <w:sz w:val="18"/>
                <w:szCs w:val="18"/>
                <w:b w:val="1"/>
                <w:bCs w:val="1"/>
                <w:color w:val="auto"/>
              </w:rPr>
              <w:t>ACADEMY SPORTS AND OUTDOORS, INC.</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120" w:type="dxa"/>
            <w:vAlign w:val="bottom"/>
          </w:tcPr>
          <w:p>
            <w:pPr>
              <w:ind w:left="4740"/>
              <w:spacing w:after="0"/>
              <w:rPr>
                <w:sz w:val="20"/>
                <w:szCs w:val="20"/>
                <w:color w:val="auto"/>
              </w:rPr>
            </w:pPr>
            <w:r>
              <w:rPr>
                <w:rFonts w:ascii="Arial" w:cs="Arial" w:eastAsia="Arial" w:hAnsi="Arial"/>
                <w:sz w:val="18"/>
                <w:szCs w:val="18"/>
                <w:b w:val="1"/>
                <w:bCs w:val="1"/>
                <w:color w:val="auto"/>
              </w:rPr>
              <w:t>BALANCE SHEET</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120" w:type="dxa"/>
            <w:vAlign w:val="bottom"/>
            <w:vMerge w:val="restart"/>
          </w:tcPr>
          <w:p>
            <w:pPr>
              <w:ind w:left="4220"/>
              <w:spacing w:after="0"/>
              <w:rPr>
                <w:sz w:val="20"/>
                <w:szCs w:val="20"/>
                <w:color w:val="auto"/>
              </w:rPr>
            </w:pPr>
            <w:r>
              <w:rPr>
                <w:rFonts w:ascii="Arial" w:cs="Arial" w:eastAsia="Arial" w:hAnsi="Arial"/>
                <w:sz w:val="18"/>
                <w:szCs w:val="18"/>
                <w:b w:val="1"/>
                <w:bCs w:val="1"/>
                <w:color w:val="auto"/>
              </w:rPr>
              <w:t>ASSETS</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June 30, 2020</w:t>
            </w:r>
          </w:p>
        </w:tc>
        <w:tc>
          <w:tcPr>
            <w:tcW w:w="0" w:type="dxa"/>
            <w:vAlign w:val="bottom"/>
          </w:tcPr>
          <w:p>
            <w:pPr>
              <w:spacing w:after="0"/>
              <w:rPr>
                <w:sz w:val="1"/>
                <w:szCs w:val="1"/>
                <w:color w:val="auto"/>
              </w:rPr>
            </w:pPr>
          </w:p>
        </w:tc>
      </w:tr>
      <w:tr>
        <w:trPr>
          <w:trHeight w:val="209"/>
        </w:trPr>
        <w:tc>
          <w:tcPr>
            <w:tcW w:w="10120" w:type="dxa"/>
            <w:vAlign w:val="bottom"/>
            <w:vMerge w:val="continue"/>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20" w:type="dxa"/>
            <w:vAlign w:val="bottom"/>
            <w:vMerge w:val="restart"/>
          </w:tcPr>
          <w:p>
            <w:pPr>
              <w:ind w:left="340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 shares authorized, 100 shares issued and outstanding</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540" w:hanging="424"/>
        <w:spacing w:after="0"/>
        <w:tabs>
          <w:tab w:leader="none" w:pos="5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Academy Sports and Outdoors, Inc., or the Corporation, was organized as a Delaware corporation on June 30, 2020. The Corporation’s fiscal year represents the 52 or 53 weeks ending on the Saturday closest to January 31. Pursuant to a series of reorganization transactions, it is anticipated that the Corporation will be the parent of New Academy Holding Company, LLC, a Delaware limited liability company.</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Following the anticipated reorganization transactions, the Corporation will continue to conduct the business now conducted by New Academy Holding Company, LLC and its subsidiaries.</w:t>
      </w:r>
    </w:p>
    <w:p>
      <w:pPr>
        <w:spacing w:after="0" w:line="315" w:lineRule="exact"/>
        <w:rPr>
          <w:sz w:val="20"/>
          <w:szCs w:val="20"/>
          <w:color w:val="auto"/>
        </w:rPr>
      </w:pPr>
    </w:p>
    <w:p>
      <w:pPr>
        <w:ind w:left="540" w:hanging="424"/>
        <w:spacing w:after="0"/>
        <w:tabs>
          <w:tab w:leader="none" w:pos="5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or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328" w:lineRule="exact"/>
        <w:rPr>
          <w:sz w:val="20"/>
          <w:szCs w:val="20"/>
          <w:color w:val="auto"/>
        </w:rPr>
      </w:pPr>
    </w:p>
    <w:p>
      <w:pPr>
        <w:ind w:left="540" w:hanging="424"/>
        <w:spacing w:after="0"/>
        <w:tabs>
          <w:tab w:leader="none" w:pos="5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Corporation is authorized to issue 1,000 shares of Common Stock, par value $0.01 per share, under the Corporation’s certificate of incorporation in effect as of June 30, 2020. In exchange for $1.00, the Corporation has issued 100 shares of Common Stock, all of which were held by New Academy Holding Company, LLC as of June 30, 2020.</w:t>
      </w:r>
    </w:p>
    <w:p>
      <w:pPr>
        <w:spacing w:after="0" w:line="328" w:lineRule="exact"/>
        <w:rPr>
          <w:sz w:val="20"/>
          <w:szCs w:val="20"/>
          <w:color w:val="auto"/>
        </w:rPr>
      </w:pPr>
    </w:p>
    <w:p>
      <w:pPr>
        <w:ind w:left="540" w:hanging="424"/>
        <w:spacing w:after="0"/>
        <w:tabs>
          <w:tab w:leader="none" w:pos="5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Events and transactions occurring through July 10, 2020, the date of issuance of the financial statement, have been evaluated by management and, when appropriate, recognized or disclosed in the financial statements or notes to the consolidated financial statements.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9"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 2020</w:t>
            </w:r>
          </w:p>
        </w:tc>
        <w:tc>
          <w:tcPr>
            <w:tcW w:w="2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c>
          <w:tcPr>
            <w:tcW w:w="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2, 2019</w:t>
            </w:r>
          </w:p>
        </w:tc>
        <w:tc>
          <w:tcPr>
            <w:tcW w:w="0" w:type="dxa"/>
            <w:vAlign w:val="bottom"/>
          </w:tcPr>
          <w:p>
            <w:pPr>
              <w:spacing w:after="0"/>
              <w:rPr>
                <w:sz w:val="1"/>
                <w:szCs w:val="1"/>
                <w:color w:val="auto"/>
              </w:rPr>
            </w:pPr>
          </w:p>
        </w:tc>
      </w:tr>
      <w:tr>
        <w:trPr>
          <w:trHeight w:val="142"/>
        </w:trPr>
        <w:tc>
          <w:tcPr>
            <w:tcW w:w="6120" w:type="dxa"/>
            <w:vAlign w:val="bottom"/>
            <w:tcBorders>
              <w:top w:val="single" w:sz="8" w:color="CCEEFF"/>
            </w:tcBorders>
            <w:shd w:val="clear" w:color="auto" w:fill="CCEEFF"/>
          </w:tcPr>
          <w:p>
            <w:pPr>
              <w:ind w:left="2640"/>
              <w:spacing w:after="0" w:line="142" w:lineRule="exact"/>
              <w:rPr>
                <w:sz w:val="20"/>
                <w:szCs w:val="20"/>
                <w:color w:val="auto"/>
              </w:rPr>
            </w:pPr>
            <w:r>
              <w:rPr>
                <w:rFonts w:ascii="Arial" w:cs="Arial" w:eastAsia="Arial" w:hAnsi="Arial"/>
                <w:sz w:val="15"/>
                <w:szCs w:val="15"/>
                <w:b w:val="1"/>
                <w:bCs w:val="1"/>
                <w:color w:val="auto"/>
              </w:rPr>
              <w:t>ASSETS</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CURRENT ASSETS: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Cash and cash equivalents</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869,725</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149,385</w:t>
            </w:r>
          </w:p>
        </w:tc>
        <w:tc>
          <w:tcPr>
            <w:tcW w:w="58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43,538</w:t>
            </w:r>
          </w:p>
        </w:tc>
        <w:tc>
          <w:tcPr>
            <w:tcW w:w="0" w:type="dxa"/>
            <w:vAlign w:val="bottom"/>
          </w:tcPr>
          <w:p>
            <w:pPr>
              <w:spacing w:after="0"/>
              <w:rPr>
                <w:sz w:val="1"/>
                <w:szCs w:val="1"/>
                <w:color w:val="auto"/>
              </w:rPr>
            </w:pPr>
          </w:p>
        </w:tc>
      </w:tr>
      <w:tr>
        <w:trPr>
          <w:trHeight w:val="149"/>
        </w:trPr>
        <w:tc>
          <w:tcPr>
            <w:tcW w:w="6120" w:type="dxa"/>
            <w:vAlign w:val="bottom"/>
          </w:tcPr>
          <w:p>
            <w:pPr>
              <w:ind w:left="300"/>
              <w:spacing w:after="0" w:line="149" w:lineRule="exact"/>
              <w:rPr>
                <w:sz w:val="20"/>
                <w:szCs w:val="20"/>
                <w:color w:val="auto"/>
              </w:rPr>
            </w:pPr>
            <w:r>
              <w:rPr>
                <w:rFonts w:ascii="Arial" w:cs="Arial" w:eastAsia="Arial" w:hAnsi="Arial"/>
                <w:sz w:val="15"/>
                <w:szCs w:val="15"/>
                <w:color w:val="auto"/>
                <w:w w:val="97"/>
              </w:rPr>
              <w:t>Accounts receivable - less allowance for doubtful accounts of $1,286, $3,275 and $3,642,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5"/>
                <w:szCs w:val="15"/>
                <w:b w:val="1"/>
                <w:bCs w:val="1"/>
                <w:color w:val="auto"/>
              </w:rPr>
              <w:t>11,908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460"/>
              <w:spacing w:after="0"/>
              <w:rPr>
                <w:sz w:val="20"/>
                <w:szCs w:val="20"/>
                <w:color w:val="auto"/>
              </w:rPr>
            </w:pPr>
            <w:r>
              <w:rPr>
                <w:rFonts w:ascii="Arial" w:cs="Arial" w:eastAsia="Arial" w:hAnsi="Arial"/>
                <w:sz w:val="15"/>
                <w:szCs w:val="15"/>
                <w:color w:val="auto"/>
              </w:rPr>
              <w:t>respectively</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13,999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9,798</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Merchandise inventories, net</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1,082,907</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1,099,749</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1,331,969</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25,789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24,548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26,140</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Assets held for sale</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1,763</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1,763</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1,763</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current assets</w:t>
            </w: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1,992,092</w:t>
            </w:r>
          </w:p>
        </w:tc>
        <w:tc>
          <w:tcPr>
            <w:tcW w:w="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1,289,444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1,413,208</w:t>
            </w:r>
          </w:p>
        </w:tc>
        <w:tc>
          <w:tcPr>
            <w:tcW w:w="0" w:type="dxa"/>
            <w:vAlign w:val="bottom"/>
          </w:tcPr>
          <w:p>
            <w:pPr>
              <w:spacing w:after="0"/>
              <w:rPr>
                <w:sz w:val="1"/>
                <w:szCs w:val="1"/>
                <w:color w:val="auto"/>
              </w:rPr>
            </w:pPr>
          </w:p>
        </w:tc>
      </w:tr>
      <w:tr>
        <w:trPr>
          <w:trHeight w:val="85"/>
        </w:trPr>
        <w:tc>
          <w:tcPr>
            <w:tcW w:w="6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PROPERTY AND EQUIPMENT, NET</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382,620</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441,407</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454,406</w:t>
            </w: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RIGHT-OF-USE ASSETS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1,163,361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1,145,705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1,165,826</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TRADE NAME</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577,000</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577,000</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577,000</w:t>
            </w: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GOODWILL</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861,920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861,920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861,920</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OTHER NONCURRENT ASSETS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4,923</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15,845</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16,349</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spacing w:after="0" w:line="169" w:lineRule="exact"/>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4,981,916</w:t>
            </w: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4,331,321</w:t>
            </w:r>
          </w:p>
        </w:tc>
        <w:tc>
          <w:tcPr>
            <w:tcW w:w="580" w:type="dxa"/>
            <w:vAlign w:val="bottom"/>
            <w:gridSpan w:val="2"/>
          </w:tcPr>
          <w:p>
            <w:pPr>
              <w:ind w:left="300"/>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4,488,709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920"/>
              <w:spacing w:after="0"/>
              <w:rPr>
                <w:sz w:val="20"/>
                <w:szCs w:val="20"/>
                <w:color w:val="auto"/>
              </w:rPr>
            </w:pPr>
            <w:r>
              <w:rPr>
                <w:rFonts w:ascii="Arial" w:cs="Arial" w:eastAsia="Arial" w:hAnsi="Arial"/>
                <w:sz w:val="15"/>
                <w:szCs w:val="15"/>
                <w:b w:val="1"/>
                <w:bCs w:val="1"/>
                <w:color w:val="auto"/>
              </w:rPr>
              <w:t>LIABILITIES AND STOCKHOLDERS’/PARTNERS’ EQUITY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CURRENT LIABILITIES: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payable</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868,879</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428,823</w:t>
            </w:r>
          </w:p>
        </w:tc>
        <w:tc>
          <w:tcPr>
            <w:tcW w:w="58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529,926</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274,612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211,381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219,992</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Current lease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79,361</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76,329</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73,252</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Current maturities of long-term debt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18,250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34,116</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18,250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b w:val="1"/>
                <w:bCs w:val="1"/>
                <w:color w:val="auto"/>
              </w:rPr>
              <w:t>Total current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1,241,102</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750,649</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841,420</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5"/>
                <w:szCs w:val="15"/>
                <w:b w:val="1"/>
                <w:bCs w:val="1"/>
                <w:color w:val="auto"/>
              </w:rPr>
              <w:t>LONG-TERM DEBT, net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1,408,885</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1,428,542</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1,492,609</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LONG-TERM LEASE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1,171,420</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1,141,896</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1,163,250</w:t>
            </w: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DEFERRED TAX LIABILITIES, NET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132,701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40"/>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OTHER LONG-TERM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43,244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19,197</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19,529</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liabilities</w:t>
            </w: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3,997,352</w:t>
            </w: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3,340,284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3,516,808</w:t>
            </w:r>
          </w:p>
        </w:tc>
        <w:tc>
          <w:tcPr>
            <w:tcW w:w="0" w:type="dxa"/>
            <w:vAlign w:val="bottom"/>
          </w:tcPr>
          <w:p>
            <w:pPr>
              <w:spacing w:after="0"/>
              <w:rPr>
                <w:sz w:val="1"/>
                <w:szCs w:val="1"/>
                <w:color w:val="auto"/>
              </w:rPr>
            </w:pPr>
          </w:p>
        </w:tc>
      </w:tr>
      <w:tr>
        <w:trPr>
          <w:trHeight w:val="115"/>
        </w:trPr>
        <w:tc>
          <w:tcPr>
            <w:tcW w:w="6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COMMITMENTS AND CONTINGENCIES (NOTE 14)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6120" w:type="dxa"/>
            <w:vAlign w:val="bottom"/>
          </w:tcPr>
          <w:p>
            <w:pPr>
              <w:spacing w:after="0"/>
              <w:rPr>
                <w:sz w:val="20"/>
                <w:szCs w:val="20"/>
                <w:color w:val="auto"/>
              </w:rPr>
            </w:pPr>
            <w:r>
              <w:rPr>
                <w:rFonts w:ascii="Arial" w:cs="Arial" w:eastAsia="Arial" w:hAnsi="Arial"/>
                <w:sz w:val="15"/>
                <w:szCs w:val="15"/>
                <w:b w:val="1"/>
                <w:bCs w:val="1"/>
                <w:color w:val="auto"/>
              </w:rPr>
              <w:t>REDEEMABLE MEMBERSHIP UNITS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2,818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2,818</w:t>
            </w:r>
          </w:p>
        </w:tc>
        <w:tc>
          <w:tcPr>
            <w:tcW w:w="0" w:type="dxa"/>
            <w:vAlign w:val="bottom"/>
          </w:tcPr>
          <w:p>
            <w:pPr>
              <w:spacing w:after="0"/>
              <w:rPr>
                <w:sz w:val="1"/>
                <w:szCs w:val="1"/>
                <w:color w:val="auto"/>
              </w:rPr>
            </w:pPr>
          </w:p>
        </w:tc>
      </w:tr>
      <w:tr>
        <w:trPr>
          <w:trHeight w:val="89"/>
        </w:trPr>
        <w:tc>
          <w:tcPr>
            <w:tcW w:w="6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
        </w:trPr>
        <w:tc>
          <w:tcPr>
            <w:tcW w:w="6120" w:type="dxa"/>
            <w:vAlign w:val="bottom"/>
            <w:shd w:val="clear" w:color="auto" w:fill="CCEEFF"/>
          </w:tcPr>
          <w:p>
            <w:pPr>
              <w:spacing w:after="0" w:line="6" w:lineRule="exact"/>
              <w:rPr>
                <w:sz w:val="20"/>
                <w:szCs w:val="20"/>
                <w:color w:val="auto"/>
              </w:rPr>
            </w:pPr>
            <w:r>
              <w:rPr>
                <w:rFonts w:ascii="Arial" w:cs="Arial" w:eastAsia="Arial" w:hAnsi="Arial"/>
                <w:sz w:val="1"/>
                <w:szCs w:val="1"/>
                <w:b w:val="1"/>
                <w:bCs w:val="1"/>
                <w:color w:val="auto"/>
              </w:rPr>
              <w:t>STOCKHOLDERS’/PARTNERS’ EQUITY  :</w:t>
            </w: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shd w:val="clear" w:color="auto" w:fill="CCEEFF"/>
          </w:tcPr>
          <w:p>
            <w:pPr>
              <w:ind w:left="2900"/>
              <w:spacing w:after="0"/>
              <w:rPr>
                <w:sz w:val="20"/>
                <w:szCs w:val="20"/>
                <w:color w:val="auto"/>
              </w:rPr>
            </w:pPr>
            <w:r>
              <w:rPr>
                <w:rFonts w:ascii="Arial" w:cs="Arial" w:eastAsia="Arial" w:hAnsi="Arial"/>
                <w:sz w:val="13"/>
                <w:szCs w:val="13"/>
                <w:b w:val="1"/>
                <w:bCs w:val="1"/>
                <w:color w:val="auto"/>
              </w:rPr>
              <w:t>(1)</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20" w:type="dxa"/>
            <w:vAlign w:val="bottom"/>
          </w:tcPr>
          <w:p>
            <w:pPr>
              <w:ind w:left="300"/>
              <w:spacing w:after="0" w:line="149" w:lineRule="exact"/>
              <w:rPr>
                <w:sz w:val="20"/>
                <w:szCs w:val="20"/>
                <w:color w:val="auto"/>
              </w:rPr>
            </w:pPr>
            <w:r>
              <w:rPr>
                <w:rFonts w:ascii="Arial" w:cs="Arial" w:eastAsia="Arial" w:hAnsi="Arial"/>
                <w:sz w:val="15"/>
                <w:szCs w:val="15"/>
                <w:color w:val="auto"/>
              </w:rPr>
              <w:t>Preferred stock, $0.01 par value, authorized 50,000,000 shares; none issued and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460"/>
              <w:spacing w:after="0"/>
              <w:rPr>
                <w:sz w:val="20"/>
                <w:szCs w:val="20"/>
                <w:color w:val="auto"/>
              </w:rPr>
            </w:pPr>
            <w:r>
              <w:rPr>
                <w:rFonts w:ascii="Arial" w:cs="Arial" w:eastAsia="Arial" w:hAnsi="Arial"/>
                <w:sz w:val="15"/>
                <w:szCs w:val="15"/>
                <w:color w:val="auto"/>
              </w:rPr>
              <w:t>outstanding</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61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6"/>
              </w:rPr>
              <w:t>Partners’ equity, membership units authorized, issued and outstanding were 72,468,164 as</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of February 1, 2020 and November 2, 2019</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996,285</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976,538</w:t>
            </w:r>
          </w:p>
        </w:tc>
        <w:tc>
          <w:tcPr>
            <w:tcW w:w="0" w:type="dxa"/>
            <w:vAlign w:val="bottom"/>
          </w:tcPr>
          <w:p>
            <w:pPr>
              <w:spacing w:after="0"/>
              <w:rPr>
                <w:sz w:val="1"/>
                <w:szCs w:val="1"/>
                <w:color w:val="auto"/>
              </w:rPr>
            </w:pPr>
          </w:p>
        </w:tc>
      </w:tr>
      <w:tr>
        <w:trPr>
          <w:trHeight w:val="149"/>
        </w:trPr>
        <w:tc>
          <w:tcPr>
            <w:tcW w:w="6120" w:type="dxa"/>
            <w:vAlign w:val="bottom"/>
          </w:tcPr>
          <w:p>
            <w:pPr>
              <w:ind w:left="300"/>
              <w:spacing w:after="0" w:line="149" w:lineRule="exact"/>
              <w:rPr>
                <w:sz w:val="20"/>
                <w:szCs w:val="20"/>
                <w:color w:val="auto"/>
              </w:rPr>
            </w:pPr>
            <w:r>
              <w:rPr>
                <w:rFonts w:ascii="Arial" w:cs="Arial" w:eastAsia="Arial" w:hAnsi="Arial"/>
                <w:sz w:val="15"/>
                <w:szCs w:val="15"/>
                <w:color w:val="auto"/>
                <w:w w:val="98"/>
              </w:rPr>
              <w:t>Common stock, $0.01 par value, authorized 300,000,000 shares; 88,103,975 issued and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5"/>
                <w:szCs w:val="15"/>
                <w:b w:val="1"/>
                <w:bCs w:val="1"/>
                <w:color w:val="auto"/>
              </w:rPr>
              <w:t>881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460"/>
              <w:spacing w:after="0"/>
              <w:rPr>
                <w:sz w:val="20"/>
                <w:szCs w:val="20"/>
                <w:color w:val="auto"/>
              </w:rPr>
            </w:pPr>
            <w:r>
              <w:rPr>
                <w:rFonts w:ascii="Arial" w:cs="Arial" w:eastAsia="Arial" w:hAnsi="Arial"/>
                <w:sz w:val="15"/>
                <w:szCs w:val="15"/>
                <w:color w:val="auto"/>
              </w:rPr>
              <w:t>outstanding as of October 31, 2020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93,064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40"/>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Retained earnings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895,646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40"/>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Accumulated other comprehensive loss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b w:val="1"/>
                <w:bCs w:val="1"/>
                <w:color w:val="auto"/>
              </w:rPr>
              <w:t>(5,027)</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(8,066)</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(7,455)</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Stockholders’/partners’ equity</w:t>
            </w: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984,564</w:t>
            </w: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988,219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969,083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b w:val="1"/>
                <w:bCs w:val="1"/>
                <w:color w:val="auto"/>
              </w:rPr>
              <w:t>Total liabilities and stockholders’/partners’ equity</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4,981,916</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4,331,321</w:t>
            </w:r>
          </w:p>
        </w:tc>
        <w:tc>
          <w:tcPr>
            <w:tcW w:w="58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4,488,709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5"/>
          <w:szCs w:val="15"/>
          <w:color w:val="auto"/>
        </w:rPr>
        <w:t>See Retrospective Presentation of Ownership Exchange in Note 2.</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1,349,076</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1,145,203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4,091,797</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3,459,405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908,565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782,781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2,856,840</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2,398,783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440,511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362,422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1,234,957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1,060,622</w:t>
            </w:r>
          </w:p>
        </w:tc>
        <w:tc>
          <w:tcPr>
            <w:tcW w:w="0" w:type="dxa"/>
            <w:vAlign w:val="bottom"/>
          </w:tcPr>
          <w:p>
            <w:pPr>
              <w:spacing w:after="0"/>
              <w:rPr>
                <w:sz w:val="1"/>
                <w:szCs w:val="1"/>
                <w:color w:val="auto"/>
              </w:rPr>
            </w:pPr>
          </w:p>
        </w:tc>
      </w:tr>
      <w:tr>
        <w:trPr>
          <w:trHeight w:val="310"/>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358,955</w:t>
            </w:r>
          </w:p>
        </w:tc>
        <w:tc>
          <w:tcPr>
            <w:tcW w:w="58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955,591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309,246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923,418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81,556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279,366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137,204</w:t>
            </w: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22,399</w:t>
            </w:r>
          </w:p>
        </w:tc>
        <w:tc>
          <w:tcPr>
            <w:tcW w:w="24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24,585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70,487</w:t>
            </w:r>
          </w:p>
        </w:tc>
        <w:tc>
          <w:tcPr>
            <w:tcW w:w="2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(7,831)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(857)</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58,393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217,567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104,219</w:t>
            </w: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(1,193)</w:t>
            </w:r>
          </w:p>
        </w:tc>
        <w:tc>
          <w:tcPr>
            <w:tcW w:w="24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325</w:t>
            </w:r>
          </w:p>
        </w:tc>
        <w:tc>
          <w:tcPr>
            <w:tcW w:w="2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28,552</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217,242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5"/>
                <w:szCs w:val="15"/>
                <w:color w:val="auto"/>
              </w:rPr>
              <w:t>(1)</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0.78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7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0.74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2.82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76,771</w:t>
            </w: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72,484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73,908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80,714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77,171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25"/>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9"/>
              </w:rPr>
              <w:t>Thirteen Weeks Ended</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3"/>
              </w:rPr>
              <w:t>Thirty-Nine Weeks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59,586</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28,552</w:t>
            </w:r>
          </w:p>
        </w:tc>
        <w:tc>
          <w:tcPr>
            <w:tcW w:w="58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217,242</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102,305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interest rate swaps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(331)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(5,371)</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(14,459)</w:t>
            </w:r>
          </w:p>
        </w:tc>
        <w:tc>
          <w:tcPr>
            <w:tcW w:w="0" w:type="dxa"/>
            <w:vAlign w:val="bottom"/>
          </w:tcPr>
          <w:p>
            <w:pPr>
              <w:spacing w:after="0"/>
              <w:rPr>
                <w:sz w:val="1"/>
                <w:szCs w:val="1"/>
                <w:color w:val="auto"/>
              </w:rPr>
            </w:pPr>
          </w:p>
        </w:tc>
      </w:tr>
      <w:tr>
        <w:trPr>
          <w:trHeight w:val="202"/>
        </w:trPr>
        <w:tc>
          <w:tcPr>
            <w:tcW w:w="4240" w:type="dxa"/>
            <w:vAlign w:val="bottom"/>
          </w:tcPr>
          <w:p>
            <w:pPr>
              <w:ind w:left="360"/>
              <w:spacing w:after="0" w:line="201" w:lineRule="exact"/>
              <w:rPr>
                <w:sz w:val="20"/>
                <w:szCs w:val="20"/>
                <w:color w:val="auto"/>
              </w:rPr>
            </w:pPr>
            <w:r>
              <w:rPr>
                <w:rFonts w:ascii="Arial" w:cs="Arial" w:eastAsia="Arial" w:hAnsi="Arial"/>
                <w:sz w:val="18"/>
                <w:szCs w:val="18"/>
                <w:color w:val="auto"/>
                <w:w w:val="97"/>
              </w:rPr>
              <w:t>Recognized interest (income) expense on interest</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2,811</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7,578</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540"/>
              <w:spacing w:after="0"/>
              <w:rPr>
                <w:sz w:val="20"/>
                <w:szCs w:val="20"/>
                <w:color w:val="auto"/>
              </w:rPr>
            </w:pPr>
            <w:r>
              <w:rPr>
                <w:rFonts w:ascii="Arial" w:cs="Arial" w:eastAsia="Arial" w:hAnsi="Arial"/>
                <w:sz w:val="18"/>
                <w:szCs w:val="18"/>
                <w:color w:val="auto"/>
              </w:rPr>
              <w:t>rate swaps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swaps from debt refinancing</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1,330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1,330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Tax expense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(498)</w:t>
            </w:r>
          </w:p>
        </w:tc>
        <w:tc>
          <w:tcPr>
            <w:tcW w:w="5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(498)</w:t>
            </w:r>
          </w:p>
        </w:tc>
        <w:tc>
          <w:tcPr>
            <w:tcW w:w="5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62,898</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27,381</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220,281</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86,402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PARTNERS’ /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89"/>
              </w:rPr>
              <w:t>Redeemable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Membership</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4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Membership</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60" w:type="dxa"/>
            <w:vAlign w:val="bottom"/>
            <w:gridSpan w:val="16"/>
            <w:vMerge w:val="restart"/>
          </w:tcPr>
          <w:p>
            <w:pPr>
              <w:jc w:val="right"/>
              <w:ind w:right="860"/>
              <w:spacing w:after="0"/>
              <w:rPr>
                <w:sz w:val="20"/>
                <w:szCs w:val="20"/>
                <w:color w:val="auto"/>
              </w:rPr>
            </w:pPr>
            <w:r>
              <w:rPr>
                <w:rFonts w:ascii="Arial" w:cs="Arial" w:eastAsia="Arial" w:hAnsi="Arial"/>
                <w:sz w:val="14"/>
                <w:szCs w:val="14"/>
                <w:b w:val="1"/>
                <w:bCs w:val="1"/>
                <w:color w:val="auto"/>
              </w:rPr>
              <w:t>Partners’ Equity / Stockholders’ Equity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720" w:type="dxa"/>
            <w:vAlign w:val="bottom"/>
            <w:gridSpan w:val="4"/>
          </w:tcPr>
          <w:p>
            <w:pPr>
              <w:jc w:val="center"/>
              <w:ind w:left="276"/>
              <w:spacing w:after="0"/>
              <w:rPr>
                <w:sz w:val="20"/>
                <w:szCs w:val="20"/>
                <w:color w:val="auto"/>
              </w:rPr>
            </w:pPr>
            <w:r>
              <w:rPr>
                <w:rFonts w:ascii="Arial" w:cs="Arial" w:eastAsia="Arial" w:hAnsi="Arial"/>
                <w:sz w:val="14"/>
                <w:szCs w:val="14"/>
                <w:b w:val="1"/>
                <w:bCs w:val="1"/>
                <w:color w:val="auto"/>
                <w:w w:val="97"/>
              </w:rPr>
              <w:t>Units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16"/>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10"/>
        </w:trPr>
        <w:tc>
          <w:tcPr>
            <w:tcW w:w="29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Total</w:t>
            </w: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80"/>
              <w:spacing w:after="0" w:line="140" w:lineRule="exact"/>
              <w:rPr>
                <w:sz w:val="20"/>
                <w:szCs w:val="20"/>
                <w:color w:val="auto"/>
              </w:rPr>
            </w:pPr>
            <w:r>
              <w:rPr>
                <w:rFonts w:ascii="Arial" w:cs="Arial" w:eastAsia="Arial" w:hAnsi="Arial"/>
                <w:sz w:val="13"/>
                <w:szCs w:val="13"/>
                <w:b w:val="1"/>
                <w:bCs w:val="1"/>
                <w:color w:val="auto"/>
                <w:w w:val="88"/>
              </w:rPr>
              <w:t>Common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1"/>
              </w:rPr>
              <w:t>Partners’ /</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Partners’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5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Retained</w:t>
            </w: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9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Stockholders’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Units </w:t>
            </w: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6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85"/>
              </w:rPr>
              <w:t>Amount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96"/>
              </w:rPr>
              <w:t>Shares</w:t>
            </w:r>
          </w:p>
        </w:tc>
        <w:tc>
          <w:tcPr>
            <w:tcW w:w="60" w:type="dxa"/>
            <w:vAlign w:val="bottom"/>
          </w:tcPr>
          <w:p>
            <w:pPr>
              <w:spacing w:after="0"/>
              <w:rPr>
                <w:sz w:val="11"/>
                <w:szCs w:val="11"/>
                <w:color w:val="auto"/>
              </w:rPr>
            </w:pPr>
          </w:p>
        </w:tc>
        <w:tc>
          <w:tcPr>
            <w:tcW w:w="5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Capital</w:t>
            </w:r>
          </w:p>
        </w:tc>
        <w:tc>
          <w:tcPr>
            <w:tcW w:w="5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Earnings</w:t>
            </w: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Equity</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Units /</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 xml:space="preserve">Units </w:t>
            </w:r>
            <w:r>
              <w:rPr>
                <w:rFonts w:ascii="Arial" w:cs="Arial" w:eastAsia="Arial" w:hAnsi="Arial"/>
                <w:sz w:val="10"/>
                <w:szCs w:val="10"/>
                <w:b w:val="1"/>
                <w:bCs w:val="1"/>
                <w:color w:val="auto"/>
                <w:w w:val="90"/>
              </w:rPr>
              <w:t>(1)</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 xml:space="preserve">Shares </w:t>
            </w:r>
            <w:r>
              <w:rPr>
                <w:rFonts w:ascii="Arial" w:cs="Arial" w:eastAsia="Arial" w:hAnsi="Arial"/>
                <w:sz w:val="10"/>
                <w:szCs w:val="10"/>
                <w:b w:val="1"/>
                <w:bCs w:val="1"/>
                <w:color w:val="auto"/>
                <w:w w:val="87"/>
              </w:rPr>
              <w:t>(1)</w:t>
            </w:r>
          </w:p>
        </w:tc>
        <w:tc>
          <w:tcPr>
            <w:tcW w:w="0" w:type="dxa"/>
            <w:vAlign w:val="bottom"/>
          </w:tcPr>
          <w:p>
            <w:pPr>
              <w:spacing w:after="0"/>
              <w:rPr>
                <w:sz w:val="1"/>
                <w:szCs w:val="1"/>
                <w:color w:val="auto"/>
              </w:rPr>
            </w:pPr>
          </w:p>
        </w:tc>
      </w:tr>
      <w:tr>
        <w:trPr>
          <w:trHeight w:val="128"/>
        </w:trPr>
        <w:tc>
          <w:tcPr>
            <w:tcW w:w="2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as of February 1, 2020</w:t>
            </w:r>
          </w:p>
        </w:tc>
        <w:tc>
          <w:tcPr>
            <w:tcW w:w="440" w:type="dxa"/>
            <w:vAlign w:val="bottom"/>
            <w:tcBorders>
              <w:top w:val="single" w:sz="8" w:color="auto"/>
              <w:bottom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b w:val="1"/>
                <w:bCs w:val="1"/>
                <w:color w:val="auto"/>
                <w:w w:val="73"/>
              </w:rPr>
              <w:t>162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2,818</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72,306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996,285</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(8,066)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988,219</w:t>
            </w: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72,468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00" w:type="dxa"/>
            <w:vAlign w:val="bottom"/>
          </w:tcPr>
          <w:p>
            <w:pPr>
              <w:ind w:left="240"/>
              <w:spacing w:after="0" w:line="142" w:lineRule="exact"/>
              <w:rPr>
                <w:sz w:val="20"/>
                <w:szCs w:val="20"/>
                <w:color w:val="auto"/>
              </w:rPr>
            </w:pPr>
            <w:r>
              <w:rPr>
                <w:rFonts w:ascii="Arial" w:cs="Arial" w:eastAsia="Arial" w:hAnsi="Arial"/>
                <w:sz w:val="13"/>
                <w:szCs w:val="13"/>
                <w:color w:val="auto"/>
              </w:rPr>
              <w:t>Net loss</w:t>
            </w:r>
          </w:p>
        </w:tc>
        <w:tc>
          <w:tcPr>
            <w:tcW w:w="440" w:type="dxa"/>
            <w:vAlign w:val="bottom"/>
          </w:tcPr>
          <w:p>
            <w:pPr>
              <w:ind w:left="2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ind w:left="160"/>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w w:val="99"/>
              </w:rPr>
              <w:t>(10,020)</w:t>
            </w:r>
          </w:p>
        </w:tc>
        <w:tc>
          <w:tcPr>
            <w:tcW w:w="1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(10,020)</w:t>
            </w:r>
          </w:p>
        </w:tc>
        <w:tc>
          <w:tcPr>
            <w:tcW w:w="180" w:type="dxa"/>
            <w:vAlign w:val="bottom"/>
          </w:tcPr>
          <w:p>
            <w:pPr>
              <w:spacing w:after="0"/>
              <w:rPr>
                <w:sz w:val="12"/>
                <w:szCs w:val="12"/>
                <w:color w:val="auto"/>
              </w:rPr>
            </w:pPr>
          </w:p>
        </w:tc>
        <w:tc>
          <w:tcPr>
            <w:tcW w:w="800" w:type="dxa"/>
            <w:vAlign w:val="bottom"/>
          </w:tcPr>
          <w:p>
            <w:pPr>
              <w:jc w:val="right"/>
              <w:ind w:right="16"/>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Equity compensation</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2,109</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2,109</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tcPr>
          <w:p>
            <w:pPr>
              <w:ind w:left="240"/>
              <w:spacing w:after="0" w:line="121" w:lineRule="exact"/>
              <w:rPr>
                <w:sz w:val="20"/>
                <w:szCs w:val="20"/>
                <w:color w:val="auto"/>
              </w:rPr>
            </w:pPr>
            <w:r>
              <w:rPr>
                <w:rFonts w:ascii="Arial" w:cs="Arial" w:eastAsia="Arial" w:hAnsi="Arial"/>
                <w:sz w:val="13"/>
                <w:szCs w:val="13"/>
                <w:color w:val="auto"/>
                <w:w w:val="92"/>
              </w:rPr>
              <w:t>Adjustment to Redeemable Membership Units for</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380"/>
              <w:spacing w:after="0"/>
              <w:rPr>
                <w:sz w:val="20"/>
                <w:szCs w:val="20"/>
                <w:color w:val="auto"/>
              </w:rPr>
            </w:pPr>
            <w:r>
              <w:rPr>
                <w:rFonts w:ascii="Arial" w:cs="Arial" w:eastAsia="Arial" w:hAnsi="Arial"/>
                <w:sz w:val="13"/>
                <w:szCs w:val="13"/>
                <w:color w:val="auto"/>
              </w:rPr>
              <w:t>settlement of vested Restricted Units</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200</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(200)</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2"/>
              </w:rPr>
              <w:t>Adjustment to Redeemable Membership Units for</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repurchase of units from Managers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w w:val="97"/>
              </w:rPr>
              <w:t>Repurchase of Redeemable Membership Units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Unrealized loss on interest rate swaps</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(4,434)</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w w:val="88"/>
              </w:rPr>
              <w:t>Recognized interest expense on interest rate swaps</w:t>
            </w: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1,893</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as of May 2, 2020</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172</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8"/>
              </w:rPr>
              <w:t>2,977</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72,306</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988,178</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(10,607)</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977,571</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72,478</w:t>
            </w:r>
          </w:p>
        </w:tc>
        <w:tc>
          <w:tcPr>
            <w:tcW w:w="0" w:type="dxa"/>
            <w:vAlign w:val="bottom"/>
          </w:tcPr>
          <w:p>
            <w:pPr>
              <w:spacing w:after="0"/>
              <w:rPr>
                <w:sz w:val="1"/>
                <w:szCs w:val="1"/>
                <w:color w:val="auto"/>
              </w:rPr>
            </w:pPr>
          </w:p>
        </w:tc>
      </w:tr>
      <w:tr>
        <w:trPr>
          <w:trHeight w:val="142"/>
        </w:trPr>
        <w:tc>
          <w:tcPr>
            <w:tcW w:w="2900" w:type="dxa"/>
            <w:vAlign w:val="bottom"/>
          </w:tcPr>
          <w:p>
            <w:pPr>
              <w:ind w:left="240"/>
              <w:spacing w:after="0" w:line="142" w:lineRule="exact"/>
              <w:rPr>
                <w:sz w:val="20"/>
                <w:szCs w:val="20"/>
                <w:color w:val="auto"/>
              </w:rPr>
            </w:pPr>
            <w:r>
              <w:rPr>
                <w:rFonts w:ascii="Arial" w:cs="Arial" w:eastAsia="Arial" w:hAnsi="Arial"/>
                <w:sz w:val="13"/>
                <w:szCs w:val="13"/>
                <w:color w:val="auto"/>
              </w:rPr>
              <w:t>Net income</w:t>
            </w:r>
          </w:p>
        </w:tc>
        <w:tc>
          <w:tcPr>
            <w:tcW w:w="44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167,676</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167,676</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Equity compensation</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1,581</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1,581</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Unrealized loss on interest rate swaps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(606)</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8"/>
              </w:rPr>
              <w:t>Recognized interest expense on interest rate swaps</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2,874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2,874</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as of August 1, 2020</w:t>
            </w:r>
          </w:p>
        </w:tc>
        <w:tc>
          <w:tcPr>
            <w:tcW w:w="44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3"/>
                <w:szCs w:val="13"/>
                <w:color w:val="auto"/>
                <w:w w:val="73"/>
              </w:rPr>
              <w:t>172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2,977</w:t>
            </w: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72,306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u w:val="single" w:color="auto"/>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1,157,435</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(8,339)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1,149,096</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72,478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59,586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59,586</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Distributions to holders of Membership Units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(257,000)</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(257,000)</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Effect of the Reorganization Transactions</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7"/>
              </w:rPr>
              <w:t>(2,977)</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(72,306)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(900,435)</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72,478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725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66,627</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836,060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2,977</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Equity compensation</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23,359</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23,359</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Issuance of common stock in IPO, net of Offering</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Costs</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15,625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156</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184,726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184,882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15,625</w:t>
            </w:r>
          </w:p>
        </w:tc>
        <w:tc>
          <w:tcPr>
            <w:tcW w:w="0" w:type="dxa"/>
            <w:vAlign w:val="bottom"/>
          </w:tcPr>
          <w:p>
            <w:pPr>
              <w:spacing w:after="0"/>
              <w:rPr>
                <w:sz w:val="1"/>
                <w:szCs w:val="1"/>
                <w:color w:val="auto"/>
              </w:rPr>
            </w:pPr>
          </w:p>
        </w:tc>
      </w:tr>
      <w:tr>
        <w:trPr>
          <w:trHeight w:val="121"/>
        </w:trPr>
        <w:tc>
          <w:tcPr>
            <w:tcW w:w="2900" w:type="dxa"/>
            <w:vAlign w:val="bottom"/>
          </w:tcPr>
          <w:p>
            <w:pPr>
              <w:ind w:left="240"/>
              <w:spacing w:after="0" w:line="121" w:lineRule="exact"/>
              <w:rPr>
                <w:sz w:val="20"/>
                <w:szCs w:val="20"/>
                <w:color w:val="auto"/>
              </w:rPr>
            </w:pPr>
            <w:r>
              <w:rPr>
                <w:rFonts w:ascii="Arial" w:cs="Arial" w:eastAsia="Arial" w:hAnsi="Arial"/>
                <w:sz w:val="13"/>
                <w:szCs w:val="13"/>
                <w:color w:val="auto"/>
              </w:rPr>
              <w:t>Cumulative tax effect resulting from</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380"/>
              <w:spacing w:after="0"/>
              <w:rPr>
                <w:sz w:val="20"/>
                <w:szCs w:val="20"/>
                <w:color w:val="auto"/>
              </w:rPr>
            </w:pPr>
            <w:r>
              <w:rPr>
                <w:rFonts w:ascii="Arial" w:cs="Arial" w:eastAsia="Arial" w:hAnsi="Arial"/>
                <w:sz w:val="13"/>
                <w:szCs w:val="13"/>
                <w:color w:val="auto"/>
              </w:rPr>
              <w:t>Reorganization Transactions</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(148,829)</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(148,829)</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Share-Based Award Payments</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(32,819)</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(32,819)</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Stock option exercises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Unrealized loss on interest rate swaps (net of tax</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impact of $53)</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tcPr>
          <w:p>
            <w:pPr>
              <w:ind w:left="240"/>
              <w:spacing w:after="0" w:line="121" w:lineRule="exact"/>
              <w:rPr>
                <w:sz w:val="20"/>
                <w:szCs w:val="20"/>
                <w:color w:val="auto"/>
              </w:rPr>
            </w:pPr>
            <w:r>
              <w:rPr>
                <w:rFonts w:ascii="Arial" w:cs="Arial" w:eastAsia="Arial" w:hAnsi="Arial"/>
                <w:sz w:val="13"/>
                <w:szCs w:val="13"/>
                <w:color w:val="auto"/>
                <w:w w:val="88"/>
              </w:rPr>
              <w:t>Recognized interest expense on interest rate swaps</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380"/>
              <w:spacing w:after="0"/>
              <w:rPr>
                <w:sz w:val="20"/>
                <w:szCs w:val="20"/>
                <w:color w:val="auto"/>
              </w:rPr>
            </w:pPr>
            <w:r>
              <w:rPr>
                <w:rFonts w:ascii="Arial" w:cs="Arial" w:eastAsia="Arial" w:hAnsi="Arial"/>
                <w:sz w:val="13"/>
                <w:szCs w:val="13"/>
                <w:color w:val="auto"/>
              </w:rPr>
              <w:t>(net of tax impact of $221)</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2,590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2,590</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6"/>
              </w:rPr>
              <w:t>Loss on swaps from debt refinancing (net of tax</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impact of $330)</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as of October 31, 2020</w:t>
            </w:r>
          </w:p>
        </w:tc>
        <w:tc>
          <w:tcPr>
            <w:tcW w:w="44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88,104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w w:val="73"/>
              </w:rPr>
              <w:t>881</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93,064</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5"/>
              </w:rPr>
              <w:t>895,646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(5,027)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984,564</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88,104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226"/>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Redeemable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50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Membership</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Partners’ Equity</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Accumulated</w:t>
            </w: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Partners’ Equity</w:t>
            </w:r>
          </w:p>
        </w:tc>
        <w:tc>
          <w:tcPr>
            <w:tcW w:w="200" w:type="dxa"/>
            <w:vAlign w:val="bottom"/>
            <w:vMerge w:val="restart"/>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Partners’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16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right"/>
              <w:ind w:right="280"/>
              <w:spacing w:after="0" w:line="127" w:lineRule="exact"/>
              <w:rPr>
                <w:sz w:val="20"/>
                <w:szCs w:val="20"/>
                <w:color w:val="auto"/>
              </w:rPr>
            </w:pPr>
            <w:r>
              <w:rPr>
                <w:rFonts w:ascii="Arial" w:cs="Arial" w:eastAsia="Arial" w:hAnsi="Arial"/>
                <w:sz w:val="14"/>
                <w:szCs w:val="14"/>
                <w:b w:val="1"/>
                <w:bCs w:val="1"/>
                <w:color w:val="auto"/>
              </w:rPr>
              <w:t>Units</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 xml:space="preserve">Units </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b w:val="1"/>
                <w:bCs w:val="1"/>
                <w:color w:val="auto"/>
              </w:rPr>
              <w:t>(1)</w:t>
            </w: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as of February 2, 2019</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1,362</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w w:val="85"/>
              </w:rPr>
              <w:t>17,885</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71,111</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848,591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w w:val="84"/>
              </w:rPr>
              <w:t>8,448</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857,039</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72,473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25,406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25,406</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compensation</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320"/>
              <w:spacing w:after="0"/>
              <w:rPr>
                <w:sz w:val="20"/>
                <w:szCs w:val="20"/>
                <w:color w:val="auto"/>
              </w:rPr>
            </w:pPr>
            <w:r>
              <w:rPr>
                <w:rFonts w:ascii="Arial" w:cs="Arial" w:eastAsia="Arial" w:hAnsi="Arial"/>
                <w:sz w:val="16"/>
                <w:szCs w:val="16"/>
                <w:color w:val="auto"/>
                <w:w w:val="96"/>
              </w:rPr>
              <w:t>Cumulative-effect adjustment related to the adoption of the New Lease</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Arial" w:cs="Arial" w:eastAsia="Arial" w:hAnsi="Arial"/>
                <w:sz w:val="16"/>
                <w:szCs w:val="16"/>
                <w:color w:val="auto"/>
              </w:rPr>
              <w:t>Standard</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5,075</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interest rate swaps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(3,510)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Recognized interest income on interest rate swaps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(882)</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(882)</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May 4, 2019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17,885</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71,111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881,094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4"/>
              </w:rPr>
              <w:t>4,056</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885,150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48,347</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48,347</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compensation</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320"/>
              <w:spacing w:after="0"/>
              <w:rPr>
                <w:sz w:val="20"/>
                <w:szCs w:val="20"/>
                <w:color w:val="auto"/>
              </w:rPr>
            </w:pPr>
            <w:r>
              <w:rPr>
                <w:rFonts w:ascii="Arial" w:cs="Arial" w:eastAsia="Arial" w:hAnsi="Arial"/>
                <w:sz w:val="16"/>
                <w:szCs w:val="16"/>
                <w:color w:val="auto"/>
                <w:w w:val="96"/>
              </w:rPr>
              <w:t>Adjustment to Redeemable Membership Units for settlement of vested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Arial" w:cs="Arial" w:eastAsia="Arial" w:hAnsi="Arial"/>
                <w:sz w:val="16"/>
                <w:szCs w:val="16"/>
                <w:color w:val="auto"/>
              </w:rPr>
              <w:t>Restricted Units</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300</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320"/>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(300)</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interest rate swaps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(9,632)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(9,632)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Recognized interest income on interest rate swaps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(708)</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(708)</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August 3, 2019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18,185</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71,111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931,586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(6,284)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925,302</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28,552</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28,552</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compensation</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Equity contributions from Managers</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Adjustment to Redeemable Membership Units for settlement of vested</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Units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101</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320"/>
              <w:spacing w:after="0"/>
              <w:rPr>
                <w:sz w:val="20"/>
                <w:szCs w:val="20"/>
                <w:color w:val="auto"/>
              </w:rPr>
            </w:pPr>
            <w:r>
              <w:rPr>
                <w:rFonts w:ascii="Arial" w:cs="Arial" w:eastAsia="Arial" w:hAnsi="Arial"/>
                <w:sz w:val="16"/>
                <w:szCs w:val="16"/>
                <w:color w:val="auto"/>
                <w:w w:val="98"/>
              </w:rPr>
              <w:t>Adjustment to Redeemable Membership Units for repurchase of units</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Arial" w:cs="Arial" w:eastAsia="Arial" w:hAnsi="Arial"/>
                <w:sz w:val="16"/>
                <w:szCs w:val="16"/>
                <w:color w:val="auto"/>
              </w:rPr>
              <w:t>from Managers</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(538)</w:t>
            </w: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538</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Redeemable Membership Units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Reclassification of membership units with lapsed put rights (Note 2)</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(1,195)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(14,930)</w:t>
            </w:r>
          </w:p>
        </w:tc>
        <w:tc>
          <w:tcPr>
            <w:tcW w:w="480" w:type="dxa"/>
            <w:vAlign w:val="bottom"/>
          </w:tcPr>
          <w:p>
            <w:pPr>
              <w:jc w:val="right"/>
              <w:spacing w:after="0"/>
              <w:rPr>
                <w:sz w:val="20"/>
                <w:szCs w:val="20"/>
                <w:color w:val="auto"/>
              </w:rPr>
            </w:pPr>
            <w:r>
              <w:rPr>
                <w:rFonts w:ascii="Arial" w:cs="Arial" w:eastAsia="Arial" w:hAnsi="Arial"/>
                <w:sz w:val="16"/>
                <w:szCs w:val="16"/>
                <w:color w:val="auto"/>
              </w:rPr>
              <w:t>1,195</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14,930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14,930</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interest rate swaps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(1,317)</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60" w:type="dxa"/>
            <w:vAlign w:val="bottom"/>
          </w:tcPr>
          <w:p>
            <w:pPr>
              <w:ind w:left="320"/>
              <w:spacing w:after="0"/>
              <w:rPr>
                <w:sz w:val="20"/>
                <w:szCs w:val="20"/>
                <w:color w:val="auto"/>
              </w:rPr>
            </w:pPr>
            <w:r>
              <w:rPr>
                <w:rFonts w:ascii="Arial" w:cs="Arial" w:eastAsia="Arial" w:hAnsi="Arial"/>
                <w:sz w:val="16"/>
                <w:szCs w:val="16"/>
                <w:color w:val="auto"/>
              </w:rPr>
              <w:t>Recognized interest expense on interest rate swaps</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82"/>
              </w:rPr>
              <w:t>146</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November 2, 2019</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162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2,818</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72,306</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976,538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(7,455)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969,083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72,468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227"/>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5"/>
              </w:rPr>
              <w:t>Thirty-Nine Weeks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38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9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217,242</w:t>
            </w:r>
          </w:p>
        </w:tc>
        <w:tc>
          <w:tcPr>
            <w:tcW w:w="8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102,305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79,718</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88,693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Non-cash lease expense</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14,870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Equity compensation</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27,049</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deferred loan and other costs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2,734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Loss on swaps from debt refinancing</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1,330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(11,739)</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Non-cash gain on early retirement of debt, net</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(7,831)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(42,265)</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on disposal of property and equipment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Casualty loss</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114</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2,121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Merchandise inventories, net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16,727</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(197,812)</w:t>
            </w: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(1,151)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(5,134)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noncurrent assets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245</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439,682</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99,557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44,733</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9,590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long-term liabilities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21,784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7"/>
        </w:trPr>
        <w:tc>
          <w:tcPr>
            <w:tcW w:w="7960" w:type="dxa"/>
            <w:vAlign w:val="bottom"/>
          </w:tcPr>
          <w:p>
            <w:pPr>
              <w:ind w:left="13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857,218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(21,915)</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(48,614)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the sale of property and equipment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Notes receivable from member</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8,125</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(13,790)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(52,579)</w:t>
            </w:r>
          </w:p>
        </w:tc>
        <w:tc>
          <w:tcPr>
            <w:tcW w:w="0" w:type="dxa"/>
            <w:vAlign w:val="bottom"/>
          </w:tcPr>
          <w:p>
            <w:pPr>
              <w:spacing w:after="0"/>
              <w:rPr>
                <w:sz w:val="1"/>
                <w:szCs w:val="1"/>
                <w:color w:val="auto"/>
              </w:rPr>
            </w:pPr>
          </w:p>
        </w:tc>
      </w:tr>
      <w:tr>
        <w:trPr>
          <w:trHeight w:val="207"/>
        </w:trPr>
        <w:tc>
          <w:tcPr>
            <w:tcW w:w="79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revolving credit facility</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500,000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(500,000)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(356,800)</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of term loan facility</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(29,653)</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(118,257)</w:t>
            </w: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Debt issuance fees</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(556)</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Award Payments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(20,724)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Distribution</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(257,000)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contributions from Managers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Proceeds from issuance of common stock, net of Offering Costs</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184,882</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Redeemable Membership Units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(37)</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3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(123,088)</w:t>
            </w:r>
          </w:p>
        </w:tc>
        <w:tc>
          <w:tcPr>
            <w:tcW w:w="4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(74,330)</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720,340</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(32,153)</w:t>
            </w:r>
          </w:p>
        </w:tc>
        <w:tc>
          <w:tcPr>
            <w:tcW w:w="0" w:type="dxa"/>
            <w:vAlign w:val="bottom"/>
          </w:tcPr>
          <w:p>
            <w:pPr>
              <w:spacing w:after="0"/>
              <w:rPr>
                <w:sz w:val="1"/>
                <w:szCs w:val="1"/>
                <w:color w:val="auto"/>
              </w:rPr>
            </w:pPr>
          </w:p>
        </w:tc>
      </w:tr>
      <w:tr>
        <w:trPr>
          <w:trHeight w:val="210"/>
        </w:trPr>
        <w:tc>
          <w:tcPr>
            <w:tcW w:w="79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149,385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869,725</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4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40" w:type="dxa"/>
            <w:vAlign w:val="bottom"/>
          </w:tcPr>
          <w:p>
            <w:pPr>
              <w:spacing w:after="0"/>
              <w:rPr>
                <w:sz w:val="12"/>
                <w:szCs w:val="12"/>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1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48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68,759</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74,818</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2,461</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issuance of common stock</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132</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Change in capital expenditures in accounts payable and accrued liabilities</w:t>
            </w:r>
          </w:p>
        </w:tc>
        <w:tc>
          <w:tcPr>
            <w:tcW w:w="148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985</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1,668</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new operating leases</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84,595</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55,562</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ACADEMY SPORTS AND OUTDOORS, INC. CONDENSED NOTES TO CONSOLIDATED FINANCIAL STATEMENTS (Unaudited)</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560" w:right="40" w:firstLine="423"/>
        <w:spacing w:after="0" w:line="270" w:lineRule="auto"/>
        <w:rPr>
          <w:sz w:val="20"/>
          <w:szCs w:val="20"/>
          <w:color w:val="auto"/>
        </w:rPr>
      </w:pPr>
      <w:r>
        <w:rPr>
          <w:rFonts w:ascii="Arial" w:cs="Arial" w:eastAsia="Arial" w:hAnsi="Arial"/>
          <w:sz w:val="17"/>
          <w:szCs w:val="17"/>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Upon completion of our initial public offering (the “IPO”) detailed below, affiliates of KKR held a 69.9% ownership interest in the Company (see IPO Over-Allotment Exercise in Note 15).</w:t>
      </w:r>
    </w:p>
    <w:p>
      <w:pPr>
        <w:spacing w:after="0" w:line="73" w:lineRule="exact"/>
        <w:rPr>
          <w:sz w:val="20"/>
          <w:szCs w:val="20"/>
          <w:color w:val="auto"/>
        </w:rPr>
      </w:pPr>
    </w:p>
    <w:p>
      <w:pPr>
        <w:ind w:left="560" w:right="20" w:firstLine="423"/>
        <w:spacing w:after="0" w:line="279" w:lineRule="auto"/>
        <w:rPr>
          <w:sz w:val="20"/>
          <w:szCs w:val="20"/>
          <w:color w:val="auto"/>
        </w:rPr>
      </w:pPr>
      <w:r>
        <w:rPr>
          <w:rFonts w:ascii="Arial" w:cs="Arial" w:eastAsia="Arial" w:hAnsi="Arial"/>
          <w:sz w:val="17"/>
          <w:szCs w:val="17"/>
          <w:color w:val="auto"/>
        </w:rPr>
        <w:t xml:space="preserve">The Company is one of the leading full-line sporting goods and outdoor recreational products retailers in the United States in terms of net sales. As of October 31,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17"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On October 6, 2020, ASO, Inc. completed an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42" w:lineRule="exact"/>
        <w:rPr>
          <w:sz w:val="20"/>
          <w:szCs w:val="20"/>
          <w:color w:val="auto"/>
        </w:rPr>
      </w:pPr>
    </w:p>
    <w:p>
      <w:pPr>
        <w:ind w:left="1540" w:right="400" w:hanging="331"/>
        <w:spacing w:after="0" w:line="277" w:lineRule="auto"/>
        <w:tabs>
          <w:tab w:leader="none" w:pos="1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60" w:right="20" w:firstLine="423"/>
        <w:spacing w:after="0" w:line="287" w:lineRule="auto"/>
        <w:rPr>
          <w:sz w:val="20"/>
          <w:szCs w:val="20"/>
          <w:color w:val="auto"/>
        </w:rPr>
      </w:pPr>
      <w:r>
        <w:rPr>
          <w:rFonts w:ascii="Arial" w:cs="Arial" w:eastAsia="Arial" w:hAnsi="Arial"/>
          <w:sz w:val="16"/>
          <w:szCs w:val="16"/>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for the fiscal year ended February 1, 2020 included in our final prospectus dated October 1, 2020 (the “Prospectus”), as filed with the SEC on October 2, 2020 pursuant to Rule 424(b)(4) under the Securities Act. The information furnished herein reflects all normal recurring adjustments which are, in the opinion of management, necessary for a fair presentation of the results for the interim periods presented. The results of operations for the thirteen and thirty-nine weeks ended October 31,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included for the year ended February 1, 2020.</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color w:val="auto"/>
        </w:rPr>
        <w:t>These unaudited condensed consolidated financial statements include the accounts of ASO, Inc. and, its subsidiaries, ASO Co-Invest Blocker Sub, L.P., ASO Blocker Sub, L.P., NAHC, Academy Managing Co., LLC, Associated Investors, LLC, Academy, Ltd., the Company’s operating company, and Academy International Limited. ASO Co-Invest Blocker Sub, L.P., ASO Blocker Sub, L.P., NAHC, Academy Managing Co., LLC, and Associated Investors, LLC are intermediate holding companies. All intercompany balances and transactions have been eliminated in consolidation.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additional unforeseen effects from the COVID-19 pandemic, these estimates are becoming more challenging, and actual results could differ materially from our estimates.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right="40" w:firstLine="423"/>
        <w:spacing w:after="0" w:line="275" w:lineRule="auto"/>
        <w:rPr>
          <w:sz w:val="20"/>
          <w:szCs w:val="20"/>
          <w:color w:val="auto"/>
        </w:rPr>
      </w:pPr>
      <w:r>
        <w:rPr>
          <w:rFonts w:ascii="Arial" w:cs="Arial" w:eastAsia="Arial" w:hAnsi="Arial"/>
          <w:sz w:val="17"/>
          <w:szCs w:val="17"/>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November 2, 2019 for comparability purposes. This reclassification is in divisional presentation only and did not impact the overall net sales balances previously disclosed.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17" w:lineRule="exact"/>
        <w:rPr>
          <w:sz w:val="20"/>
          <w:szCs w:val="20"/>
          <w:color w:val="auto"/>
        </w:rPr>
      </w:pPr>
    </w:p>
    <w:p>
      <w:pPr>
        <w:ind w:left="560" w:right="40" w:firstLine="423"/>
        <w:spacing w:after="0" w:line="289" w:lineRule="auto"/>
        <w:rPr>
          <w:sz w:val="20"/>
          <w:szCs w:val="20"/>
          <w:color w:val="auto"/>
        </w:rPr>
      </w:pPr>
      <w:r>
        <w:rPr>
          <w:rFonts w:ascii="Arial" w:cs="Arial" w:eastAsia="Arial" w:hAnsi="Arial"/>
          <w:sz w:val="16"/>
          <w:szCs w:val="16"/>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Balance Sheets, Statements of Income, Statements of Partners’ / Stockholders’ Equity, Note 10. Equity and Share-Based Compensation and Note 11. Earnings per Share.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17" w:lineRule="exact"/>
        <w:rPr>
          <w:sz w:val="20"/>
          <w:szCs w:val="20"/>
          <w:color w:val="auto"/>
        </w:rPr>
      </w:pPr>
    </w:p>
    <w:p>
      <w:pPr>
        <w:jc w:val="both"/>
        <w:ind w:left="560" w:right="60" w:firstLine="423"/>
        <w:spacing w:after="0" w:line="286" w:lineRule="auto"/>
        <w:rPr>
          <w:sz w:val="20"/>
          <w:szCs w:val="20"/>
          <w:color w:val="auto"/>
        </w:rPr>
      </w:pPr>
      <w:r>
        <w:rPr>
          <w:rFonts w:ascii="Arial" w:cs="Arial" w:eastAsia="Arial" w:hAnsi="Arial"/>
          <w:sz w:val="16"/>
          <w:szCs w:val="16"/>
          <w:color w:val="auto"/>
        </w:rPr>
        <w:t>Prior to October 1, 2020, Allstar Managers LLC, a Delaware limited liability company (“Managers”), owned membership units in NAHC (each, a “NAHC Membership Unit”). Managers is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w:t>
      </w:r>
    </w:p>
    <w:p>
      <w:pPr>
        <w:spacing w:after="0" w:line="1" w:lineRule="exact"/>
        <w:rPr>
          <w:sz w:val="20"/>
          <w:szCs w:val="20"/>
          <w:color w:val="auto"/>
        </w:rPr>
      </w:pPr>
    </w:p>
    <w:p>
      <w:pPr>
        <w:ind w:left="560" w:right="60" w:hanging="4"/>
        <w:spacing w:after="0" w:line="253" w:lineRule="auto"/>
        <w:tabs>
          <w:tab w:leader="none" w:pos="81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purchasing the Redeemable Membership Units with cash consideration, which was subsequently contributed to NAHC by Managers in exchange for a number of NAHC Membership Units equal to the number of Redeemable Membership Units purchased, or (2) by receiving the Redeemable Membership Units in settlement of vested restricted units awarded to the executive or director under the Company’s 2011 Unit Incentive Plan (see Note 10). Each outstanding Redeemable Membership Unit in Managers corresponded to an outstanding NAHC Membership Unit, on a unit-for-unit basis.</w:t>
      </w:r>
    </w:p>
    <w:p>
      <w:pPr>
        <w:spacing w:after="0" w:line="83"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 the number of shares of ASO, Inc. common stock held by Managers on a 1:1 basis.</w:t>
      </w:r>
    </w:p>
    <w:p>
      <w:pPr>
        <w:spacing w:after="0" w:line="79" w:lineRule="exact"/>
        <w:rPr>
          <w:sz w:val="20"/>
          <w:szCs w:val="20"/>
          <w:color w:val="auto"/>
        </w:rPr>
      </w:pPr>
    </w:p>
    <w:p>
      <w:pPr>
        <w:ind w:left="560" w:right="260" w:firstLine="423"/>
        <w:spacing w:after="0" w:line="277" w:lineRule="auto"/>
        <w:rPr>
          <w:sz w:val="20"/>
          <w:szCs w:val="20"/>
          <w:color w:val="auto"/>
        </w:rPr>
      </w:pPr>
      <w:r>
        <w:rPr>
          <w:rFonts w:ascii="Arial" w:cs="Arial" w:eastAsia="Arial" w:hAnsi="Arial"/>
          <w:sz w:val="18"/>
          <w:szCs w:val="18"/>
          <w:color w:val="auto"/>
        </w:rPr>
        <w:t>NAHC is the sole managing member of Managers with a controlling voting interest, but no economic interest, in Managers. As the sole managing member of Managers, NAHC operates and controls all business affairs of Managers.</w:t>
      </w:r>
    </w:p>
    <w:p>
      <w:pPr>
        <w:spacing w:after="0" w:line="62"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The terms and conditions of the agreements governing the Redeemable Membership Units include provisions by which the holder, or its heirs, have the right to require Managers or NAHC to purchase the holder’s Redeemable Membership Units upon the holder’s termination of employment due to death or disability for cash at fair value. The carrying value of the Redeemable Membership Units is classified as temporary equity, initially at fair value, as redemption was an event that was not solely within our control. If redemption becomes probable, we are required to re-measure the Redeemable Membership Units to fair value. Periodically, these rights lapsed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The Company is subject to U.S. federal, state and foreign income taxes. We account for income taxes under the asset and liability method, which requires the recognition of deferred tax assets and liabilities for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00"/>
          </w:cols>
          <w:pgMar w:left="320" w:top="459" w:right="5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color w:val="auto"/>
        </w:rPr>
        <w:t>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spacing w:after="0" w:line="41" w:lineRule="exact"/>
        <w:rPr>
          <w:sz w:val="20"/>
          <w:szCs w:val="20"/>
          <w:color w:val="auto"/>
        </w:rPr>
      </w:pPr>
    </w:p>
    <w:p>
      <w:pPr>
        <w:ind w:left="560" w:right="120" w:firstLine="423"/>
        <w:spacing w:after="0" w:line="291" w:lineRule="auto"/>
        <w:rPr>
          <w:sz w:val="20"/>
          <w:szCs w:val="20"/>
          <w:color w:val="auto"/>
        </w:rPr>
      </w:pPr>
      <w:r>
        <w:rPr>
          <w:rFonts w:ascii="Arial" w:cs="Arial" w:eastAsia="Arial" w:hAnsi="Arial"/>
          <w:sz w:val="16"/>
          <w:szCs w:val="16"/>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Net Sales</w:t>
      </w:r>
    </w:p>
    <w:p>
      <w:pPr>
        <w:spacing w:after="0" w:line="121" w:lineRule="exact"/>
        <w:rPr>
          <w:sz w:val="20"/>
          <w:szCs w:val="20"/>
          <w:color w:val="auto"/>
        </w:rPr>
      </w:pPr>
    </w:p>
    <w:p>
      <w:pPr>
        <w:ind w:left="560" w:right="120" w:firstLine="423"/>
        <w:spacing w:after="0" w:line="263"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the approximate amount of sales by merchandise divisions for the periods presented (amounts in thousands):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Thirty-Nine Weeks Ended</w:t>
            </w:r>
          </w:p>
        </w:tc>
      </w:tr>
      <w:tr>
        <w:trPr>
          <w:trHeight w:val="142"/>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4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Outdoors</w:t>
            </w: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487,401</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364,944</w:t>
            </w:r>
          </w:p>
        </w:tc>
        <w:tc>
          <w:tcPr>
            <w:tcW w:w="4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1,448,987</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1,002,138</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Sports and recreation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263,506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196,592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919,699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721,665</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Apparel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318,731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322,375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939,388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951,385</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Footwear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272,626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255,649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762,174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769,857</w:t>
            </w:r>
          </w:p>
        </w:tc>
      </w:tr>
      <w:tr>
        <w:trPr>
          <w:trHeight w:val="223"/>
        </w:trPr>
        <w:tc>
          <w:tcPr>
            <w:tcW w:w="5040" w:type="dxa"/>
            <w:vAlign w:val="bottom"/>
          </w:tcPr>
          <w:p>
            <w:pPr>
              <w:ind w:left="720"/>
              <w:spacing w:after="0"/>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1,342,264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1,139,560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4,070,248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3,445,045</w:t>
            </w:r>
          </w:p>
        </w:tc>
        <w:tc>
          <w:tcPr>
            <w:tcW w:w="4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sales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6,812</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21,549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14,360</w:t>
            </w:r>
          </w:p>
        </w:tc>
      </w:tr>
      <w:tr>
        <w:trPr>
          <w:trHeight w:val="223"/>
        </w:trPr>
        <w:tc>
          <w:tcPr>
            <w:tcW w:w="5040" w:type="dxa"/>
            <w:vAlign w:val="bottom"/>
          </w:tcPr>
          <w:p>
            <w:pPr>
              <w:ind w:left="72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1,349,076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1,145,203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4,091,797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3,459,405</w:t>
            </w:r>
          </w:p>
        </w:tc>
        <w:tc>
          <w:tcPr>
            <w:tcW w:w="4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20" w:hanging="424"/>
        <w:spacing w:after="0" w:line="254" w:lineRule="auto"/>
        <w:tabs>
          <w:tab w:leader="none" w:pos="540" w:val="left"/>
        </w:tabs>
        <w:numPr>
          <w:ilvl w:val="0"/>
          <w:numId w:val="230"/>
        </w:numPr>
        <w:rPr>
          <w:rFonts w:ascii="Arial" w:cs="Arial" w:eastAsia="Arial" w:hAnsi="Arial"/>
          <w:sz w:val="15"/>
          <w:szCs w:val="15"/>
          <w:color w:val="auto"/>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November 2, 2019 for comparability purposes. This reclassification is in divisional presentation only and did not impact the overall net sales balances previously disclosed (see Note 2).</w:t>
      </w:r>
    </w:p>
    <w:p>
      <w:pPr>
        <w:spacing w:after="0" w:line="2" w:lineRule="exact"/>
        <w:rPr>
          <w:rFonts w:ascii="Arial" w:cs="Arial" w:eastAsia="Arial" w:hAnsi="Arial"/>
          <w:sz w:val="15"/>
          <w:szCs w:val="15"/>
          <w:color w:val="auto"/>
        </w:rPr>
      </w:pPr>
    </w:p>
    <w:p>
      <w:pPr>
        <w:ind w:left="540" w:right="200" w:hanging="424"/>
        <w:spacing w:after="0" w:line="250" w:lineRule="auto"/>
        <w:tabs>
          <w:tab w:leader="none" w:pos="540" w:val="left"/>
        </w:tabs>
        <w:numPr>
          <w:ilvl w:val="0"/>
          <w:numId w:val="230"/>
        </w:numPr>
        <w:rPr>
          <w:rFonts w:ascii="Arial" w:cs="Arial" w:eastAsia="Arial" w:hAnsi="Arial"/>
          <w:sz w:val="15"/>
          <w:szCs w:val="15"/>
          <w:color w:val="auto"/>
        </w:rPr>
      </w:pPr>
      <w:r>
        <w:rPr>
          <w:rFonts w:ascii="Arial" w:cs="Arial" w:eastAsia="Arial" w:hAnsi="Arial"/>
          <w:sz w:val="18"/>
          <w:szCs w:val="18"/>
          <w:color w:val="auto"/>
        </w:rPr>
        <w:t>E-commerce sales consisted of 7.5% and 9.8% of merchandise sales for the thirteen and thirty-nine weeks ended October 31, 2020, respectively, and 4.5% and 3.8% for the thirteen and thirty-nine weeks ended November 2, 2019, respectively.</w:t>
      </w:r>
    </w:p>
    <w:p>
      <w:pPr>
        <w:ind w:left="540" w:right="220" w:hanging="424"/>
        <w:spacing w:after="0" w:line="260" w:lineRule="auto"/>
        <w:tabs>
          <w:tab w:leader="none" w:pos="540" w:val="left"/>
        </w:tabs>
        <w:numPr>
          <w:ilvl w:val="0"/>
          <w:numId w:val="230"/>
        </w:numPr>
        <w:rPr>
          <w:rFonts w:ascii="Arial" w:cs="Arial" w:eastAsia="Arial" w:hAnsi="Arial"/>
          <w:sz w:val="15"/>
          <w:szCs w:val="15"/>
          <w:color w:val="auto"/>
        </w:rPr>
      </w:pPr>
      <w:r>
        <w:rPr>
          <w:rFonts w:ascii="Arial" w:cs="Arial" w:eastAsia="Arial" w:hAnsi="Arial"/>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77" w:lineRule="exact"/>
        <w:rPr>
          <w:sz w:val="20"/>
          <w:szCs w:val="20"/>
          <w:color w:val="auto"/>
        </w:rPr>
      </w:pPr>
    </w:p>
    <w:p>
      <w:pPr>
        <w:ind w:left="560" w:right="240" w:firstLine="423"/>
        <w:spacing w:after="0" w:line="263" w:lineRule="auto"/>
        <w:rPr>
          <w:sz w:val="20"/>
          <w:szCs w:val="20"/>
          <w:color w:val="auto"/>
        </w:rPr>
      </w:pPr>
      <w:r>
        <w:rPr>
          <w:rFonts w:ascii="Arial" w:cs="Arial" w:eastAsia="Arial" w:hAnsi="Arial"/>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80" w:type="dxa"/>
            <w:vAlign w:val="bottom"/>
            <w:tcBorders>
              <w:top w:val="single" w:sz="8" w:color="auto"/>
            </w:tcBorders>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tcBorders>
              <w:top w:val="single" w:sz="8" w:color="auto"/>
            </w:tcBorders>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Gift card liability, beginning balance</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55,410</w:t>
            </w: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67,993</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Issued</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14,910</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47,524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Redeemed</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(17,861)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(61,574)</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(80,006)</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Recognized as breakage income</w:t>
            </w:r>
          </w:p>
        </w:tc>
        <w:tc>
          <w:tcPr>
            <w:tcW w:w="3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(1,854)</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Gift card liability, ending balance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52,089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52,089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4. Long-Term Debt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gridSpan w:val="4"/>
          </w:tcPr>
          <w:p>
            <w:pPr>
              <w:ind w:left="860"/>
              <w:spacing w:after="0"/>
              <w:rPr>
                <w:sz w:val="20"/>
                <w:szCs w:val="20"/>
                <w:color w:val="auto"/>
              </w:rPr>
            </w:pPr>
            <w:r>
              <w:rPr>
                <w:rFonts w:ascii="Arial" w:cs="Arial" w:eastAsia="Arial" w:hAnsi="Arial"/>
                <w:sz w:val="18"/>
                <w:szCs w:val="18"/>
                <w:color w:val="auto"/>
              </w:rPr>
              <w:t>Our debt consisted of the following (amounts in thousands) as of:</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2"/>
              </w:rPr>
              <w:t>October 31, 2020</w:t>
            </w:r>
          </w:p>
        </w:tc>
        <w:tc>
          <w:tcPr>
            <w:tcW w:w="10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February 1, 2020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November 2, 2019</w:t>
            </w: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Asset-Based Revolving Credit Facility</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gridSpan w:val="4"/>
          </w:tcPr>
          <w:p>
            <w:pPr>
              <w:spacing w:after="0" w:line="201" w:lineRule="exact"/>
              <w:rPr>
                <w:sz w:val="20"/>
                <w:szCs w:val="20"/>
                <w:color w:val="auto"/>
              </w:rPr>
            </w:pPr>
            <w:r>
              <w:rPr>
                <w:rFonts w:ascii="Arial" w:cs="Arial" w:eastAsia="Arial" w:hAnsi="Arial"/>
                <w:sz w:val="18"/>
                <w:szCs w:val="18"/>
                <w:color w:val="auto"/>
                <w:w w:val="95"/>
              </w:rPr>
              <w:t>Senior Secured Term Loan Facility, due July 2022 net of discount of $1.8 million,</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1,429,667</w:t>
            </w:r>
          </w:p>
        </w:tc>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$2.6 million and $2.9 million, respectively</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1,466,402</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1,470,695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1,429,667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1,466,402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1,514,995</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(18,250)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(34,116)</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1,408,885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1,428,542</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31"/>
        </w:numPr>
        <w:rPr>
          <w:rFonts w:ascii="Arial" w:cs="Arial" w:eastAsia="Arial" w:hAnsi="Arial"/>
          <w:sz w:val="15"/>
          <w:szCs w:val="15"/>
          <w:color w:val="auto"/>
        </w:rPr>
      </w:pPr>
      <w:r>
        <w:rPr>
          <w:rFonts w:ascii="Arial" w:cs="Arial" w:eastAsia="Arial" w:hAnsi="Arial"/>
          <w:sz w:val="18"/>
          <w:szCs w:val="18"/>
          <w:color w:val="auto"/>
        </w:rPr>
        <w:t>These costs are related to the 2015 Term Loan Facility.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November 6, 2020, the Company refinanced its long-term debt (see Note 15).</w:t>
      </w:r>
    </w:p>
    <w:p>
      <w:pPr>
        <w:spacing w:after="0" w:line="117" w:lineRule="exact"/>
        <w:rPr>
          <w:sz w:val="20"/>
          <w:szCs w:val="20"/>
          <w:color w:val="auto"/>
        </w:rPr>
      </w:pPr>
    </w:p>
    <w:p>
      <w:pPr>
        <w:jc w:val="both"/>
        <w:ind w:left="560" w:right="40" w:firstLine="423"/>
        <w:spacing w:after="0" w:line="287" w:lineRule="auto"/>
        <w:rPr>
          <w:sz w:val="20"/>
          <w:szCs w:val="20"/>
          <w:color w:val="auto"/>
        </w:rPr>
      </w:pPr>
      <w:r>
        <w:rPr>
          <w:rFonts w:ascii="Arial" w:cs="Arial" w:eastAsia="Arial" w:hAnsi="Arial"/>
          <w:sz w:val="16"/>
          <w:szCs w:val="16"/>
          <w:b w:val="1"/>
          <w:bCs w:val="1"/>
          <w:i w:val="1"/>
          <w:iCs w:val="1"/>
          <w:u w:val="single" w:color="auto"/>
          <w:color w:val="auto"/>
        </w:rPr>
        <w:t>2015 Term Loan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2, 2015, Academy, Ltd. entered into a seven-year $1.8 billion senior secured term loan facility (the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 Loan Facility”). The 2015 Term Loan Facility bears interest, at our election, at either (1) LIBOR rate with a floor of 1.00%, plus a margin of 4.00%, or (2) a base rate equal to the highest of (a) the federal funds rate plus 0.50%, (b) Morgan Stanley Senior Funding, Inc.’s “prime rate,” or</w:t>
      </w:r>
    </w:p>
    <w:p>
      <w:pPr>
        <w:spacing w:after="0" w:line="2" w:lineRule="exact"/>
        <w:rPr>
          <w:sz w:val="20"/>
          <w:szCs w:val="20"/>
          <w:color w:val="auto"/>
        </w:rPr>
      </w:pPr>
    </w:p>
    <w:p>
      <w:pPr>
        <w:ind w:left="560" w:right="20" w:hanging="4"/>
        <w:spacing w:after="0" w:line="253" w:lineRule="auto"/>
        <w:tabs>
          <w:tab w:leader="none" w:pos="80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one-month LIBOR rate plus 1.00%, plus a margin of 3.00%. Quarterly principal payments of approximately $4.6 million are required through June 30, 2022, with the balance due in full on the maturity date of July 2, 2022. As of October 31, 2020, the weighted average interest rate was 5.00%, with interest payable monthly. The terms and conditions of the 2015 Term Loan Facility also require that we prepay outstanding loans under the 2015 Term Loan Facility under certain circumstances. As of October 31, 2020, no prepayments of outstanding loans have been triggered under the terms and conditions of the 2015 Term Loan Facility.</w:t>
      </w:r>
    </w:p>
    <w:p>
      <w:pPr>
        <w:spacing w:after="0" w:line="83" w:lineRule="exact"/>
        <w:rPr>
          <w:sz w:val="20"/>
          <w:szCs w:val="20"/>
          <w:color w:val="auto"/>
        </w:rPr>
      </w:pPr>
    </w:p>
    <w:p>
      <w:pPr>
        <w:ind w:left="560" w:right="240" w:firstLine="423"/>
        <w:spacing w:after="0" w:line="263" w:lineRule="auto"/>
        <w:rPr>
          <w:sz w:val="20"/>
          <w:szCs w:val="20"/>
          <w:color w:val="auto"/>
        </w:rPr>
      </w:pPr>
      <w:r>
        <w:rPr>
          <w:rFonts w:ascii="Arial" w:cs="Arial" w:eastAsia="Arial" w:hAnsi="Arial"/>
          <w:sz w:val="18"/>
          <w:szCs w:val="18"/>
          <w:color w:val="auto"/>
        </w:rPr>
        <w:t>During the thirty-nine weeks ended October 31, 2020 and November 2, 2019, we repurchased a portion of our principal on the 2015 Term Loan Facility, which was trading at a discount, in open market transactions. The following table provides further detail regarding these repurchases (amounts in millions):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5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40" w:type="dxa"/>
            <w:vAlign w:val="bottom"/>
          </w:tcPr>
          <w:p>
            <w:pPr>
              <w:spacing w:after="0"/>
              <w:rPr>
                <w:sz w:val="12"/>
                <w:szCs w:val="12"/>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principal repurchased</w:t>
            </w:r>
          </w:p>
        </w:tc>
        <w:tc>
          <w:tcPr>
            <w:tcW w:w="2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Reacquisition price of debt</w:t>
            </w:r>
          </w:p>
        </w:tc>
        <w:tc>
          <w:tcPr>
            <w:tcW w:w="2500" w:type="dxa"/>
            <w:vAlign w:val="bottom"/>
            <w:gridSpan w:val="2"/>
          </w:tcPr>
          <w:p>
            <w:pPr>
              <w:ind w:left="2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16.0</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104.6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gain recognized</w:t>
            </w:r>
          </w:p>
        </w:tc>
        <w:tc>
          <w:tcPr>
            <w:tcW w:w="2500" w:type="dxa"/>
            <w:vAlign w:val="bottom"/>
            <w:gridSpan w:val="2"/>
            <w:shd w:val="clear" w:color="auto" w:fill="CCEEFF"/>
          </w:tcPr>
          <w:p>
            <w:pPr>
              <w:ind w:left="2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7.8</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r>
      <w:tr>
        <w:trPr>
          <w:trHeight w:val="365"/>
        </w:trPr>
        <w:tc>
          <w:tcPr>
            <w:tcW w:w="3020" w:type="dxa"/>
            <w:vAlign w:val="bottom"/>
          </w:tcPr>
          <w:p>
            <w:pPr>
              <w:spacing w:after="0"/>
              <w:rPr>
                <w:sz w:val="24"/>
                <w:szCs w:val="24"/>
                <w:color w:val="auto"/>
              </w:rPr>
            </w:pPr>
          </w:p>
        </w:tc>
        <w:tc>
          <w:tcPr>
            <w:tcW w:w="2500" w:type="dxa"/>
            <w:vAlign w:val="bottom"/>
            <w:gridSpan w:val="2"/>
          </w:tcPr>
          <w:p>
            <w:pPr>
              <w:ind w:left="1000"/>
              <w:spacing w:after="0"/>
              <w:rPr>
                <w:sz w:val="20"/>
                <w:szCs w:val="20"/>
                <w:color w:val="auto"/>
              </w:rPr>
            </w:pPr>
            <w:r>
              <w:rPr>
                <w:rFonts w:ascii="Arial" w:cs="Arial" w:eastAsia="Arial" w:hAnsi="Arial"/>
                <w:sz w:val="18"/>
                <w:szCs w:val="18"/>
                <w:color w:val="auto"/>
              </w:rPr>
              <w:t>F-51</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firstLine="423"/>
        <w:spacing w:after="0" w:line="253" w:lineRule="auto"/>
        <w:rPr>
          <w:sz w:val="20"/>
          <w:szCs w:val="20"/>
          <w:color w:val="auto"/>
        </w:rPr>
      </w:pPr>
      <w:r>
        <w:rPr>
          <w:rFonts w:ascii="Arial" w:cs="Arial" w:eastAsia="Arial" w:hAnsi="Arial"/>
          <w:sz w:val="18"/>
          <w:szCs w:val="18"/>
          <w:b w:val="1"/>
          <w:bCs w:val="1"/>
          <w:i w:val="1"/>
          <w:iCs w:val="1"/>
          <w:u w:val="single" w:color="auto"/>
          <w:color w:val="auto"/>
        </w:rPr>
        <w:t>2018 ABL Facility</w:t>
      </w:r>
      <w:r>
        <w:rPr>
          <w:rFonts w:ascii="Arial" w:cs="Arial" w:eastAsia="Arial" w:hAnsi="Arial"/>
          <w:sz w:val="18"/>
          <w:szCs w:val="18"/>
          <w:i w:val="1"/>
          <w:iCs w:val="1"/>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July 2, 2015, Academy, Ltd. entered into a five-year $650 million secured asset-based revolving credit facility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ABL Facility”). On May 22, 2018, the Company amended the agreement governing the 2015 ABL Facility (as amended, the “2018 ABL Facility”), to increase the commitment on the facility from $650 million to $1 billion. The operative terms, conditions, covenants and pricing of the 2018 ABL Facility remain the same in all material respects to the 2015 ABL Facility and/or have been sized in approximate proportion to the relative increase in the facility where such operative terms are based upon the commitment level on the facility. The 2018 ABL Facility matures on May 22, 2023, subject to a springing maturity clause which is triggered 91 days before the July 2, 2022 maturity of the 2015 Term Loan Facility should it not be paid off or extended at least 91 days beyond the May 22, 2023 maturity date of the 2018 ABL Facility. Academy, Ltd. has the option to increase the commitments under the 2018 ABL Facility by $250 million, subject to the satisfaction of certain conditions under the agreement.</w:t>
      </w:r>
    </w:p>
    <w:p>
      <w:pPr>
        <w:spacing w:after="0" w:line="88" w:lineRule="exact"/>
        <w:rPr>
          <w:sz w:val="20"/>
          <w:szCs w:val="20"/>
          <w:color w:val="auto"/>
        </w:rPr>
      </w:pPr>
    </w:p>
    <w:p>
      <w:pPr>
        <w:ind w:left="560" w:right="200" w:firstLine="423"/>
        <w:spacing w:after="0" w:line="255" w:lineRule="auto"/>
        <w:rPr>
          <w:sz w:val="20"/>
          <w:szCs w:val="20"/>
          <w:color w:val="auto"/>
        </w:rPr>
      </w:pPr>
      <w:r>
        <w:rPr>
          <w:rFonts w:ascii="Arial" w:cs="Arial" w:eastAsia="Arial" w:hAnsi="Arial"/>
          <w:sz w:val="18"/>
          <w:szCs w:val="18"/>
          <w:color w:val="auto"/>
        </w:rPr>
        <w:t>The 2018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October 31, 2020, we had outstanding letters of credit of approximately $30.8 million, of which $21.1 million were issued under the 2018 ABL Facility, and we had no borrowings outstanding under the 2018 ABL Facility, leaving the available borrowing capacity under the 2018 ABL Facility of $844.7 million.</w:t>
      </w:r>
    </w:p>
    <w:p>
      <w:pPr>
        <w:spacing w:after="0" w:line="84"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color w:val="auto"/>
        </w:rPr>
        <w:t>Borrowings under the 2018 ABL Facility bear interest, at our election, at either (1) LIBOR plus a margin of 1.25% to 1.75%, or (2) a base rate equal to the highest of (a) the federal funds rate plus 0.50%, (b) JPMorgan Chase Bank, N.A.’s “prime rate”, or (c) the one-month LIBOR rate plus 1.00%, plus a margin of 0.25% to 0.75%. The 2018 ABL Facility also provides a fee applicable to the unused commitments of 0.25%. The terms and conditions of the 2018 ABL Facility also require that we prepay outstanding loans under the 2018 ABL Facility under certain circumstances. As of October 31, 2020, no future prepayments of outstanding loans have been triggered under the terms and conditions of the 2018 ABL Facility.</w:t>
      </w:r>
    </w:p>
    <w:p>
      <w:pPr>
        <w:spacing w:after="0" w:line="84" w:lineRule="exact"/>
        <w:rPr>
          <w:sz w:val="20"/>
          <w:szCs w:val="20"/>
          <w:color w:val="auto"/>
        </w:rPr>
      </w:pPr>
    </w:p>
    <w:p>
      <w:pPr>
        <w:ind w:left="560" w:right="20" w:firstLine="423"/>
        <w:spacing w:after="0" w:line="296" w:lineRule="auto"/>
        <w:rPr>
          <w:sz w:val="20"/>
          <w:szCs w:val="20"/>
          <w:color w:val="auto"/>
        </w:rPr>
      </w:pPr>
      <w:r>
        <w:rPr>
          <w:rFonts w:ascii="Arial" w:cs="Arial" w:eastAsia="Arial" w:hAnsi="Arial"/>
          <w:sz w:val="16"/>
          <w:szCs w:val="16"/>
          <w:b w:val="1"/>
          <w:bCs w:val="1"/>
          <w:i w:val="1"/>
          <w:iCs w:val="1"/>
          <w:u w:val="single" w:color="auto"/>
          <w:color w:val="auto"/>
        </w:rPr>
        <w:t>Covenants</w:t>
      </w:r>
      <w:r>
        <w:rPr>
          <w:rFonts w:ascii="Arial" w:cs="Arial" w:eastAsia="Arial" w:hAnsi="Arial"/>
          <w:sz w:val="16"/>
          <w:szCs w:val="16"/>
          <w:i w:val="1"/>
          <w:iCs w:val="1"/>
          <w:u w:val="single" w:color="auto"/>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2018 ABL Facility and the 2015 Term Loan Facility agreements contain covenants, including, among others, covenants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2018 ABL Facility is subject to a certain minimum adjusted fixed charge coverage ratio. These covenants are subject to certain qualifications and limitations. We were in compliance with these covenants as of October 31, 2020.</w:t>
      </w:r>
    </w:p>
    <w:p>
      <w:pPr>
        <w:spacing w:after="0" w:line="53" w:lineRule="exact"/>
        <w:rPr>
          <w:sz w:val="20"/>
          <w:szCs w:val="20"/>
          <w:color w:val="auto"/>
        </w:rPr>
      </w:pPr>
    </w:p>
    <w:p>
      <w:pPr>
        <w:ind w:left="980"/>
        <w:spacing w:after="0"/>
        <w:rPr>
          <w:sz w:val="20"/>
          <w:szCs w:val="20"/>
          <w:color w:val="auto"/>
        </w:rPr>
      </w:pPr>
      <w:r>
        <w:rPr>
          <w:rFonts w:ascii="Arial" w:cs="Arial" w:eastAsia="Arial" w:hAnsi="Arial"/>
          <w:sz w:val="17"/>
          <w:szCs w:val="17"/>
          <w:b w:val="1"/>
          <w:bCs w:val="1"/>
          <w:i w:val="1"/>
          <w:iCs w:val="1"/>
          <w:u w:val="single" w:color="auto"/>
          <w:color w:val="auto"/>
        </w:rPr>
        <w:t>Capitalized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capitalized interest primarily related to construction of new stores and store renovations in the amount of</w:t>
      </w:r>
    </w:p>
    <w:p>
      <w:pPr>
        <w:spacing w:after="0" w:line="35" w:lineRule="exact"/>
        <w:rPr>
          <w:sz w:val="20"/>
          <w:szCs w:val="20"/>
          <w:color w:val="auto"/>
        </w:rPr>
      </w:pPr>
    </w:p>
    <w:p>
      <w:pPr>
        <w:ind w:left="560"/>
        <w:spacing w:after="0" w:line="260" w:lineRule="auto"/>
        <w:rPr>
          <w:sz w:val="20"/>
          <w:szCs w:val="20"/>
          <w:color w:val="auto"/>
        </w:rPr>
      </w:pPr>
      <w:r>
        <w:rPr>
          <w:rFonts w:ascii="Arial" w:cs="Arial" w:eastAsia="Arial" w:hAnsi="Arial"/>
          <w:sz w:val="18"/>
          <w:szCs w:val="18"/>
          <w:color w:val="auto"/>
        </w:rPr>
        <w:t>$0.1 million and $0.4 million for the thirteen and thirty-nine weeks ended October 31, 2020, respectively, and $0.2 million and $0.5 million for the thirteen and thirty-nine weeks ended November 2, 2019,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Derivative Financial Instruments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use interest rate swap agreements to hedge market risk relating to possible adverse changes in interest rates.</w:t>
      </w:r>
    </w:p>
    <w:p>
      <w:pPr>
        <w:spacing w:after="0" w:line="117"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All interest rate swaps had been designated as cash flow hedges of variable rate interest payments on borrowings under the 2015 Term Loan Facility. On October 28, 2020, we determined that a portion of the underlying cash flows related to $100.0 million of swap notional principal amount was no longer probable of occurring over the remaining term of the interest rate swaps as a result of the Company’s planned refinancing transactions (see Note 15). As a result, we reclassified approximately $1.3 million of losses from accumulated other comprehensive loss (“AOCI”) to other (income) expense, net in our statements of income for the thirteen and thirty-nine weeks ended October 31, 2020 related to the portion of the forecasted transaction no longer considered probable of occurring. We also de-designated a portion of our interest rate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swaps as cash flow hedges, leaving $250 million notional principal amount designated and $650 million undesignated. The remaining $4.0 million loss in AOCI as of October 31, 2020 related to the de-designated hedges will be amortized as an increase to interest expense over the original maturity of the de-designated swaps. The de-designated $650 million notional principal amount of fixed interest rate swaps will receive mark-to-market treatment prospectively, with changes in fair value recorded immediately to other (income) expense, net on the statements of income.</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summary of our interest rate swaps is as follows (dollar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Notional Amount</w:t>
            </w:r>
          </w:p>
        </w:tc>
        <w:tc>
          <w:tcPr>
            <w:tcW w:w="2520" w:type="dxa"/>
            <w:vAlign w:val="bottom"/>
            <w:gridSpan w:val="2"/>
          </w:tcPr>
          <w:p>
            <w:pPr>
              <w:jc w:val="right"/>
              <w:ind w:right="1840"/>
              <w:spacing w:after="0"/>
              <w:rPr>
                <w:sz w:val="20"/>
                <w:szCs w:val="20"/>
                <w:color w:val="auto"/>
              </w:rPr>
            </w:pPr>
            <w:r>
              <w:rPr>
                <w:rFonts w:ascii="Arial" w:cs="Arial" w:eastAsia="Arial" w:hAnsi="Arial"/>
                <w:sz w:val="14"/>
                <w:szCs w:val="14"/>
                <w:b w:val="1"/>
                <w:bCs w:val="1"/>
                <w:color w:val="auto"/>
                <w:w w:val="93"/>
              </w:rPr>
              <w:t>Fixed Rate</w:t>
            </w:r>
          </w:p>
        </w:tc>
        <w:tc>
          <w:tcPr>
            <w:tcW w:w="316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2"/>
              </w:rPr>
              <w:t>Effective Date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3"/>
        </w:trPr>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 xml:space="preserve">250,000 </w:t>
            </w:r>
            <w:r>
              <w:rPr>
                <w:rFonts w:ascii="Arial" w:cs="Arial" w:eastAsia="Arial" w:hAnsi="Arial"/>
                <w:sz w:val="15"/>
                <w:szCs w:val="15"/>
                <w:color w:val="auto"/>
              </w:rPr>
              <w:t>(1)</w:t>
            </w:r>
          </w:p>
        </w:tc>
        <w:tc>
          <w:tcPr>
            <w:tcW w:w="2520" w:type="dxa"/>
            <w:vAlign w:val="bottom"/>
            <w:gridSpan w:val="2"/>
            <w:shd w:val="clear" w:color="auto" w:fill="CCEEFF"/>
          </w:tcPr>
          <w:p>
            <w:pPr>
              <w:jc w:val="right"/>
              <w:ind w:right="1660"/>
              <w:spacing w:after="0" w:line="203" w:lineRule="exact"/>
              <w:rPr>
                <w:sz w:val="20"/>
                <w:szCs w:val="20"/>
                <w:color w:val="auto"/>
              </w:rPr>
            </w:pPr>
            <w:r>
              <w:rPr>
                <w:rFonts w:ascii="Arial" w:cs="Arial" w:eastAsia="Arial" w:hAnsi="Arial"/>
                <w:sz w:val="18"/>
                <w:szCs w:val="18"/>
                <w:color w:val="auto"/>
              </w:rPr>
              <w:t>2.21%</w:t>
            </w: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September 7, 2016</w:t>
            </w:r>
          </w:p>
        </w:tc>
        <w:tc>
          <w:tcPr>
            <w:tcW w:w="17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September 3, 2021</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250,000</w:t>
            </w:r>
          </w:p>
        </w:tc>
        <w:tc>
          <w:tcPr>
            <w:tcW w:w="2520" w:type="dxa"/>
            <w:vAlign w:val="bottom"/>
            <w:gridSpan w:val="2"/>
          </w:tcPr>
          <w:p>
            <w:pPr>
              <w:jc w:val="right"/>
              <w:ind w:right="1660"/>
              <w:spacing w:after="0"/>
              <w:rPr>
                <w:sz w:val="20"/>
                <w:szCs w:val="20"/>
                <w:color w:val="auto"/>
              </w:rPr>
            </w:pPr>
            <w:r>
              <w:rPr>
                <w:rFonts w:ascii="Arial" w:cs="Arial" w:eastAsia="Arial" w:hAnsi="Arial"/>
                <w:sz w:val="18"/>
                <w:szCs w:val="18"/>
                <w:color w:val="auto"/>
              </w:rPr>
              <w:t>1.54%</w:t>
            </w:r>
          </w:p>
        </w:tc>
        <w:tc>
          <w:tcPr>
            <w:tcW w:w="3160" w:type="dxa"/>
            <w:vAlign w:val="bottom"/>
            <w:gridSpan w:val="2"/>
          </w:tcPr>
          <w:p>
            <w:pPr>
              <w:jc w:val="center"/>
              <w:ind w:right="1700"/>
              <w:spacing w:after="0"/>
              <w:rPr>
                <w:sz w:val="20"/>
                <w:szCs w:val="20"/>
                <w:color w:val="auto"/>
              </w:rPr>
            </w:pPr>
            <w:r>
              <w:rPr>
                <w:rFonts w:ascii="Arial" w:cs="Arial" w:eastAsia="Arial" w:hAnsi="Arial"/>
                <w:sz w:val="18"/>
                <w:szCs w:val="18"/>
                <w:color w:val="auto"/>
                <w:w w:val="90"/>
              </w:rPr>
              <w:t>November 1, 2016</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November 1, 2021</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400,000</w:t>
            </w:r>
          </w:p>
        </w:tc>
        <w:tc>
          <w:tcPr>
            <w:tcW w:w="2520" w:type="dxa"/>
            <w:vAlign w:val="bottom"/>
            <w:gridSpan w:val="2"/>
            <w:shd w:val="clear" w:color="auto" w:fill="CCEEFF"/>
          </w:tcPr>
          <w:p>
            <w:pPr>
              <w:jc w:val="right"/>
              <w:ind w:right="1660"/>
              <w:spacing w:after="0"/>
              <w:rPr>
                <w:sz w:val="20"/>
                <w:szCs w:val="20"/>
                <w:color w:val="auto"/>
              </w:rPr>
            </w:pPr>
            <w:r>
              <w:rPr>
                <w:rFonts w:ascii="Arial" w:cs="Arial" w:eastAsia="Arial" w:hAnsi="Arial"/>
                <w:sz w:val="18"/>
                <w:szCs w:val="18"/>
                <w:color w:val="auto"/>
              </w:rPr>
              <w:t>2.54%</w:t>
            </w:r>
          </w:p>
        </w:tc>
        <w:tc>
          <w:tcPr>
            <w:tcW w:w="31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2"/>
              </w:rPr>
              <w:t>March 1, 2018</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 2021</w:t>
            </w:r>
          </w:p>
        </w:tc>
      </w:tr>
    </w:tbl>
    <w:p>
      <w:pPr>
        <w:spacing w:after="0" w:line="229" w:lineRule="exact"/>
        <w:rPr>
          <w:sz w:val="20"/>
          <w:szCs w:val="20"/>
          <w:color w:val="auto"/>
        </w:rPr>
      </w:pPr>
    </w:p>
    <w:p>
      <w:pPr>
        <w:ind w:left="540" w:right="280" w:hanging="424"/>
        <w:spacing w:after="0" w:line="277" w:lineRule="auto"/>
        <w:tabs>
          <w:tab w:leader="none" w:pos="540" w:val="left"/>
        </w:tabs>
        <w:numPr>
          <w:ilvl w:val="0"/>
          <w:numId w:val="233"/>
        </w:numPr>
        <w:rPr>
          <w:rFonts w:ascii="Arial" w:cs="Arial" w:eastAsia="Arial" w:hAnsi="Arial"/>
          <w:sz w:val="15"/>
          <w:szCs w:val="15"/>
          <w:color w:val="auto"/>
        </w:rPr>
      </w:pPr>
      <w:r>
        <w:rPr>
          <w:rFonts w:ascii="Arial" w:cs="Arial" w:eastAsia="Arial" w:hAnsi="Arial"/>
          <w:sz w:val="18"/>
          <w:szCs w:val="18"/>
          <w:color w:val="auto"/>
        </w:rPr>
        <w:t>The initial $600,000 notional amount of the swap amortizes to $525,000, $430,000, $320,000 and $250,000 on September 3, 2017, 2018, 2019 and 2020, respectively.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of these interest rate swaps is as follows (amounts in thousands) as of:</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October 31, 2020</w:t>
            </w:r>
          </w:p>
        </w:tc>
        <w:tc>
          <w:tcPr>
            <w:tcW w:w="4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February 1, 2020</w:t>
            </w:r>
          </w:p>
        </w:tc>
        <w:tc>
          <w:tcPr>
            <w:tcW w:w="460" w:type="dxa"/>
            <w:vAlign w:val="bottom"/>
          </w:tcPr>
          <w:p>
            <w:pPr>
              <w:spacing w:after="0"/>
              <w:rPr>
                <w:sz w:val="14"/>
                <w:szCs w:val="14"/>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November 2,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Derivatives designated as hedging instruments</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Assets</w:t>
            </w:r>
          </w:p>
        </w:tc>
        <w:tc>
          <w:tcPr>
            <w:tcW w:w="136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Amounts included in other current assets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included in accrued expenses and other</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1,198</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6,130</w:t>
            </w: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ind w:left="340"/>
              <w:spacing w:after="0"/>
              <w:rPr>
                <w:sz w:val="20"/>
                <w:szCs w:val="20"/>
                <w:color w:val="auto"/>
              </w:rPr>
            </w:pPr>
            <w:r>
              <w:rPr>
                <w:rFonts w:ascii="Arial" w:cs="Arial" w:eastAsia="Arial" w:hAnsi="Arial"/>
                <w:sz w:val="18"/>
                <w:szCs w:val="18"/>
                <w:color w:val="auto"/>
              </w:rPr>
              <w:t>Amounts included in other long-term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136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1,976</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derivatives designated as hedging</w:t>
            </w:r>
          </w:p>
        </w:tc>
        <w:tc>
          <w:tcPr>
            <w:tcW w:w="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(1,334)</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instruments net liability</w:t>
            </w:r>
          </w:p>
        </w:tc>
        <w:tc>
          <w:tcPr>
            <w:tcW w:w="34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(8,106)</w:t>
            </w:r>
          </w:p>
        </w:tc>
        <w:tc>
          <w:tcPr>
            <w:tcW w:w="8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90"/>
        </w:trPr>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Amounts included in accrued expenses and other</w:t>
            </w:r>
          </w:p>
        </w:tc>
        <w:tc>
          <w:tcPr>
            <w:tcW w:w="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4,548</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ind w:left="520"/>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(4,548)</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instruments</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Total derivatives net liability</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(5,882)</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(8,106)</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For derivatives designated as hedging instruments, amounts included in AOCI are reclassified to interest expense in the same period during which the hedged transaction affects earnings, which is as interest expense is recorded on the underlying 2015 Term Loan Facility. As of October 31, 2020, we estimate that approximately $4.6 million of the balance in AOCI will be reclassified as an increase in interest expense during the next 12 months.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interest expense or other (income) expense, net is as follows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7"/>
              </w:rPr>
              <w:t>Thirty-Nine Weeks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31, 2020</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3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31, 2020</w:t>
            </w:r>
          </w:p>
        </w:tc>
        <w:tc>
          <w:tcPr>
            <w:tcW w:w="7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Accumulated Other Comprehensive Income (Loss),</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(8,339)</w:t>
            </w: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(8,066)</w:t>
            </w: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w:t>
            </w:r>
          </w:p>
        </w:tc>
        <w:tc>
          <w:tcPr>
            <w:tcW w:w="6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(6,284)</w:t>
            </w:r>
          </w:p>
        </w:tc>
        <w:tc>
          <w:tcPr>
            <w:tcW w:w="680" w:type="dxa"/>
            <w:vAlign w:val="bottom"/>
            <w:gridSpan w:val="2"/>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2"/>
        </w:trPr>
        <w:tc>
          <w:tcPr>
            <w:tcW w:w="4060" w:type="dxa"/>
            <w:vAlign w:val="bottom"/>
          </w:tcPr>
          <w:p>
            <w:pPr>
              <w:ind w:left="360"/>
              <w:spacing w:after="0" w:line="201" w:lineRule="exact"/>
              <w:rPr>
                <w:sz w:val="20"/>
                <w:szCs w:val="20"/>
                <w:color w:val="auto"/>
              </w:rPr>
            </w:pPr>
            <w:r>
              <w:rPr>
                <w:rFonts w:ascii="Arial" w:cs="Arial" w:eastAsia="Arial" w:hAnsi="Arial"/>
                <w:sz w:val="18"/>
                <w:szCs w:val="18"/>
                <w:color w:val="auto"/>
              </w:rPr>
              <w:t>Loss deferred into AOCI (net of tax impact of</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(278)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8"/>
                <w:szCs w:val="18"/>
                <w:b w:val="1"/>
                <w:bCs w:val="1"/>
                <w:color w:val="auto"/>
              </w:rPr>
              <w:t>(5,318)</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4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(1,317)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(14,459)</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Increase (decrease) to interest expense (net of</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2,590</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7,357</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impact of $221)</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2"/>
        </w:trPr>
        <w:tc>
          <w:tcPr>
            <w:tcW w:w="4060" w:type="dxa"/>
            <w:vAlign w:val="bottom"/>
          </w:tcPr>
          <w:p>
            <w:pPr>
              <w:ind w:left="360"/>
              <w:spacing w:after="0" w:line="201" w:lineRule="exact"/>
              <w:rPr>
                <w:sz w:val="20"/>
                <w:szCs w:val="20"/>
                <w:color w:val="auto"/>
              </w:rPr>
            </w:pPr>
            <w:r>
              <w:rPr>
                <w:rFonts w:ascii="Arial" w:cs="Arial" w:eastAsia="Arial" w:hAnsi="Arial"/>
                <w:sz w:val="18"/>
                <w:szCs w:val="18"/>
                <w:color w:val="auto"/>
              </w:rPr>
              <w:t>Loss on swaps from debt refinancing in other</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40"/>
              <w:spacing w:after="0"/>
              <w:rPr>
                <w:sz w:val="20"/>
                <w:szCs w:val="20"/>
                <w:color w:val="auto"/>
              </w:rPr>
            </w:pPr>
            <w:r>
              <w:rPr>
                <w:rFonts w:ascii="Arial" w:cs="Arial" w:eastAsia="Arial" w:hAnsi="Arial"/>
                <w:sz w:val="18"/>
                <w:szCs w:val="18"/>
                <w:color w:val="auto"/>
              </w:rPr>
              <w:t>(income) expense, net (net of tax impact of</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40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74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54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Accumulated Other Comprehensive Income (Loss),</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(5,027)</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(5,027)</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ending</w:t>
            </w:r>
          </w:p>
        </w:tc>
        <w:tc>
          <w:tcPr>
            <w:tcW w:w="6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(7,455)</w:t>
            </w:r>
          </w:p>
        </w:tc>
        <w:tc>
          <w:tcPr>
            <w:tcW w:w="680" w:type="dxa"/>
            <w:vAlign w:val="bottom"/>
            <w:gridSpan w:val="2"/>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left="560" w:right="240" w:firstLine="423"/>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measurements are classified as either:</w:t>
      </w:r>
    </w:p>
    <w:p>
      <w:pPr>
        <w:spacing w:after="0" w:line="131" w:lineRule="exact"/>
        <w:rPr>
          <w:sz w:val="20"/>
          <w:szCs w:val="20"/>
          <w:color w:val="auto"/>
        </w:rPr>
      </w:pPr>
    </w:p>
    <w:p>
      <w:pPr>
        <w:ind w:left="1540" w:right="80" w:hanging="439"/>
        <w:spacing w:after="0" w:line="277" w:lineRule="auto"/>
        <w:tabs>
          <w:tab w:leader="none" w:pos="1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75" w:lineRule="exact"/>
        <w:rPr>
          <w:rFonts w:ascii="Arial" w:cs="Arial" w:eastAsia="Arial" w:hAnsi="Arial"/>
          <w:sz w:val="18"/>
          <w:szCs w:val="18"/>
          <w:color w:val="auto"/>
        </w:rPr>
      </w:pPr>
    </w:p>
    <w:p>
      <w:pPr>
        <w:ind w:left="1540" w:right="200" w:hanging="439"/>
        <w:spacing w:after="0" w:line="263" w:lineRule="auto"/>
        <w:tabs>
          <w:tab w:leader="none" w:pos="1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9" w:lineRule="exact"/>
        <w:rPr>
          <w:rFonts w:ascii="Arial" w:cs="Arial" w:eastAsia="Arial" w:hAnsi="Arial"/>
          <w:sz w:val="18"/>
          <w:szCs w:val="18"/>
          <w:color w:val="auto"/>
        </w:rPr>
      </w:pPr>
    </w:p>
    <w:p>
      <w:pPr>
        <w:ind w:left="1540" w:right="300" w:hanging="439"/>
        <w:spacing w:after="0" w:line="277" w:lineRule="auto"/>
        <w:tabs>
          <w:tab w:leader="none" w:pos="1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62" w:lineRule="exact"/>
        <w:rPr>
          <w:sz w:val="20"/>
          <w:szCs w:val="20"/>
          <w:color w:val="auto"/>
        </w:rPr>
      </w:pPr>
    </w:p>
    <w:p>
      <w:pPr>
        <w:ind w:left="560" w:right="20" w:firstLine="423"/>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Fair Value Hierarchy</w:t>
            </w:r>
          </w:p>
        </w:tc>
        <w:tc>
          <w:tcPr>
            <w:tcW w:w="58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October 31, 2020</w:t>
            </w: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4"/>
              </w:rPr>
              <w:t>November 2, 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Assets</w:t>
            </w:r>
          </w:p>
        </w:tc>
        <w:tc>
          <w:tcPr>
            <w:tcW w:w="13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Level 2</w:t>
            </w:r>
          </w:p>
        </w:tc>
        <w:tc>
          <w:tcPr>
            <w:tcW w:w="9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Liabilities</w:t>
            </w: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Level 2</w:t>
            </w:r>
          </w:p>
        </w:tc>
        <w:tc>
          <w:tcPr>
            <w:tcW w:w="9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5,882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8,106</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F-54</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firstLine="423"/>
        <w:spacing w:after="0" w:line="291" w:lineRule="auto"/>
        <w:rPr>
          <w:sz w:val="20"/>
          <w:szCs w:val="20"/>
          <w:color w:val="auto"/>
        </w:rPr>
      </w:pPr>
      <w:r>
        <w:rPr>
          <w:rFonts w:ascii="Arial" w:cs="Arial" w:eastAsia="Arial" w:hAnsi="Arial"/>
          <w:sz w:val="16"/>
          <w:szCs w:val="16"/>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As of October 31, 2020 and February 1, 2020, we held $767.0 million and $113.3 million in money market funds, respectively. We held no investments in money market funds as of November 2, 2019.</w:t>
      </w:r>
    </w:p>
    <w:p>
      <w:pPr>
        <w:spacing w:after="0" w:line="76" w:lineRule="exact"/>
        <w:rPr>
          <w:sz w:val="20"/>
          <w:szCs w:val="20"/>
          <w:color w:val="auto"/>
        </w:rPr>
      </w:pPr>
    </w:p>
    <w:p>
      <w:pPr>
        <w:ind w:left="560" w:right="180" w:firstLine="423"/>
        <w:spacing w:after="0" w:line="301" w:lineRule="auto"/>
        <w:rPr>
          <w:sz w:val="20"/>
          <w:szCs w:val="20"/>
          <w:color w:val="auto"/>
        </w:rPr>
      </w:pPr>
      <w:r>
        <w:rPr>
          <w:rFonts w:ascii="Arial" w:cs="Arial" w:eastAsia="Arial" w:hAnsi="Arial"/>
          <w:sz w:val="16"/>
          <w:szCs w:val="16"/>
          <w:color w:val="auto"/>
        </w:rPr>
        <w:t>The fair value of the 2015 Term Loan Facility is estimated using a discounted cash flow analysis based on quoted market prices for the instrument in an inactive market and is therefore classified as Level 2 within the fair value hierarchy. As of October 31, 2020, February 1, 2020 and November 2, 2019, the estimated fair value of our 2015 Term Loan Facility was $1.4 billion, $1.2 billion and $1.0 billion, respectively. As borrowings on the 2018 ABL Facility are generally repaid in less than 12 months, we believe that fair value approximates the carrying value.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Property and equipment consists of the following (amounts in thousands) as of:</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3"/>
              </w:rPr>
              <w:t>October 31,</w:t>
            </w:r>
          </w:p>
        </w:tc>
        <w:tc>
          <w:tcPr>
            <w:tcW w:w="14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7"/>
              </w:rPr>
              <w:t>February 1,</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w:t>
            </w:r>
          </w:p>
        </w:tc>
      </w:tr>
      <w:tr>
        <w:trPr>
          <w:trHeight w:val="171"/>
        </w:trPr>
        <w:tc>
          <w:tcPr>
            <w:tcW w:w="6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435,094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433,266</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Equipment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543,147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537,364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527,845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317,371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316,420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314,909</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27,979</w:t>
            </w: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17,639</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21,197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3,698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w:t>
            </w: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1,327,289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1,311,928</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1,300,915</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8"/>
              </w:rPr>
              <w:t>(944,669)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(870,521)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(846,509)</w:t>
            </w: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382,620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441,407</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454,406</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Depreciation expense was $25.5 million and $79.7 million in the thirteen and thirty-nine weeks ended October 31, 2020, respectively, and $29.6 million and $88.7 million in the thirteen and thirty-nine weeks ended November 2,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 xml:space="preserve">In April 2020, the Financial Accounting Standards Board issued </w:t>
      </w:r>
      <w:r>
        <w:rPr>
          <w:rFonts w:ascii="Arial" w:cs="Arial" w:eastAsia="Arial" w:hAnsi="Arial"/>
          <w:sz w:val="18"/>
          <w:szCs w:val="18"/>
          <w:i w:val="1"/>
          <w:iCs w:val="1"/>
          <w:color w:val="auto"/>
        </w:rPr>
        <w:t>Staff Q&amp;A—Topic 842 and Topic 840: Accounting For Lease Concessions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Effects of the COVID-19 Pandemic</w:t>
      </w:r>
      <w:r>
        <w:rPr>
          <w:rFonts w:ascii="Arial" w:cs="Arial" w:eastAsia="Arial" w:hAnsi="Arial"/>
          <w:sz w:val="18"/>
          <w:szCs w:val="18"/>
          <w:color w:val="auto"/>
        </w:rPr>
        <w:t>. This guidance provides entities with the option to elect to account for certain lease concessions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60"/>
          </w:cols>
          <w:pgMar w:left="320" w:top="459" w:right="5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 xml:space="preserve">Topic 842, </w:t>
      </w:r>
      <w:r>
        <w:rPr>
          <w:rFonts w:ascii="Arial" w:cs="Arial" w:eastAsia="Arial" w:hAnsi="Arial"/>
          <w:sz w:val="18"/>
          <w:szCs w:val="18"/>
          <w:i w:val="1"/>
          <w:iCs w:val="1"/>
          <w:color w:val="auto"/>
        </w:rPr>
        <w:t>Leases</w:t>
      </w:r>
      <w:r>
        <w:rPr>
          <w:rFonts w:ascii="Arial" w:cs="Arial" w:eastAsia="Arial" w:hAnsi="Arial"/>
          <w:sz w:val="18"/>
          <w:szCs w:val="18"/>
          <w:color w:val="auto"/>
        </w:rPr>
        <w:t>, to those contracts. During the thirteen and thirty-nine weeks ended October 31, 2020, the Company received $0.4 million and $2.4 million, respectively, in lease expense credit related to landlord abated rent as a result of the elections made under this guidance. Additionally, during the thirteen and thirty-nine weeks ended October 31, 2020, the Company signed six and 46 lease extensions, respectively, requiring lease modification accounting treatment.</w:t>
      </w:r>
    </w:p>
    <w:p>
      <w:pPr>
        <w:spacing w:after="0" w:line="79"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The components of lease expense and sublease income included in selling, general and administrative (“SG&amp;A”) expenses on our statement of income is as follows (amounts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Thirteen Weeks Ended</w:t>
            </w:r>
          </w:p>
        </w:tc>
        <w:tc>
          <w:tcPr>
            <w:tcW w:w="22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526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58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7"/>
              </w:rPr>
              <w:t>October 31,</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49,159</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$ 147,528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146,039</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3,527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Sublease income</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(403)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lease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50,866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50,712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$ 150,414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150,639</w:t>
            </w: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Information about our operating leases is as follows (dollar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8"/>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7"/>
          </w:tcPr>
          <w:p>
            <w:pPr>
              <w:ind w:left="4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44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460" w:type="dxa"/>
            <w:vAlign w:val="bottom"/>
          </w:tcPr>
          <w:p>
            <w:pPr>
              <w:spacing w:after="0"/>
              <w:rPr>
                <w:sz w:val="10"/>
                <w:szCs w:val="10"/>
                <w:color w:val="auto"/>
              </w:rPr>
            </w:pPr>
          </w:p>
        </w:tc>
        <w:tc>
          <w:tcPr>
            <w:tcW w:w="112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November 2,</w:t>
            </w:r>
          </w:p>
        </w:tc>
        <w:tc>
          <w:tcPr>
            <w:tcW w:w="40" w:type="dxa"/>
            <w:vAlign w:val="bottom"/>
          </w:tcPr>
          <w:p>
            <w:pPr>
              <w:spacing w:after="0"/>
              <w:rPr>
                <w:sz w:val="10"/>
                <w:szCs w:val="10"/>
                <w:color w:val="auto"/>
              </w:rPr>
            </w:pPr>
          </w:p>
        </w:tc>
      </w:tr>
      <w:tr>
        <w:trPr>
          <w:trHeight w:val="171"/>
        </w:trPr>
        <w:tc>
          <w:tcPr>
            <w:tcW w:w="440" w:type="dxa"/>
            <w:vAlign w:val="bottom"/>
            <w:tcBorders>
              <w:bottom w:val="single" w:sz="8" w:color="CCEEFF"/>
            </w:tcBorders>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7"/>
              </w:rPr>
              <w:t>13,477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3"/>
              </w:rPr>
              <w:t>32,520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84,595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55,562</w:t>
            </w:r>
          </w:p>
        </w:tc>
        <w:tc>
          <w:tcPr>
            <w:tcW w:w="40" w:type="dxa"/>
            <w:vAlign w:val="bottom"/>
            <w:shd w:val="clear" w:color="auto" w:fill="CCEEFF"/>
          </w:tcPr>
          <w:p>
            <w:pPr>
              <w:spacing w:after="0"/>
              <w:rPr>
                <w:sz w:val="18"/>
                <w:szCs w:val="18"/>
                <w:color w:val="auto"/>
              </w:rPr>
            </w:pPr>
          </w:p>
        </w:tc>
      </w:tr>
      <w:tr>
        <w:trPr>
          <w:trHeight w:val="234"/>
        </w:trPr>
        <w:tc>
          <w:tcPr>
            <w:tcW w:w="618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48,092</w:t>
            </w:r>
          </w:p>
        </w:tc>
        <w:tc>
          <w:tcPr>
            <w:tcW w:w="6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48,283</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130,274</w:t>
            </w:r>
          </w:p>
        </w:tc>
        <w:tc>
          <w:tcPr>
            <w:tcW w:w="20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143,848</w:t>
            </w:r>
          </w:p>
        </w:tc>
      </w:tr>
      <w:tr>
        <w:trPr>
          <w:trHeight w:val="350"/>
        </w:trPr>
        <w:tc>
          <w:tcPr>
            <w:tcW w:w="4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6"/>
          </w:tcPr>
          <w:p>
            <w:pPr>
              <w:jc w:val="center"/>
              <w:ind w:right="84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November 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44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w w:val="85"/>
              </w:rPr>
              <w:t>10.9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9.09%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ind w:left="500"/>
              <w:spacing w:after="0"/>
              <w:rPr>
                <w:sz w:val="20"/>
                <w:szCs w:val="20"/>
                <w:color w:val="auto"/>
              </w:rPr>
            </w:pPr>
            <w:r>
              <w:rPr>
                <w:rFonts w:ascii="Arial" w:cs="Arial" w:eastAsia="Arial" w:hAnsi="Arial"/>
                <w:sz w:val="18"/>
                <w:szCs w:val="18"/>
                <w:color w:val="auto"/>
                <w:w w:val="97"/>
              </w:rPr>
              <w:t>8.88%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3" w:lineRule="exact"/>
        <w:rPr>
          <w:sz w:val="20"/>
          <w:szCs w:val="20"/>
          <w:color w:val="auto"/>
        </w:rPr>
      </w:pPr>
    </w:p>
    <w:p>
      <w:pPr>
        <w:ind w:left="560" w:right="560" w:firstLine="423"/>
        <w:spacing w:after="0" w:line="263" w:lineRule="auto"/>
        <w:rPr>
          <w:sz w:val="20"/>
          <w:szCs w:val="20"/>
          <w:color w:val="auto"/>
        </w:rPr>
      </w:pPr>
      <w:r>
        <w:rPr>
          <w:rFonts w:ascii="Arial" w:cs="Arial" w:eastAsia="Arial" w:hAnsi="Arial"/>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maturities of lease liabilities by fiscal year are as follows (amounts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October 31,</w:t>
            </w:r>
          </w:p>
        </w:tc>
      </w:tr>
      <w:tr>
        <w:trPr>
          <w:trHeight w:val="171"/>
        </w:trPr>
        <w:tc>
          <w:tcPr>
            <w:tcW w:w="7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48,759</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196,666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194,316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186,750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178,462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172,512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After 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1,051,915</w:t>
            </w:r>
          </w:p>
        </w:tc>
        <w:tc>
          <w:tcPr>
            <w:tcW w:w="80" w:type="dxa"/>
            <w:vAlign w:val="bottom"/>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 xml:space="preserve">Total payments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2,029,380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(778,599)</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1,250,781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40" w:hanging="424"/>
        <w:spacing w:after="0" w:line="277" w:lineRule="auto"/>
        <w:tabs>
          <w:tab w:leader="none" w:pos="540" w:val="left"/>
        </w:tabs>
        <w:numPr>
          <w:ilvl w:val="0"/>
          <w:numId w:val="235"/>
        </w:numPr>
        <w:rPr>
          <w:rFonts w:ascii="Arial" w:cs="Arial" w:eastAsia="Arial" w:hAnsi="Arial"/>
          <w:sz w:val="15"/>
          <w:szCs w:val="15"/>
          <w:color w:val="auto"/>
        </w:rPr>
      </w:pPr>
      <w:r>
        <w:rPr>
          <w:rFonts w:ascii="Arial" w:cs="Arial" w:eastAsia="Arial" w:hAnsi="Arial"/>
          <w:sz w:val="18"/>
          <w:szCs w:val="18"/>
          <w:color w:val="auto"/>
        </w:rPr>
        <w:t>Minimum lease payments have not been reduced by sublease rentals of $1.9 million as of October 31, 2020 due in the future under non-cancelable subleases.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November 2,</w:t>
            </w:r>
          </w:p>
        </w:tc>
      </w:tr>
      <w:tr>
        <w:trPr>
          <w:trHeight w:val="171"/>
        </w:trPr>
        <w:tc>
          <w:tcPr>
            <w:tcW w:w="6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Accrued personnel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72,995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54,065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41,237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2,787</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Accrued sales and use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18,590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12,651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18,041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self-insurance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13,136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14,107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revenue - gift cards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54,557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70,220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49,603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19,197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4,575</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5,184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49,679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50,066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Sales return allowance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22,675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16,563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25,826</w:t>
            </w: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274,612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211,381</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219,992</w:t>
            </w:r>
          </w:p>
        </w:tc>
        <w:tc>
          <w:tcPr>
            <w:tcW w:w="4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 and Share-Based Compensation</w:t>
      </w:r>
    </w:p>
    <w:p>
      <w:pPr>
        <w:spacing w:after="0" w:line="121" w:lineRule="exact"/>
        <w:rPr>
          <w:sz w:val="20"/>
          <w:szCs w:val="20"/>
          <w:color w:val="auto"/>
        </w:rPr>
      </w:pPr>
    </w:p>
    <w:p>
      <w:pPr>
        <w:ind w:left="560" w:right="80" w:firstLine="423"/>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October 31, 2020, there were 4,996,703 shares that were authorized and available for grant under the 2020 Share Incentive Plan.</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76"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76" w:lineRule="exact"/>
        <w:rPr>
          <w:sz w:val="20"/>
          <w:szCs w:val="20"/>
          <w:color w:val="auto"/>
        </w:rPr>
      </w:pPr>
    </w:p>
    <w:p>
      <w:pPr>
        <w:ind w:left="560" w:right="40" w:firstLine="423"/>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80" w:lineRule="exact"/>
        <w:rPr>
          <w:sz w:val="20"/>
          <w:szCs w:val="20"/>
          <w:color w:val="auto"/>
        </w:rPr>
      </w:pPr>
    </w:p>
    <w:p>
      <w:pPr>
        <w:ind w:left="560" w:right="40" w:firstLine="423"/>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76" w:lineRule="exact"/>
        <w:rPr>
          <w:sz w:val="20"/>
          <w:szCs w:val="20"/>
          <w:color w:val="auto"/>
        </w:rPr>
      </w:pPr>
    </w:p>
    <w:p>
      <w:pPr>
        <w:ind w:left="560" w:right="600" w:firstLine="423"/>
        <w:spacing w:after="0" w:line="342" w:lineRule="auto"/>
        <w:rPr>
          <w:sz w:val="20"/>
          <w:szCs w:val="20"/>
          <w:color w:val="auto"/>
        </w:rPr>
      </w:pPr>
      <w:r>
        <w:rPr>
          <w:rFonts w:ascii="Arial" w:cs="Arial" w:eastAsia="Arial" w:hAnsi="Arial"/>
          <w:sz w:val="16"/>
          <w:szCs w:val="16"/>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16" w:lineRule="exact"/>
        <w:rPr>
          <w:sz w:val="20"/>
          <w:szCs w:val="20"/>
          <w:color w:val="auto"/>
        </w:rPr>
      </w:pPr>
    </w:p>
    <w:p>
      <w:pPr>
        <w:ind w:left="560" w:right="240" w:firstLine="423"/>
        <w:spacing w:after="0" w:line="257" w:lineRule="auto"/>
        <w:rPr>
          <w:sz w:val="20"/>
          <w:szCs w:val="20"/>
          <w:color w:val="auto"/>
        </w:rPr>
      </w:pPr>
      <w:r>
        <w:rPr>
          <w:rFonts w:ascii="Arial" w:cs="Arial" w:eastAsia="Arial" w:hAnsi="Arial"/>
          <w:sz w:val="18"/>
          <w:szCs w:val="18"/>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requirement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80" w:lineRule="exact"/>
        <w:rPr>
          <w:sz w:val="20"/>
          <w:szCs w:val="20"/>
          <w:color w:val="auto"/>
        </w:rPr>
      </w:pPr>
    </w:p>
    <w:p>
      <w:pPr>
        <w:ind w:left="560" w:right="380" w:firstLine="423"/>
        <w:spacing w:after="0" w:line="257" w:lineRule="auto"/>
        <w:rPr>
          <w:sz w:val="20"/>
          <w:szCs w:val="20"/>
          <w:color w:val="auto"/>
        </w:rPr>
      </w:pPr>
      <w:r>
        <w:rPr>
          <w:rFonts w:ascii="Arial" w:cs="Arial" w:eastAsia="Arial" w:hAnsi="Arial"/>
          <w:sz w:val="18"/>
          <w:szCs w:val="18"/>
          <w:color w:val="auto"/>
        </w:rPr>
        <w:t>Equity compensation expense was $23.4 million and $27.0 million in the thirteen and thirty-nine weeks ended October 31, 2020, respectively, which includes approximately $19.9 million of stock compensation expense associated with the vesting of certain outstanding restricted stock units as a result of the liquidity condition being achieved upon completion of our IPO. Equity compensation expense was $1.4 million and $5.9 million in the thirteen and thirty-nine weeks ended November 2, 2019, respectively. These costs are included in selling, general and administrative expenses in the statements of income.</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jc w:val="both"/>
        <w:ind w:left="560" w:right="120" w:firstLine="423"/>
        <w:spacing w:after="0" w:line="287" w:lineRule="auto"/>
        <w:rPr>
          <w:sz w:val="20"/>
          <w:szCs w:val="20"/>
          <w:color w:val="auto"/>
        </w:rPr>
      </w:pPr>
      <w:r>
        <w:rPr>
          <w:rFonts w:ascii="Arial" w:cs="Arial" w:eastAsia="Arial" w:hAnsi="Arial"/>
          <w:sz w:val="16"/>
          <w:szCs w:val="16"/>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w:t>
      </w:r>
    </w:p>
    <w:p>
      <w:pPr>
        <w:spacing w:after="0" w:line="2" w:lineRule="exact"/>
        <w:rPr>
          <w:sz w:val="20"/>
          <w:szCs w:val="20"/>
          <w:color w:val="auto"/>
        </w:rPr>
      </w:pPr>
    </w:p>
    <w:p>
      <w:pPr>
        <w:ind w:left="560" w:right="20"/>
        <w:spacing w:after="0" w:line="292" w:lineRule="auto"/>
        <w:rPr>
          <w:sz w:val="20"/>
          <w:szCs w:val="20"/>
          <w:color w:val="auto"/>
        </w:rPr>
      </w:pPr>
      <w:r>
        <w:rPr>
          <w:rFonts w:ascii="Arial" w:cs="Arial" w:eastAsia="Arial" w:hAnsi="Arial"/>
          <w:sz w:val="16"/>
          <w:szCs w:val="16"/>
          <w:color w:val="auto"/>
        </w:rPr>
        <w:t>Holders of the outstanding granted equity Awards are entitled to receive value equal to $1.1257 per Award (or $3.5460 as converted using the Contribution Ratio), which was or will be made in the form of cash payments, additional Restricted Unit grants or Unit Option exercise price adjustments. Cash payments due for unvested Awards will be payable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68" w:lineRule="exact"/>
        <w:rPr>
          <w:sz w:val="20"/>
          <w:szCs w:val="20"/>
          <w:color w:val="auto"/>
        </w:rPr>
      </w:pPr>
    </w:p>
    <w:p>
      <w:pPr>
        <w:ind w:left="1540" w:hanging="331"/>
        <w:spacing w:after="0"/>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130" w:lineRule="exact"/>
        <w:rPr>
          <w:rFonts w:ascii="Arial" w:cs="Arial" w:eastAsia="Arial" w:hAnsi="Arial"/>
          <w:sz w:val="18"/>
          <w:szCs w:val="18"/>
          <w:color w:val="auto"/>
        </w:rPr>
      </w:pPr>
    </w:p>
    <w:p>
      <w:pPr>
        <w:ind w:left="1540" w:right="20" w:hanging="331"/>
        <w:spacing w:after="0" w:line="259" w:lineRule="auto"/>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Cash payments for vested Unit Options and vested Restricted Units (“Share-Based Award Payments”) of $20.7 million were paid through October 31, 2020. Share-Based Award Payments payable as of October 31, 2020 for unvested awards is $12.1 million, which is reflected within accrued expenses and other current liabilities and other long-term liabilities on the Company’s consolidated balance sheets.</w:t>
      </w:r>
    </w:p>
    <w:p>
      <w:pPr>
        <w:spacing w:after="0" w:line="79"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These exercise price adjustments did not increase the value of the Unit Options and no related additional equity compensation was or will be incurred.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Service Option Fair Value Assumptions</w:t>
      </w:r>
    </w:p>
    <w:p>
      <w:pPr>
        <w:spacing w:after="0" w:line="117" w:lineRule="exact"/>
        <w:rPr>
          <w:sz w:val="20"/>
          <w:szCs w:val="20"/>
          <w:color w:val="auto"/>
        </w:rPr>
      </w:pPr>
    </w:p>
    <w:p>
      <w:pPr>
        <w:ind w:left="560" w:right="160" w:firstLine="423"/>
        <w:spacing w:after="0" w:line="255" w:lineRule="auto"/>
        <w:rPr>
          <w:sz w:val="20"/>
          <w:szCs w:val="20"/>
          <w:color w:val="auto"/>
        </w:rPr>
      </w:pPr>
      <w:r>
        <w:rPr>
          <w:rFonts w:ascii="Arial" w:cs="Arial" w:eastAsia="Arial" w:hAnsi="Arial"/>
          <w:sz w:val="18"/>
          <w:szCs w:val="18"/>
          <w:color w:val="auto"/>
        </w:rPr>
        <w:t>The fair value for Service Options granted was estimated using a Black-Scholes option-pricing model. The expected lives of the Service Options granted were based on the “SEC simplified” method and a mid-point assumption, respectively.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based on the expectation that no dividends will be paid. The assumptions used to calculate the fair value of Awards granted are evaluated and modified, as necessary, to reflect current market conditions and experience.</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presents the assumptions and grant date fair values for Service Options granted in the thirty-nine weeks ended</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October 31, 2020:</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jc w:val="right"/>
              <w:spacing w:after="0"/>
              <w:rPr>
                <w:sz w:val="20"/>
                <w:szCs w:val="20"/>
                <w:color w:val="auto"/>
              </w:rPr>
            </w:pPr>
            <w:r>
              <w:rPr>
                <w:rFonts w:ascii="Arial" w:cs="Arial" w:eastAsia="Arial" w:hAnsi="Arial"/>
                <w:sz w:val="18"/>
                <w:szCs w:val="18"/>
                <w:color w:val="auto"/>
              </w:rPr>
              <w:t>53% to 54%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tcPr>
          <w:p>
            <w:pPr>
              <w:jc w:val="right"/>
              <w:spacing w:after="0"/>
              <w:rPr>
                <w:sz w:val="20"/>
                <w:szCs w:val="20"/>
                <w:color w:val="auto"/>
              </w:rPr>
            </w:pPr>
            <w:r>
              <w:rPr>
                <w:rFonts w:ascii="Arial" w:cs="Arial" w:eastAsia="Arial" w:hAnsi="Arial"/>
                <w:sz w:val="18"/>
                <w:szCs w:val="18"/>
                <w:color w:val="auto"/>
              </w:rPr>
              <w:t>0.39% to 0.76%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presents the Award grants during the thirty-nine weeks ended October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Service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Liquidity</w:t>
            </w:r>
          </w:p>
        </w:tc>
        <w:tc>
          <w:tcPr>
            <w:tcW w:w="8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Service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Event</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Number of shares </w:t>
            </w:r>
            <w:r>
              <w:rPr>
                <w:rFonts w:ascii="Arial" w:cs="Arial" w:eastAsia="Arial" w:hAnsi="Arial"/>
                <w:sz w:val="15"/>
                <w:szCs w:val="15"/>
                <w:color w:val="auto"/>
              </w:rPr>
              <w:t>(1)</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1,417,961</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11,564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1,185,474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Weighted average grant date fair value per Award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17.99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 per Award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37"/>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presents the unrecognized compensation cost as of October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Service</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Liquidity</w:t>
            </w: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Service</w:t>
            </w:r>
          </w:p>
        </w:tc>
        <w:tc>
          <w:tcPr>
            <w:tcW w:w="18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Performance</w:t>
            </w: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Event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 Options</w:t>
            </w: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Units</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Units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expense</w:t>
            </w:r>
          </w:p>
        </w:tc>
        <w:tc>
          <w:tcPr>
            <w:tcW w:w="1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$18,952,974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883,794</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$ 68,493</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$18,037,924</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159,999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Weighted average life remaining in years</w:t>
            </w:r>
          </w:p>
        </w:tc>
        <w:tc>
          <w:tcPr>
            <w:tcW w:w="2100" w:type="dxa"/>
            <w:vAlign w:val="bottom"/>
            <w:gridSpan w:val="3"/>
          </w:tcPr>
          <w:p>
            <w:pPr>
              <w:jc w:val="right"/>
              <w:ind w:right="180"/>
              <w:spacing w:after="0"/>
              <w:rPr>
                <w:sz w:val="20"/>
                <w:szCs w:val="20"/>
                <w:color w:val="auto"/>
              </w:rPr>
            </w:pPr>
            <w:r>
              <w:rPr>
                <w:rFonts w:ascii="Arial" w:cs="Arial" w:eastAsia="Arial" w:hAnsi="Arial"/>
                <w:sz w:val="18"/>
                <w:szCs w:val="18"/>
                <w:color w:val="auto"/>
              </w:rPr>
              <w:t>2.7</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Earnings per Common Share</w:t>
      </w:r>
    </w:p>
    <w:p>
      <w:pPr>
        <w:spacing w:after="0" w:line="121" w:lineRule="exact"/>
        <w:rPr>
          <w:sz w:val="20"/>
          <w:szCs w:val="20"/>
          <w:color w:val="auto"/>
        </w:rPr>
      </w:pPr>
    </w:p>
    <w:p>
      <w:pPr>
        <w:ind w:left="560" w:right="20" w:firstLine="423"/>
        <w:spacing w:after="0" w:line="273" w:lineRule="auto"/>
        <w:rPr>
          <w:sz w:val="20"/>
          <w:szCs w:val="20"/>
          <w:color w:val="auto"/>
        </w:rPr>
      </w:pPr>
      <w:r>
        <w:rPr>
          <w:rFonts w:ascii="Arial" w:cs="Arial" w:eastAsia="Arial" w:hAnsi="Arial"/>
          <w:sz w:val="17"/>
          <w:szCs w:val="17"/>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Basic and diluted weighted average common shares outstanding and basic and diluted earnings per common share are calculated as follows (dollar and share amounts in thousands except per share amounts):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9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217,242</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 xml:space="preserve">Weighted average common shares outstanding - basic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76,771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72,484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73,908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 xml:space="preserve">Dilutive effect of Service Restricted Units and Service Restricted Stock Units </w:t>
            </w:r>
            <w:r>
              <w:rPr>
                <w:rFonts w:ascii="Arial" w:cs="Arial" w:eastAsia="Arial" w:hAnsi="Arial"/>
                <w:sz w:val="15"/>
                <w:szCs w:val="15"/>
                <w:color w:val="auto"/>
                <w:w w:val="96"/>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ind w:left="340"/>
              <w:spacing w:after="0" w:line="201" w:lineRule="exact"/>
              <w:rPr>
                <w:sz w:val="20"/>
                <w:szCs w:val="20"/>
                <w:color w:val="auto"/>
              </w:rPr>
            </w:pPr>
            <w:r>
              <w:rPr>
                <w:rFonts w:ascii="Arial" w:cs="Arial" w:eastAsia="Arial" w:hAnsi="Arial"/>
                <w:sz w:val="18"/>
                <w:szCs w:val="18"/>
                <w:color w:val="auto"/>
              </w:rPr>
              <w:t>Dilutive effect of Performance Restricted Units, Liquidity Event Restricted</w:t>
            </w:r>
          </w:p>
        </w:tc>
        <w:tc>
          <w:tcPr>
            <w:tcW w:w="160" w:type="dxa"/>
            <w:vAlign w:val="bottom"/>
          </w:tcPr>
          <w:p>
            <w:pPr>
              <w:spacing w:after="0"/>
              <w:rPr>
                <w:sz w:val="17"/>
                <w:szCs w:val="1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991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rPr>
              <w:t xml:space="preserve">Units and Performance Restricted Stock Units </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Dilutive effect of Service Options </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871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7"/>
              </w:rPr>
              <w:t xml:space="preserve">Dilutive effect of Performance Unit Options and Performance Stock Options </w:t>
            </w:r>
            <w:r>
              <w:rPr>
                <w:rFonts w:ascii="Arial" w:cs="Arial" w:eastAsia="Arial" w:hAnsi="Arial"/>
                <w:sz w:val="15"/>
                <w:szCs w:val="15"/>
                <w:color w:val="auto"/>
                <w:w w:val="97"/>
              </w:rPr>
              <w:t>(1)</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common shares outstanding - diluted </w:t>
            </w:r>
            <w:r>
              <w:rPr>
                <w:rFonts w:ascii="Arial" w:cs="Arial" w:eastAsia="Arial" w:hAnsi="Arial"/>
                <w:sz w:val="15"/>
                <w:szCs w:val="15"/>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77,171</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 basic</w:t>
            </w: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0.74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 xml:space="preserve">Anti-dilutive stock-based awards excluded from diluted calculation </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4,460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4,153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1,648</w:t>
            </w: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See Retrospective Presentation of Ownership Exchange in Note 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60" w:right="20" w:firstLine="423"/>
        <w:spacing w:after="0" w:line="273" w:lineRule="auto"/>
        <w:rPr>
          <w:sz w:val="20"/>
          <w:szCs w:val="20"/>
          <w:color w:val="auto"/>
        </w:rPr>
      </w:pPr>
      <w:r>
        <w:rPr>
          <w:rFonts w:ascii="Arial" w:cs="Arial" w:eastAsia="Arial" w:hAnsi="Arial"/>
          <w:sz w:val="17"/>
          <w:szCs w:val="17"/>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(see Note 1) completed on October 1, 2020, as described further in the Prospectus,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70"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color w:val="auto"/>
        </w:rPr>
        <w:t>As a result of the Reorganization Transactions, the Company recorded a net deferred tax liability position of $144.2 million, which consisted of the Company’s difference between the Company’s financial statement carrying value and the outside tax basis in its NAHC membership units, immediately following the completion of the Reorganization Transactions, measured at the enacted federal and state income tax rates. Additionally, $4.6 million in current tax liability was assumed by the Company as part of the Reorganization Transaction. The combined entry was recorded as a cumulative adjustment to additional paid-in capital for the year equal to $148.8 million, as reflected in the statement of stockholders’ equity.</w:t>
      </w:r>
    </w:p>
    <w:p>
      <w:pPr>
        <w:spacing w:after="0" w:line="84" w:lineRule="exact"/>
        <w:rPr>
          <w:sz w:val="20"/>
          <w:szCs w:val="20"/>
          <w:color w:val="auto"/>
        </w:rPr>
      </w:pPr>
    </w:p>
    <w:p>
      <w:pPr>
        <w:ind w:left="560" w:right="100" w:firstLine="423"/>
        <w:spacing w:after="0" w:line="277" w:lineRule="auto"/>
        <w:rPr>
          <w:sz w:val="20"/>
          <w:szCs w:val="20"/>
          <w:color w:val="auto"/>
        </w:rPr>
      </w:pPr>
      <w:r>
        <w:rPr>
          <w:rFonts w:ascii="Arial" w:cs="Arial" w:eastAsia="Arial" w:hAnsi="Arial"/>
          <w:sz w:val="18"/>
          <w:szCs w:val="18"/>
          <w:color w:val="auto"/>
        </w:rPr>
        <w:t>The Coronavirus Aid, Relief, and Economic Security Act (“CARES Act”) was enacted in the U.S. on March 27, 2020. We do not anticipate that the enactment of this legislation will significantly impact our full year effective tax rate in fiscal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components of the income tax expense (benefit) are as follows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4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3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r>
      <w:tr>
        <w:trPr>
          <w:trHeight w:val="171"/>
        </w:trPr>
        <w:tc>
          <w:tcPr>
            <w:tcW w:w="40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80" w:type="dxa"/>
            <w:vAlign w:val="bottom"/>
            <w:gridSpan w:val="2"/>
          </w:tcPr>
          <w:p>
            <w:pPr>
              <w:ind w:left="96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8,369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8,369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2,168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4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tax expense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10,546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12,064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Deferred tax expense:</w:t>
            </w:r>
          </w:p>
        </w:tc>
        <w:tc>
          <w:tcPr>
            <w:tcW w:w="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5"/>
              </w:rPr>
              <w:t>(10,024)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(10,024)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(1,715)</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4040" w:type="dxa"/>
            <w:vAlign w:val="bottom"/>
          </w:tcPr>
          <w:p>
            <w:pPr>
              <w:ind w:left="720"/>
              <w:spacing w:after="0"/>
              <w:rPr>
                <w:sz w:val="20"/>
                <w:szCs w:val="20"/>
                <w:color w:val="auto"/>
              </w:rPr>
            </w:pPr>
            <w:r>
              <w:rPr>
                <w:rFonts w:ascii="Arial" w:cs="Arial" w:eastAsia="Arial" w:hAnsi="Arial"/>
                <w:sz w:val="18"/>
                <w:szCs w:val="18"/>
                <w:color w:val="auto"/>
              </w:rPr>
              <w:t>Total deferred tax benefit</w:t>
            </w:r>
          </w:p>
        </w:tc>
        <w:tc>
          <w:tcPr>
            <w:tcW w:w="9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(11,739)</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(11,739)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r>
      <w:tr>
        <w:trPr>
          <w:trHeight w:val="216"/>
        </w:trPr>
        <w:tc>
          <w:tcPr>
            <w:tcW w:w="40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tax expense (benefit)</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325</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20"/>
        </w:trPr>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reconciliation of the statutory U.S. federal income tax rate to our effective income tax rate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10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Thirteen Weeks Ended</w:t>
            </w:r>
          </w:p>
        </w:tc>
        <w:tc>
          <w:tcPr>
            <w:tcW w:w="2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1560" w:type="dxa"/>
            <w:vAlign w:val="bottom"/>
            <w:tcBorders>
              <w:top w:val="single" w:sz="8" w:color="auto"/>
            </w:tcBorders>
            <w:gridSpan w:val="2"/>
          </w:tcPr>
          <w:p>
            <w:pPr>
              <w:jc w:val="right"/>
              <w:ind w:right="840"/>
              <w:spacing w:after="0" w:line="119" w:lineRule="exact"/>
              <w:rPr>
                <w:sz w:val="20"/>
                <w:szCs w:val="20"/>
                <w:color w:val="auto"/>
              </w:rPr>
            </w:pPr>
            <w:r>
              <w:rPr>
                <w:rFonts w:ascii="Arial" w:cs="Arial" w:eastAsia="Arial" w:hAnsi="Arial"/>
                <w:sz w:val="13"/>
                <w:szCs w:val="13"/>
                <w:b w:val="1"/>
                <w:bCs w:val="1"/>
                <w:color w:val="auto"/>
                <w:w w:val="97"/>
              </w:rPr>
              <w:t>October 31,</w:t>
            </w: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November 2,</w:t>
            </w:r>
          </w:p>
        </w:tc>
        <w:tc>
          <w:tcPr>
            <w:tcW w:w="740" w:type="dxa"/>
            <w:vAlign w:val="bottom"/>
          </w:tcPr>
          <w:p>
            <w:pPr>
              <w:spacing w:after="0"/>
              <w:rPr>
                <w:sz w:val="10"/>
                <w:szCs w:val="10"/>
                <w:color w:val="auto"/>
              </w:rPr>
            </w:pPr>
          </w:p>
        </w:tc>
        <w:tc>
          <w:tcPr>
            <w:tcW w:w="152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5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0.8</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0.9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pre-IPO pass-through income allocated to</w:t>
            </w:r>
          </w:p>
        </w:tc>
        <w:tc>
          <w:tcPr>
            <w:tcW w:w="1560" w:type="dxa"/>
            <w:vAlign w:val="bottom"/>
            <w:gridSpan w:val="2"/>
            <w:vMerge w:val="restart"/>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(23.1)</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(21.6)</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our members</w:t>
            </w:r>
          </w:p>
        </w:tc>
        <w:tc>
          <w:tcPr>
            <w:tcW w:w="1560" w:type="dxa"/>
            <w:vAlign w:val="bottom"/>
            <w:gridSpan w:val="2"/>
            <w:vMerge w:val="continue"/>
            <w:shd w:val="clear" w:color="auto" w:fill="CCEEFF"/>
          </w:tcPr>
          <w:p>
            <w:pPr>
              <w:spacing w:after="0"/>
              <w:rPr>
                <w:sz w:val="20"/>
                <w:szCs w:val="20"/>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(21.0)</w:t>
            </w:r>
          </w:p>
        </w:tc>
        <w:tc>
          <w:tcPr>
            <w:tcW w:w="1520" w:type="dxa"/>
            <w:vAlign w:val="bottom"/>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Effect of permanent items</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(0.7)</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(0.2)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foreign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Effective income tax rate</w:t>
            </w: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0.1%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The effective tax rate for the periods reflected is less than the U.S. federal tax rate on corporations primarily as a result of the Company’s status as a flow-through entity prior to October 1, 2020. The thirteen weeks and thirty-nine weeks ended October 31, 2020 includes one month of activity subject to U.S. federal and state income tax in addition to the historically reported Texas franchise tax as a result of the Reorganization Transactions. For complete annual periods on and after October 1, 2020, no portion of the Company’s income remains flow-through to the prior members of NAHC and our estimated statutory federal and state income tax rates are between 24% and 25% before adjustments for permanent differences, valuation allowances and uncertain tax positions.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00"/>
          </w:cols>
          <w:pgMar w:left="320" w:top="459" w:right="57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Components of deferred tax assets and liabilities consist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106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February 1,</w:t>
            </w:r>
          </w:p>
        </w:tc>
        <w:tc>
          <w:tcPr>
            <w:tcW w:w="1540" w:type="dxa"/>
            <w:vAlign w:val="bottom"/>
            <w:gridSpan w:val="4"/>
          </w:tcPr>
          <w:p>
            <w:pPr>
              <w:ind w:left="700"/>
              <w:spacing w:after="0"/>
              <w:rPr>
                <w:sz w:val="20"/>
                <w:szCs w:val="20"/>
                <w:color w:val="auto"/>
              </w:rPr>
            </w:pPr>
            <w:r>
              <w:rPr>
                <w:rFonts w:ascii="Arial" w:cs="Arial" w:eastAsia="Arial" w:hAnsi="Arial"/>
                <w:sz w:val="14"/>
                <w:szCs w:val="14"/>
                <w:b w:val="1"/>
                <w:bCs w:val="1"/>
                <w:color w:val="auto"/>
                <w:w w:val="97"/>
              </w:rPr>
              <w:t>November 2,</w:t>
            </w: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ind w:left="140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40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220</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w w:val="86"/>
              </w:rPr>
              <w:t>764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assets</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220</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764</w:t>
            </w:r>
          </w:p>
        </w:tc>
        <w:tc>
          <w:tcPr>
            <w:tcW w:w="60" w:type="dxa"/>
            <w:vAlign w:val="bottom"/>
            <w:shd w:val="clear" w:color="auto" w:fill="CCEEFF"/>
          </w:tcPr>
          <w:p>
            <w:pPr>
              <w:spacing w:after="0"/>
              <w:rPr>
                <w:sz w:val="18"/>
                <w:szCs w:val="18"/>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NAHC</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w w:val="90"/>
              </w:rPr>
              <w:t>(132,828)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(132,828</w:t>
            </w:r>
          </w:p>
        </w:tc>
        <w:tc>
          <w:tcPr>
            <w:tcW w:w="400" w:type="dxa"/>
            <w:vAlign w:val="bottom"/>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 (liability)</w:t>
            </w:r>
          </w:p>
        </w:tc>
        <w:tc>
          <w:tcPr>
            <w:tcW w:w="1500" w:type="dxa"/>
            <w:vAlign w:val="bottom"/>
            <w:gridSpan w:val="2"/>
            <w:shd w:val="clear" w:color="auto" w:fill="CCEEFF"/>
          </w:tcPr>
          <w:p>
            <w:pPr>
              <w:ind w:left="1400"/>
              <w:spacing w:after="0"/>
              <w:rPr>
                <w:sz w:val="20"/>
                <w:szCs w:val="20"/>
                <w:color w:val="auto"/>
              </w:rPr>
            </w:pPr>
            <w:r>
              <w:rPr>
                <w:rFonts w:ascii="Arial" w:cs="Arial" w:eastAsia="Arial" w:hAnsi="Arial"/>
                <w:sz w:val="18"/>
                <w:szCs w:val="18"/>
                <w:b w:val="1"/>
                <w:bCs w:val="1"/>
                <w:u w:val="single" w:color="auto"/>
                <w:color w:val="auto"/>
                <w:w w:val="79"/>
              </w:rPr>
              <w:t>$</w:t>
            </w: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w w:val="90"/>
              </w:rPr>
              <w:t>(132,701)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220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764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The Reorganization Transactions (see Note 1) resulted in our ownership of 100% of NAHC which continues to operate as a tax partnership. The deferred tax liability as of October 31, 2020 reflects the excess of financial statement carrying value over our tax basis in NAHC membership units measured using the federal income tax rate of 21% and our weighted average state income tax rate equal to approximately 3.8% net of federal tax benefit. For the periods ended February 1, 2020 and November 2, 2019, the net deferred tax asset is included in other noncurrent assets.</w:t>
      </w:r>
    </w:p>
    <w:p>
      <w:pPr>
        <w:spacing w:after="0" w:line="80" w:lineRule="exact"/>
        <w:rPr>
          <w:sz w:val="20"/>
          <w:szCs w:val="20"/>
          <w:color w:val="auto"/>
        </w:rPr>
      </w:pPr>
    </w:p>
    <w:p>
      <w:pPr>
        <w:jc w:val="both"/>
        <w:ind w:left="560" w:right="40" w:firstLine="423"/>
        <w:spacing w:after="0" w:line="263" w:lineRule="auto"/>
        <w:rPr>
          <w:sz w:val="20"/>
          <w:szCs w:val="20"/>
          <w:color w:val="auto"/>
        </w:rPr>
      </w:pPr>
      <w:r>
        <w:rPr>
          <w:rFonts w:ascii="Arial" w:cs="Arial" w:eastAsia="Arial" w:hAnsi="Arial"/>
          <w:sz w:val="18"/>
          <w:szCs w:val="18"/>
          <w:color w:val="auto"/>
        </w:rPr>
        <w:t>Management evaluates the realizability of deferred tax assets and the need for valuation allowances annually. As of October 31, 2020, based on current facts and circumstances, management believes that it is more likely than not the Company will realize benefit for its gross deferred tax assets.</w:t>
      </w:r>
    </w:p>
    <w:p>
      <w:pPr>
        <w:spacing w:after="0" w:line="76"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As of October 31, 2020,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2018 through 2020, and 2017 through 2020,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Monitoring Agreement</w:t>
      </w:r>
    </w:p>
    <w:p>
      <w:pPr>
        <w:spacing w:after="0" w:line="117" w:lineRule="exact"/>
        <w:rPr>
          <w:sz w:val="20"/>
          <w:szCs w:val="20"/>
          <w:color w:val="auto"/>
        </w:rPr>
      </w:pPr>
    </w:p>
    <w:p>
      <w:pPr>
        <w:ind w:left="560" w:right="120" w:firstLine="423"/>
        <w:spacing w:after="0" w:line="293" w:lineRule="auto"/>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 &amp; Co. L.P.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w:t>
      </w:r>
    </w:p>
    <w:p>
      <w:pPr>
        <w:spacing w:after="0" w:line="56"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Upon the completion of the IPO, in the third quarter of 2020 the Monitoring Agreement terminated and we accrued the final termination fee of $12.3 million. The termination fee is equal to the net present value of the advisory fees that would have been paid from the termination date through the twelfth anniversary of the Effective Date of the Monitoring Agreement. We recognized advisory fees related to the Monitoring Agreement, including reimbursement of expenses and the termination fee, of approximately $13.0 million and $14.8 million in each of the thirteen and thirty-nine weeks ended October 31, 2020, respectively, and $0.9 million and $2.7 million in each of the thirteen and thirty-nine weeks ended November 2, 2019, respectively. These expenses are included in selling, general and administrative expenses in the statements of income.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paid $2.7 million to KCM for underwriting services in connection with the IPO.</w:t>
      </w:r>
    </w:p>
    <w:p>
      <w:pPr>
        <w:spacing w:after="0" w:line="117" w:lineRule="exact"/>
        <w:rPr>
          <w:sz w:val="20"/>
          <w:szCs w:val="20"/>
          <w:color w:val="auto"/>
        </w:rPr>
      </w:pPr>
    </w:p>
    <w:p>
      <w:pPr>
        <w:ind w:left="560" w:right="140" w:firstLine="423"/>
        <w:spacing w:after="0" w:line="308" w:lineRule="auto"/>
        <w:rPr>
          <w:sz w:val="20"/>
          <w:szCs w:val="20"/>
          <w:color w:val="auto"/>
        </w:rPr>
      </w:pPr>
      <w:r>
        <w:rPr>
          <w:rFonts w:ascii="Arial" w:cs="Arial" w:eastAsia="Arial" w:hAnsi="Arial"/>
          <w:sz w:val="17"/>
          <w:szCs w:val="17"/>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117" w:lineRule="exact"/>
        <w:rPr>
          <w:sz w:val="20"/>
          <w:szCs w:val="20"/>
          <w:color w:val="auto"/>
        </w:rPr>
      </w:pPr>
    </w:p>
    <w:p>
      <w:pPr>
        <w:ind w:left="560" w:right="180" w:firstLine="423"/>
        <w:spacing w:after="0" w:line="291" w:lineRule="auto"/>
        <w:rPr>
          <w:sz w:val="20"/>
          <w:szCs w:val="20"/>
          <w:color w:val="auto"/>
        </w:rPr>
      </w:pPr>
      <w:r>
        <w:rPr>
          <w:rFonts w:ascii="Arial" w:cs="Arial" w:eastAsia="Arial" w:hAnsi="Arial"/>
          <w:sz w:val="16"/>
          <w:szCs w:val="16"/>
          <w:color w:val="auto"/>
        </w:rPr>
        <w:t>There were no investments in Managers for the thirteen and thirty-nine weeks ended October 31, 2020. During the thirteen and thirty-nine weeks ended November 2, 2019, an executive of the Company purchased Redeemable Membership Units in Managers for approximately</w:t>
      </w:r>
    </w:p>
    <w:p>
      <w:pPr>
        <w:ind w:left="560" w:right="120"/>
        <w:spacing w:after="0" w:line="290" w:lineRule="auto"/>
        <w:rPr>
          <w:sz w:val="20"/>
          <w:szCs w:val="20"/>
          <w:color w:val="auto"/>
        </w:rPr>
      </w:pPr>
      <w:r>
        <w:rPr>
          <w:rFonts w:ascii="Arial" w:cs="Arial" w:eastAsia="Arial" w:hAnsi="Arial"/>
          <w:sz w:val="17"/>
          <w:szCs w:val="17"/>
          <w:color w:val="auto"/>
        </w:rPr>
        <w:t>$0.1 million in cash. The cash consideration paid for the Redeemable Membership Units was concurrently contributed to NAHC by Managers in exchange for a number of NAHC Membership Units equal to the number of Redeemable Membership Units purchased.</w:t>
      </w:r>
    </w:p>
    <w:p>
      <w:pPr>
        <w:spacing w:after="0" w:line="53"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There were no equity repurchases from Managers for the thirteen weeks ended October 31, 2020. During the thirty-nine weeks ended October 31, 2020, Managers repurchased at fair market value approximately $37.0 thousand of Redeemable Membership Units from a director of the Company for cash. During the thirteen and thirty-nine weeks ended November 2, 2019, Managers repurchased at fair market value approximately $0.5 million of Redeemable Membership Units from a director and an executive of the Company for cash. NAHC concurrently repurchased from Managers for cash, at fair market value, a number of NAHC membership units equal to the number of Redeemable Membership Units repurchased from the director and executive.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Notes Receivable from Member and Distribution</w:t>
      </w:r>
    </w:p>
    <w:p>
      <w:pPr>
        <w:spacing w:after="0" w:line="117" w:lineRule="exact"/>
        <w:rPr>
          <w:sz w:val="20"/>
          <w:szCs w:val="20"/>
          <w:color w:val="auto"/>
        </w:rPr>
      </w:pPr>
    </w:p>
    <w:p>
      <w:pPr>
        <w:ind w:left="560" w:right="60" w:firstLine="423"/>
        <w:spacing w:after="0" w:line="259" w:lineRule="auto"/>
        <w:rPr>
          <w:sz w:val="20"/>
          <w:szCs w:val="20"/>
          <w:color w:val="auto"/>
        </w:rPr>
      </w:pPr>
      <w:r>
        <w:rPr>
          <w:rFonts w:ascii="Arial" w:cs="Arial" w:eastAsia="Arial" w:hAnsi="Arial"/>
          <w:sz w:val="18"/>
          <w:szCs w:val="18"/>
          <w:color w:val="auto"/>
        </w:rPr>
        <w:t>Under NAHC’s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was recorded in other non-current assets on the balance sheet.</w:t>
      </w:r>
    </w:p>
    <w:p>
      <w:pPr>
        <w:spacing w:after="0" w:line="79" w:lineRule="exact"/>
        <w:rPr>
          <w:sz w:val="20"/>
          <w:szCs w:val="20"/>
          <w:color w:val="auto"/>
        </w:rPr>
      </w:pPr>
    </w:p>
    <w:p>
      <w:pPr>
        <w:ind w:left="560" w:right="200" w:firstLine="423"/>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The note receivable bears semi-annual compounding interest at 2.1%, with outstanding principal and interest due April 5, 2021. This note receivable was recorded in prepaid expenses and other current assets on the balance sheet.</w:t>
      </w:r>
    </w:p>
    <w:p>
      <w:pPr>
        <w:spacing w:after="0" w:line="76" w:lineRule="exact"/>
        <w:rPr>
          <w:sz w:val="20"/>
          <w:szCs w:val="20"/>
          <w:color w:val="auto"/>
        </w:rPr>
      </w:pPr>
    </w:p>
    <w:p>
      <w:pPr>
        <w:jc w:val="both"/>
        <w:ind w:left="560" w:firstLine="423"/>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10). Of the $257.0 million, $8.5 million was used to offset and satisfy the remaining balances of the notes receivable and related interest receivable from a member.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Technology Related Commitments and Other</w:t>
      </w:r>
    </w:p>
    <w:p>
      <w:pPr>
        <w:spacing w:after="0" w:line="117" w:lineRule="exact"/>
        <w:rPr>
          <w:sz w:val="20"/>
          <w:szCs w:val="20"/>
          <w:color w:val="auto"/>
        </w:rPr>
      </w:pPr>
    </w:p>
    <w:p>
      <w:pPr>
        <w:ind w:left="560" w:right="100" w:firstLine="423"/>
        <w:spacing w:after="0" w:line="342" w:lineRule="auto"/>
        <w:rPr>
          <w:sz w:val="20"/>
          <w:szCs w:val="20"/>
          <w:color w:val="auto"/>
        </w:rPr>
      </w:pPr>
      <w:r>
        <w:rPr>
          <w:rFonts w:ascii="Arial" w:cs="Arial" w:eastAsia="Arial" w:hAnsi="Arial"/>
          <w:sz w:val="16"/>
          <w:szCs w:val="16"/>
          <w:color w:val="auto"/>
        </w:rPr>
        <w:t>As of October 31, 2020, we have obligations under technology related contractual commitments as well as other commitments, such as construction commitments, in the amount of $15.2 million. Of such commitments, approximately $12.7 million is payable in the next 12 months.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Commitments Related to Monitoring Agreement</w:t>
      </w:r>
    </w:p>
    <w:p>
      <w:pPr>
        <w:spacing w:after="0" w:line="117"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As of October 31, 2020, we have obligations under the Monitoring Agreement, which include the termination fee upon completion of the IPO, in the amount of $13.3 million, of which $13.3 million is payable in the next 12 months (see Note 13).</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00"/>
          </w:cols>
          <w:pgMar w:left="320" w:top="459"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17" w:lineRule="exact"/>
        <w:rPr>
          <w:sz w:val="20"/>
          <w:szCs w:val="20"/>
          <w:color w:val="auto"/>
        </w:rPr>
      </w:pPr>
    </w:p>
    <w:p>
      <w:pPr>
        <w:ind w:left="560" w:right="100" w:firstLine="423"/>
        <w:spacing w:after="0" w:line="286" w:lineRule="auto"/>
        <w:rPr>
          <w:sz w:val="20"/>
          <w:szCs w:val="20"/>
          <w:color w:val="auto"/>
        </w:rPr>
      </w:pPr>
      <w:r>
        <w:rPr>
          <w:rFonts w:ascii="Arial" w:cs="Arial" w:eastAsia="Arial" w:hAnsi="Arial"/>
          <w:sz w:val="17"/>
          <w:szCs w:val="17"/>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right="100" w:firstLine="423"/>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117" w:lineRule="exact"/>
        <w:rPr>
          <w:sz w:val="20"/>
          <w:szCs w:val="20"/>
          <w:color w:val="auto"/>
        </w:rPr>
      </w:pPr>
    </w:p>
    <w:p>
      <w:pPr>
        <w:ind w:left="560" w:right="280" w:firstLine="423"/>
        <w:spacing w:after="0" w:line="296" w:lineRule="auto"/>
        <w:rPr>
          <w:sz w:val="20"/>
          <w:szCs w:val="20"/>
          <w:color w:val="auto"/>
        </w:rPr>
      </w:pPr>
      <w:r>
        <w:rPr>
          <w:rFonts w:ascii="Arial" w:cs="Arial" w:eastAsia="Arial" w:hAnsi="Arial"/>
          <w:sz w:val="16"/>
          <w:szCs w:val="16"/>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October 31, 2020, we have $12.8 million in related commitments through 2027, of which $7.4 million is payable in the next 12 months.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Our management evaluated events or transactions that occurred after October 31, 2020, through December 10, 2020, the issuance date of the financial statements, and identified the following matters to report:</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17"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option has expired with respect to the remaining shares. Upon completion of the over-allotment exercise, affiliates of KKR held a 68.5% ownership interest in the Company.</w:t>
      </w:r>
    </w:p>
    <w:p>
      <w:pPr>
        <w:spacing w:after="0" w:line="28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17"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On November 6, 2020, the Company issued the 2020 Notes (as defined below), entered the 2020 Term Loan Facility (as defined below), and entered into the 2020 ABL Amendment (as defined below). The Company used the net proceeds from the 2020 Notes and the net proceeds from the 2020 Term Loan Facility, together with cash on hand, to repay in full outstanding borrowings under its then-existing term loan, in the amount of $1,431.4 million. We paid KCM approximately $2.5 million with respect to the debt refinancing transactions.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Notes</w:t>
      </w:r>
    </w:p>
    <w:p>
      <w:pPr>
        <w:spacing w:after="0" w:line="117" w:lineRule="exact"/>
        <w:rPr>
          <w:sz w:val="20"/>
          <w:szCs w:val="20"/>
          <w:color w:val="auto"/>
        </w:rPr>
      </w:pPr>
    </w:p>
    <w:p>
      <w:pPr>
        <w:ind w:left="560" w:right="120" w:firstLine="423"/>
        <w:spacing w:after="0" w:line="255" w:lineRule="auto"/>
        <w:rPr>
          <w:sz w:val="20"/>
          <w:szCs w:val="20"/>
          <w:color w:val="auto"/>
        </w:rPr>
      </w:pPr>
      <w:r>
        <w:rPr>
          <w:rFonts w:ascii="Arial" w:cs="Arial" w:eastAsia="Arial" w:hAnsi="Arial"/>
          <w:sz w:val="18"/>
          <w:szCs w:val="18"/>
          <w:color w:val="auto"/>
        </w:rPr>
        <w:t>On November 6, 2020, Academy, Ltd. issued $400.0 million of 6.00% senior secured notes which are due November 15, 2027 (the “2020 Notes”), pursuant to an indenture, dated as of November 6, 2020 (the “Indenture”), by and among Academy, Ltd. the Guarantors (as defined below) and The Bank of New York Mellon Trust Company, N.A., as trustee and collateral agent (in such capacity, the “Notes Collateral Agent”). The 2020 Notes were sold in the United States to persons reasonably believed to be “qualified institutional buyers” pursuant to Rule 144A under the Securities Act of 1933, as amended (the “Securities Act”), and outside the United States to non-U.S. persons pursuant to Regulation S under the Securities Act.</w:t>
      </w:r>
    </w:p>
    <w:p>
      <w:pPr>
        <w:spacing w:after="0" w:line="84"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The 2020 Notes will be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79" w:lineRule="exact"/>
        <w:rPr>
          <w:sz w:val="20"/>
          <w:szCs w:val="20"/>
          <w:color w:val="auto"/>
        </w:rPr>
      </w:pPr>
    </w:p>
    <w:p>
      <w:pPr>
        <w:ind w:left="560" w:firstLine="423"/>
        <w:spacing w:after="0" w:line="268" w:lineRule="auto"/>
        <w:rPr>
          <w:sz w:val="20"/>
          <w:szCs w:val="20"/>
          <w:color w:val="auto"/>
        </w:rPr>
      </w:pPr>
      <w:r>
        <w:rPr>
          <w:rFonts w:ascii="Arial" w:cs="Arial" w:eastAsia="Arial" w:hAnsi="Arial"/>
          <w:sz w:val="17"/>
          <w:szCs w:val="17"/>
          <w:color w:val="auto"/>
        </w:rPr>
        <w:t>In order to secure the 2020 Notes and the guarantees, Academy, Ltd. and the Guarantors entered into certain security documents with the Notes Collateral Agent, including a security agreement and a pledge agreement, each dated as of November 6, 2020. The 2020 Notes and the guarantees will be secured by (i) a first-priority lien on all of Academy, Ltd.’s and the Guarantors’ personal property that secure the 2020 Term Loan Facility on a first-priority basis and (ii) a second-priority lien on Academy, Ltd.’s and the Guarantors’ personal property consisting of accounts and all other rights to payment, inventory, tax refunds, cash, deposit accounts, securities and commodities accounts, and documents and supporting obligations, securing the 2020 ABL Facility (as defined below) on a first-priority basis and the 2020 Term Loan Facility on a second-priority basis (the “ABL Priority Collateral”). On November 6, 2020, (i) Academy Ltd.’s, the Guarantors party thereto, the Notes Collateral Agent, the Term Loan Agent (as defined below) and the several other parties named therein entered into a first lien intercreditor agreement as to the relative priorities of their respective security interests in the assets securing the 2020 Notes and the 2020 Term Loan Facility and certain other matters relating to the administration of security interests and (ii) the Notes Collateral Agent, the Term Loan Agent and the ABL Agent (as defined below) entered into a lien sharing and priority confirmation joinder to the ABL Intercreditor Agreement, dated as of July 2, 2015, as to the relative priorities of their respective security interests in the assets securing the 2020 Notes, the 2020 Term Loan Facility and the 2020 ABL Facility and certain other matters relating to the administration of security interests.</w:t>
      </w:r>
    </w:p>
    <w:p>
      <w:pPr>
        <w:spacing w:after="0" w:line="78" w:lineRule="exact"/>
        <w:rPr>
          <w:sz w:val="20"/>
          <w:szCs w:val="20"/>
          <w:color w:val="auto"/>
        </w:rPr>
      </w:pPr>
    </w:p>
    <w:p>
      <w:pPr>
        <w:ind w:left="560" w:right="520" w:firstLine="423"/>
        <w:spacing w:after="0" w:line="277" w:lineRule="auto"/>
        <w:rPr>
          <w:sz w:val="20"/>
          <w:szCs w:val="20"/>
          <w:color w:val="auto"/>
        </w:rPr>
      </w:pPr>
      <w:r>
        <w:rPr>
          <w:rFonts w:ascii="Arial" w:cs="Arial" w:eastAsia="Arial" w:hAnsi="Arial"/>
          <w:sz w:val="18"/>
          <w:szCs w:val="18"/>
          <w:color w:val="auto"/>
        </w:rPr>
        <w:t>The 2020 Notes will mature on November 15, 2027. The 2020 Notes will pay interest semi-annually in arrears in cash on May 15 and November 15 of each year at a rate of 6.00% per year, commencing on May 15, 2021.</w:t>
      </w:r>
    </w:p>
    <w:p>
      <w:pPr>
        <w:spacing w:after="0" w:line="62" w:lineRule="exact"/>
        <w:rPr>
          <w:sz w:val="20"/>
          <w:szCs w:val="20"/>
          <w:color w:val="auto"/>
        </w:rPr>
      </w:pPr>
    </w:p>
    <w:p>
      <w:pPr>
        <w:ind w:left="560" w:firstLine="423"/>
        <w:spacing w:after="0" w:line="270" w:lineRule="auto"/>
        <w:rPr>
          <w:sz w:val="20"/>
          <w:szCs w:val="20"/>
          <w:color w:val="auto"/>
        </w:rPr>
      </w:pPr>
      <w:r>
        <w:rPr>
          <w:rFonts w:ascii="Arial" w:cs="Arial" w:eastAsia="Arial" w:hAnsi="Arial"/>
          <w:sz w:val="17"/>
          <w:szCs w:val="17"/>
          <w:color w:val="auto"/>
        </w:rPr>
        <w:t>On or after November 15, 2023, Academy, Ltd. may, at its option and on one or more occasions, redeem all or a part of the 2020 Notes at the redemption prices set forth in the Indenture, plus accrued and unpaid interest, if any, to, but excluding, the applicable redemption date. At any time prior to November 15, 2023, Academy, Ltd. may, at its option and on one or more occasions, redeem all or part of the 2020 Notes at a redemption price equal to 100% of the principal amount of the 2020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2020 Notes at a redemption price equal to 106.00%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280" w:firstLine="423"/>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2020 Notes at a price equal to 101% of the principal amount thereof, plus accrued and unpaid interest, if any, to, but excluding, the repurchase date.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Indenture contains certain covenants that limit the ability of Academy, Ltd. and its restricted subsidiaries to, among other things,</w:t>
      </w:r>
    </w:p>
    <w:p>
      <w:pPr>
        <w:spacing w:after="0" w:line="35" w:lineRule="exact"/>
        <w:rPr>
          <w:sz w:val="20"/>
          <w:szCs w:val="20"/>
          <w:color w:val="auto"/>
        </w:rPr>
      </w:pPr>
    </w:p>
    <w:p>
      <w:pPr>
        <w:ind w:left="560" w:right="60" w:hanging="4"/>
        <w:spacing w:after="0" w:line="253" w:lineRule="auto"/>
        <w:tabs>
          <w:tab w:leader="none" w:pos="77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and preferred stock; (ii) incur liens on assets; (iii) pay dividends or make other distributions in respect of, or repurchase or redeem, their capital stock; (iv) prepay, redeem or repurchase certain debt; (v) make certain loans, investments or other restricted payments; (vi) engage in certain transactions with affiliates; (vii) enter into agreements restricting certain subsidiaries’ ability to pay dividends; and (viii) sell or transfer certain assets or merge or consolidate, in each case subject to certain exceptions and qualifications set forth in the Indenture.</w:t>
      </w:r>
    </w:p>
    <w:p>
      <w:pPr>
        <w:spacing w:after="0" w:line="83" w:lineRule="exact"/>
        <w:rPr>
          <w:sz w:val="20"/>
          <w:szCs w:val="20"/>
          <w:color w:val="auto"/>
        </w:rPr>
      </w:pPr>
    </w:p>
    <w:p>
      <w:pPr>
        <w:ind w:left="560" w:firstLine="423"/>
        <w:spacing w:after="0" w:line="296" w:lineRule="auto"/>
        <w:rPr>
          <w:sz w:val="20"/>
          <w:szCs w:val="20"/>
          <w:color w:val="auto"/>
        </w:rPr>
      </w:pPr>
      <w:r>
        <w:rPr>
          <w:rFonts w:ascii="Arial" w:cs="Arial" w:eastAsia="Arial" w:hAnsi="Arial"/>
          <w:sz w:val="16"/>
          <w:szCs w:val="16"/>
          <w:color w:val="auto"/>
        </w:rPr>
        <w:t>The Indenture provides for events of default which include (subject in certain cases to customary grace and cure periods), among others, nonpayment of principal or interest, breach of other agreements in respect of the 2020 Notes, acceleration of certain other indebtedness, failure to pay certain final judgments, failure of certain guarantees to be enforceable, failure to perfect certain collateral securing the 2020 Notes and certain events of bankruptcy or insolvency, which events of default, if any occur, would permit or require the principal, premium, if any, interest and any other monetary obligations on all the then-outstanding 2020 Notes to be due and payable immediately.</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Term Loan Facility</w:t>
      </w:r>
    </w:p>
    <w:p>
      <w:pPr>
        <w:spacing w:after="0" w:line="117" w:lineRule="exact"/>
        <w:rPr>
          <w:sz w:val="20"/>
          <w:szCs w:val="20"/>
          <w:color w:val="auto"/>
        </w:rPr>
      </w:pPr>
    </w:p>
    <w:p>
      <w:pPr>
        <w:ind w:left="560" w:right="280" w:firstLine="423"/>
        <w:spacing w:after="0" w:line="259" w:lineRule="auto"/>
        <w:rPr>
          <w:sz w:val="20"/>
          <w:szCs w:val="20"/>
          <w:color w:val="auto"/>
        </w:rPr>
      </w:pPr>
      <w:r>
        <w:rPr>
          <w:rFonts w:ascii="Arial" w:cs="Arial" w:eastAsia="Arial" w:hAnsi="Arial"/>
          <w:sz w:val="18"/>
          <w:szCs w:val="18"/>
          <w:color w:val="auto"/>
        </w:rPr>
        <w:t>On November 6, 2020, Academy, Ltd., as borrower, and the Guarantors, as guarantors, entered into the Second Amended and Restated Credit Agreement (the “2020 Term Loan Agreement”), with Credit Suisse AG, Cayman Island Branch (“Credit Suisse”), as the administrative agent and collateral agent (the “Term Loan Agent”), the several lenders from time to time parties thereto and the several other parties named therein, which established a new $400.0 million first lien term loan facility.</w:t>
      </w:r>
    </w:p>
    <w:p>
      <w:pPr>
        <w:spacing w:after="0" w:line="79" w:lineRule="exact"/>
        <w:rPr>
          <w:sz w:val="20"/>
          <w:szCs w:val="20"/>
          <w:color w:val="auto"/>
        </w:rPr>
      </w:pPr>
    </w:p>
    <w:p>
      <w:pPr>
        <w:ind w:left="560" w:right="20" w:firstLine="423"/>
        <w:spacing w:after="0" w:line="291" w:lineRule="auto"/>
        <w:rPr>
          <w:sz w:val="20"/>
          <w:szCs w:val="20"/>
          <w:color w:val="auto"/>
        </w:rPr>
      </w:pPr>
      <w:r>
        <w:rPr>
          <w:rFonts w:ascii="Arial" w:cs="Arial" w:eastAsia="Arial" w:hAnsi="Arial"/>
          <w:sz w:val="16"/>
          <w:szCs w:val="16"/>
          <w:color w:val="auto"/>
        </w:rPr>
        <w:t>The 2020 Term Loan Facility will mature on November 6, 2027. The 2020 Term Loan Facility bears interest, at Academy, Ltd.’s election, at either (1) LIBOR rate with a floor of 0.75%, plus a margin of 5.00%, or (2) a base rate equal to the highest of (a) the federal funds rate plus</w:t>
      </w:r>
    </w:p>
    <w:p>
      <w:pPr>
        <w:ind w:left="560" w:right="60"/>
        <w:spacing w:after="0" w:line="253" w:lineRule="auto"/>
        <w:rPr>
          <w:sz w:val="20"/>
          <w:szCs w:val="20"/>
          <w:color w:val="auto"/>
        </w:rPr>
      </w:pPr>
      <w:r>
        <w:rPr>
          <w:rFonts w:ascii="Arial" w:cs="Arial" w:eastAsia="Arial" w:hAnsi="Arial"/>
          <w:sz w:val="18"/>
          <w:szCs w:val="18"/>
          <w:color w:val="auto"/>
        </w:rPr>
        <w:t>0.50%, (b) Credit Suisse’s “prime rate”, or (c) the one-month LIBOR rate plus 1.00%, plus a margin of 4.00%. Quarterly principal payments of approximately $1.0 million are required through September 30, 2027, with the balance due in full on the maturity date of November 6, 2027. The terms and conditions of the 2020 Term Loan Facility also require that outstanding loans under the 2020 Term Loan Facility are prepaid under certain circumstances.</w:t>
      </w:r>
    </w:p>
    <w:p>
      <w:pPr>
        <w:spacing w:after="0" w:line="85" w:lineRule="exact"/>
        <w:rPr>
          <w:sz w:val="20"/>
          <w:szCs w:val="20"/>
          <w:color w:val="auto"/>
        </w:rPr>
      </w:pPr>
    </w:p>
    <w:p>
      <w:pPr>
        <w:ind w:left="560" w:firstLine="423"/>
        <w:spacing w:after="0" w:line="296" w:lineRule="auto"/>
        <w:rPr>
          <w:sz w:val="20"/>
          <w:szCs w:val="20"/>
          <w:color w:val="auto"/>
        </w:rPr>
      </w:pPr>
      <w:r>
        <w:rPr>
          <w:rFonts w:ascii="Arial" w:cs="Arial" w:eastAsia="Arial" w:hAnsi="Arial"/>
          <w:sz w:val="16"/>
          <w:szCs w:val="16"/>
          <w:color w:val="auto"/>
        </w:rPr>
        <w:t>The 2020 Term Loan Facility will be guaranteed by the Guarantors on a senior secured basis. All obligations under the 2020 Term Loan Facility and the guarantees of those obligations will be secured by (i) a second-priority security interest in the ABL Priority Collateral and (ii) a first-priority security interest in, and mortgages on, substantially all present and after acquired tangible and intangible assets of Academy, Ltd. and the Guarantors and a first-priority pledge of 100% of the capital stock of Academy, Ltd. and its domestic subsidiaries and 66% of the voting capital stock of each of Academy, Ltd.’s foreign subsidiaries, if any, that are directly owned by Academy, Ltd. or a future U.S. guarantor, if any.</w:t>
      </w:r>
    </w:p>
    <w:p>
      <w:pPr>
        <w:spacing w:after="0" w:line="53" w:lineRule="exact"/>
        <w:rPr>
          <w:sz w:val="20"/>
          <w:szCs w:val="20"/>
          <w:color w:val="auto"/>
        </w:rPr>
      </w:pPr>
    </w:p>
    <w:p>
      <w:pPr>
        <w:ind w:left="560" w:right="120" w:firstLine="423"/>
        <w:spacing w:after="0" w:line="287" w:lineRule="auto"/>
        <w:rPr>
          <w:sz w:val="20"/>
          <w:szCs w:val="20"/>
          <w:color w:val="auto"/>
        </w:rPr>
      </w:pPr>
      <w:r>
        <w:rPr>
          <w:rFonts w:ascii="Arial" w:cs="Arial" w:eastAsia="Arial" w:hAnsi="Arial"/>
          <w:sz w:val="16"/>
          <w:szCs w:val="16"/>
          <w:color w:val="auto"/>
        </w:rPr>
        <w:t>The 2020 Term Loan Agreement contains certain covenants that limit the ability of Academy, Ltd. and its restricted subsidiaries to, among other things, (i) incur or guarantee additional indebtedness or issue disqualified stock and preferred stock; (ii) incur liens on assets; (iii) pay dividends or make other distributions in respect of, or repurchase or redeem, their capital stock; (iv) prepay, redeem or repurchase certain debt;</w:t>
      </w:r>
    </w:p>
    <w:p>
      <w:pPr>
        <w:spacing w:after="0" w:line="2" w:lineRule="exact"/>
        <w:rPr>
          <w:sz w:val="20"/>
          <w:szCs w:val="20"/>
          <w:color w:val="auto"/>
        </w:rPr>
      </w:pPr>
    </w:p>
    <w:p>
      <w:pPr>
        <w:ind w:left="560" w:right="340" w:hanging="4"/>
        <w:spacing w:after="0" w:line="277" w:lineRule="auto"/>
        <w:tabs>
          <w:tab w:leader="none" w:pos="81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make certain loans, investments or other restricted payments; (vi) engage in certain transactions with affiliates; (vii) enter into agreements restricting certain subsidiaries’ ability to pay dividends; (viii) sell or transfer certain assets or merge or consolidate and (ix) amend material documents, in each case subject to certain exceptions and qualifications set forth in the 2020 Term Loan Agreement.</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080"/>
          </w:cols>
          <w:pgMar w:left="320" w:top="459" w:right="49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80" w:firstLine="423"/>
        <w:spacing w:after="0" w:line="311" w:lineRule="auto"/>
        <w:rPr>
          <w:sz w:val="20"/>
          <w:szCs w:val="20"/>
          <w:color w:val="auto"/>
        </w:rPr>
      </w:pPr>
      <w:r>
        <w:rPr>
          <w:rFonts w:ascii="Arial" w:cs="Arial" w:eastAsia="Arial" w:hAnsi="Arial"/>
          <w:sz w:val="16"/>
          <w:szCs w:val="16"/>
          <w:color w:val="auto"/>
        </w:rPr>
        <w:t>The 2020 Term Loan Agreement contains customary events of default including, but not limited to,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ABL Facility</w:t>
      </w:r>
    </w:p>
    <w:p>
      <w:pPr>
        <w:spacing w:after="0" w:line="117"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On November 6, 2020, Academy, Ltd., as borrower, and the Guarantors, as guarantors, entered into an amendment (the “2020 ABL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among other things, extended the maturity of Academy, Ltd.’s asset-based revolving credit facility thereunder (the “2020 ABL Facility”) to November 6, 2025.</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98" w:name="page299"/>
    <w:bookmarkEnd w:id="2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7823835</wp:posOffset>
            </wp:positionV>
            <wp:extent cx="69951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7875270</wp:posOffset>
            </wp:positionV>
            <wp:extent cx="6995160"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3735070</wp:posOffset>
            </wp:positionV>
            <wp:extent cx="2760345" cy="677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60345" cy="67754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DF029D3"/>
    <w:multiLevelType w:val="hybridMultilevel"/>
    <w:lvl w:ilvl="0">
      <w:lvlJc w:val="left"/>
      <w:lvlText w:val="(%1)"/>
      <w:numFmt w:val="decimal"/>
      <w:start w:val="1"/>
    </w:lvl>
  </w:abstractNum>
  <w:abstractNum w:abstractNumId="1">
    <w:nsid w:val="5675FF36"/>
    <w:multiLevelType w:val="hybridMultilevel"/>
    <w:lvl w:ilvl="0">
      <w:lvlJc w:val="left"/>
      <w:lvlText w:val="•"/>
      <w:numFmt w:val="bullet"/>
      <w:start w:val="1"/>
    </w:lvl>
  </w:abstractNum>
  <w:abstractNum w:abstractNumId="2">
    <w:nsid w:val="3DD15094"/>
    <w:multiLevelType w:val="hybridMultilevel"/>
    <w:lvl w:ilvl="0">
      <w:lvlJc w:val="left"/>
      <w:lvlText w:val="•"/>
      <w:numFmt w:val="bullet"/>
      <w:start w:val="1"/>
    </w:lvl>
  </w:abstractNum>
  <w:abstractNum w:abstractNumId="3">
    <w:nsid w:val="3DB012B3"/>
    <w:multiLevelType w:val="hybridMultilevel"/>
    <w:lvl w:ilvl="0">
      <w:lvlJc w:val="left"/>
      <w:lvlText w:val="•"/>
      <w:numFmt w:val="bullet"/>
      <w:start w:val="1"/>
    </w:lvl>
  </w:abstractNum>
  <w:abstractNum w:abstractNumId="4">
    <w:nsid w:val="2708C9AF"/>
    <w:multiLevelType w:val="hybridMultilevel"/>
    <w:lvl w:ilvl="0">
      <w:lvlJc w:val="left"/>
      <w:lvlText w:val="•"/>
      <w:numFmt w:val="bullet"/>
      <w:start w:val="1"/>
    </w:lvl>
  </w:abstractNum>
  <w:abstractNum w:abstractNumId="5">
    <w:nsid w:val="5B25ACE2"/>
    <w:multiLevelType w:val="hybridMultilevel"/>
    <w:lvl w:ilvl="0">
      <w:lvlJc w:val="left"/>
      <w:lvlText w:val="•"/>
      <w:numFmt w:val="bullet"/>
      <w:start w:val="1"/>
    </w:lvl>
  </w:abstractNum>
  <w:abstractNum w:abstractNumId="6">
    <w:nsid w:val="175DFCF0"/>
    <w:multiLevelType w:val="hybridMultilevel"/>
    <w:lvl w:ilvl="0">
      <w:lvlJc w:val="left"/>
      <w:lvlText w:val="•"/>
      <w:numFmt w:val="bullet"/>
      <w:start w:val="1"/>
    </w:lvl>
  </w:abstractNum>
  <w:abstractNum w:abstractNumId="7">
    <w:nsid w:val="4F97E3E4"/>
    <w:multiLevelType w:val="hybridMultilevel"/>
    <w:lvl w:ilvl="0">
      <w:lvlJc w:val="left"/>
      <w:lvlText w:val="•"/>
      <w:numFmt w:val="bullet"/>
      <w:start w:val="1"/>
    </w:lvl>
  </w:abstractNum>
  <w:abstractNum w:abstractNumId="8">
    <w:nsid w:val="53B0A9E"/>
    <w:multiLevelType w:val="hybridMultilevel"/>
    <w:lvl w:ilvl="0">
      <w:lvlJc w:val="left"/>
      <w:lvlText w:val="•"/>
      <w:numFmt w:val="bullet"/>
      <w:start w:val="1"/>
    </w:lvl>
  </w:abstractNum>
  <w:abstractNum w:abstractNumId="9">
    <w:nsid w:val="34FD6B4F"/>
    <w:multiLevelType w:val="hybridMultilevel"/>
    <w:lvl w:ilvl="0">
      <w:lvlJc w:val="left"/>
      <w:lvlText w:val="•"/>
      <w:numFmt w:val="bullet"/>
      <w:start w:val="1"/>
    </w:lvl>
  </w:abstractNum>
  <w:abstractNum w:abstractNumId="10">
    <w:nsid w:val="5915FF32"/>
    <w:multiLevelType w:val="hybridMultilevel"/>
    <w:lvl w:ilvl="0">
      <w:lvlJc w:val="left"/>
      <w:lvlText w:val="(%1)"/>
      <w:numFmt w:val="decimal"/>
      <w:start w:val="1"/>
    </w:lvl>
  </w:abstractNum>
  <w:abstractNum w:abstractNumId="11">
    <w:nsid w:val="56438D15"/>
    <w:multiLevelType w:val="hybridMultilevel"/>
    <w:lvl w:ilvl="0">
      <w:lvlJc w:val="left"/>
      <w:lvlText w:val="(%1)"/>
      <w:numFmt w:val="decimal"/>
      <w:start w:val="5"/>
    </w:lvl>
  </w:abstractNum>
  <w:abstractNum w:abstractNumId="12">
    <w:nsid w:val="519E3149"/>
    <w:multiLevelType w:val="hybridMultilevel"/>
    <w:lvl w:ilvl="0">
      <w:lvlJc w:val="left"/>
      <w:lvlText w:val="•"/>
      <w:numFmt w:val="bullet"/>
      <w:start w:val="1"/>
    </w:lvl>
    <w:lvl w:ilvl="1">
      <w:lvlJc w:val="left"/>
      <w:lvlText w:val="•"/>
      <w:numFmt w:val="bullet"/>
      <w:start w:val="1"/>
    </w:lvl>
  </w:abstractNum>
  <w:abstractNum w:abstractNumId="13">
    <w:nsid w:val="2C6E4AFD"/>
    <w:multiLevelType w:val="hybridMultilevel"/>
    <w:lvl w:ilvl="0">
      <w:lvlJc w:val="left"/>
      <w:lvlText w:val="(%1)"/>
      <w:numFmt w:val="lowerLetter"/>
      <w:start w:val="1"/>
    </w:lvl>
  </w:abstractNum>
  <w:abstractNum w:abstractNumId="14">
    <w:nsid w:val="17A1B582"/>
    <w:multiLevelType w:val="hybridMultilevel"/>
    <w:lvl w:ilvl="0">
      <w:lvlJc w:val="left"/>
      <w:lvlText w:val="•"/>
      <w:numFmt w:val="bullet"/>
      <w:start w:val="1"/>
    </w:lvl>
  </w:abstractNum>
  <w:abstractNum w:abstractNumId="15">
    <w:nsid w:val="4DF72E4E"/>
    <w:multiLevelType w:val="hybridMultilevel"/>
    <w:lvl w:ilvl="0">
      <w:lvlJc w:val="left"/>
      <w:lvlText w:val="•"/>
      <w:numFmt w:val="bullet"/>
      <w:start w:val="1"/>
    </w:lvl>
  </w:abstractNum>
  <w:abstractNum w:abstractNumId="16">
    <w:nsid w:val="5046B5A9"/>
    <w:multiLevelType w:val="hybridMultilevel"/>
    <w:lvl w:ilvl="0">
      <w:lvlJc w:val="left"/>
      <w:lvlText w:val="•"/>
      <w:numFmt w:val="bullet"/>
      <w:start w:val="1"/>
    </w:lvl>
  </w:abstractNum>
  <w:abstractNum w:abstractNumId="17">
    <w:nsid w:val="5D888A08"/>
    <w:multiLevelType w:val="hybridMultilevel"/>
    <w:lvl w:ilvl="0">
      <w:lvlJc w:val="left"/>
      <w:lvlText w:val="•"/>
      <w:numFmt w:val="bullet"/>
      <w:start w:val="1"/>
    </w:lvl>
  </w:abstractNum>
  <w:abstractNum w:abstractNumId="18">
    <w:nsid w:val="2A082C70"/>
    <w:multiLevelType w:val="hybridMultilevel"/>
    <w:lvl w:ilvl="0">
      <w:lvlJc w:val="left"/>
      <w:lvlText w:val="•"/>
      <w:numFmt w:val="bullet"/>
      <w:start w:val="1"/>
    </w:lvl>
  </w:abstractNum>
  <w:abstractNum w:abstractNumId="19">
    <w:nsid w:val="5EC6AFD4"/>
    <w:multiLevelType w:val="hybridMultilevel"/>
    <w:lvl w:ilvl="0">
      <w:lvlJc w:val="left"/>
      <w:lvlText w:val="•"/>
      <w:numFmt w:val="bullet"/>
      <w:start w:val="1"/>
    </w:lvl>
  </w:abstractNum>
  <w:abstractNum w:abstractNumId="20">
    <w:nsid w:val="19E21BB2"/>
    <w:multiLevelType w:val="hybridMultilevel"/>
    <w:lvl w:ilvl="0">
      <w:lvlJc w:val="left"/>
      <w:lvlText w:val="•"/>
      <w:numFmt w:val="bullet"/>
      <w:start w:val="1"/>
    </w:lvl>
  </w:abstractNum>
  <w:abstractNum w:abstractNumId="21">
    <w:nsid w:val="75E0858A"/>
    <w:multiLevelType w:val="hybridMultilevel"/>
    <w:lvl w:ilvl="0">
      <w:lvlJc w:val="left"/>
      <w:lvlText w:val="•"/>
      <w:numFmt w:val="bullet"/>
      <w:start w:val="1"/>
    </w:lvl>
  </w:abstractNum>
  <w:abstractNum w:abstractNumId="22">
    <w:nsid w:val="57A61A29"/>
    <w:multiLevelType w:val="hybridMultilevel"/>
    <w:lvl w:ilvl="0">
      <w:lvlJc w:val="left"/>
      <w:lvlText w:val="•"/>
      <w:numFmt w:val="bullet"/>
      <w:start w:val="1"/>
    </w:lvl>
  </w:abstractNum>
  <w:abstractNum w:abstractNumId="23">
    <w:nsid w:val="5399C654"/>
    <w:multiLevelType w:val="hybridMultilevel"/>
    <w:lvl w:ilvl="0">
      <w:lvlJc w:val="left"/>
      <w:lvlText w:val="•"/>
      <w:numFmt w:val="bullet"/>
      <w:start w:val="1"/>
    </w:lvl>
  </w:abstractNum>
  <w:abstractNum w:abstractNumId="24">
    <w:nsid w:val="20EE1348"/>
    <w:multiLevelType w:val="hybridMultilevel"/>
    <w:lvl w:ilvl="0">
      <w:lvlJc w:val="left"/>
      <w:lvlText w:val="•"/>
      <w:numFmt w:val="bullet"/>
      <w:start w:val="1"/>
    </w:lvl>
  </w:abstractNum>
  <w:abstractNum w:abstractNumId="25">
    <w:nsid w:val="4427069A"/>
    <w:multiLevelType w:val="hybridMultilevel"/>
    <w:lvl w:ilvl="0">
      <w:lvlJc w:val="left"/>
      <w:lvlText w:val="•"/>
      <w:numFmt w:val="bullet"/>
      <w:start w:val="1"/>
    </w:lvl>
  </w:abstractNum>
  <w:abstractNum w:abstractNumId="26">
    <w:nsid w:val="B37E80A"/>
    <w:multiLevelType w:val="hybridMultilevel"/>
    <w:lvl w:ilvl="0">
      <w:lvlJc w:val="left"/>
      <w:lvlText w:val="•"/>
      <w:numFmt w:val="bullet"/>
      <w:start w:val="1"/>
    </w:lvl>
  </w:abstractNum>
  <w:abstractNum w:abstractNumId="27">
    <w:nsid w:val="2157F6BC"/>
    <w:multiLevelType w:val="hybridMultilevel"/>
    <w:lvl w:ilvl="0">
      <w:lvlJc w:val="left"/>
      <w:lvlText w:val="•"/>
      <w:numFmt w:val="bullet"/>
      <w:start w:val="1"/>
    </w:lvl>
  </w:abstractNum>
  <w:abstractNum w:abstractNumId="28">
    <w:nsid w:val="704E1DD5"/>
    <w:multiLevelType w:val="hybridMultilevel"/>
    <w:lvl w:ilvl="0">
      <w:lvlJc w:val="left"/>
      <w:lvlText w:val="•"/>
      <w:numFmt w:val="bullet"/>
      <w:start w:val="1"/>
    </w:lvl>
  </w:abstractNum>
  <w:abstractNum w:abstractNumId="29">
    <w:nsid w:val="57D2F10E"/>
    <w:multiLevelType w:val="hybridMultilevel"/>
    <w:lvl w:ilvl="0">
      <w:lvlJc w:val="left"/>
      <w:lvlText w:val="•"/>
      <w:numFmt w:val="bullet"/>
      <w:start w:val="1"/>
    </w:lvl>
  </w:abstractNum>
  <w:abstractNum w:abstractNumId="30">
    <w:nsid w:val="BFFAE18"/>
    <w:multiLevelType w:val="hybridMultilevel"/>
    <w:lvl w:ilvl="0">
      <w:lvlJc w:val="left"/>
      <w:lvlText w:val="•"/>
      <w:numFmt w:val="bullet"/>
      <w:start w:val="1"/>
    </w:lvl>
  </w:abstractNum>
  <w:abstractNum w:abstractNumId="31">
    <w:nsid w:val="E3E47A8"/>
    <w:multiLevelType w:val="hybridMultilevel"/>
    <w:lvl w:ilvl="0">
      <w:lvlJc w:val="left"/>
      <w:lvlText w:val="•"/>
      <w:numFmt w:val="bullet"/>
      <w:start w:val="1"/>
    </w:lvl>
  </w:abstractNum>
  <w:abstractNum w:abstractNumId="32">
    <w:nsid w:val="2E48F044"/>
    <w:multiLevelType w:val="hybridMultilevel"/>
    <w:lvl w:ilvl="0">
      <w:lvlJc w:val="left"/>
      <w:lvlText w:val="•"/>
      <w:numFmt w:val="bullet"/>
      <w:start w:val="1"/>
    </w:lvl>
  </w:abstractNum>
  <w:abstractNum w:abstractNumId="33">
    <w:nsid w:val="49D0FEAC"/>
    <w:multiLevelType w:val="hybridMultilevel"/>
    <w:lvl w:ilvl="0">
      <w:lvlJc w:val="left"/>
      <w:lvlText w:val="•"/>
      <w:numFmt w:val="bullet"/>
      <w:start w:val="1"/>
    </w:lvl>
  </w:abstractNum>
  <w:abstractNum w:abstractNumId="34">
    <w:nsid w:val="4BEE5A5B"/>
    <w:multiLevelType w:val="hybridMultilevel"/>
    <w:lvl w:ilvl="0">
      <w:lvlJc w:val="left"/>
      <w:lvlText w:val="(%1)"/>
      <w:numFmt w:val="lowerRoman"/>
      <w:start w:val="1"/>
    </w:lvl>
  </w:abstractNum>
  <w:abstractNum w:abstractNumId="35">
    <w:nsid w:val="5551B9F3"/>
    <w:multiLevelType w:val="hybridMultilevel"/>
    <w:lvl w:ilvl="0">
      <w:lvlJc w:val="left"/>
      <w:lvlText w:val="•"/>
      <w:numFmt w:val="bullet"/>
      <w:start w:val="1"/>
    </w:lvl>
  </w:abstractNum>
  <w:abstractNum w:abstractNumId="36">
    <w:nsid w:val="24F6AB8E"/>
    <w:multiLevelType w:val="hybridMultilevel"/>
    <w:lvl w:ilvl="0">
      <w:lvlJc w:val="left"/>
      <w:lvlText w:val="•"/>
      <w:numFmt w:val="bullet"/>
      <w:start w:val="1"/>
    </w:lvl>
  </w:abstractNum>
  <w:abstractNum w:abstractNumId="37">
    <w:nsid w:val="634C574C"/>
    <w:multiLevelType w:val="hybridMultilevel"/>
    <w:lvl w:ilvl="0">
      <w:lvlJc w:val="left"/>
      <w:lvlText w:val="(%1)"/>
      <w:numFmt w:val="decimal"/>
      <w:start w:val="1"/>
    </w:lvl>
  </w:abstractNum>
  <w:abstractNum w:abstractNumId="38">
    <w:nsid w:val="24E99DD7"/>
    <w:multiLevelType w:val="hybridMultilevel"/>
    <w:lvl w:ilvl="0">
      <w:lvlJc w:val="left"/>
      <w:lvlText w:val="(%1)"/>
      <w:numFmt w:val="decimal"/>
      <w:start w:val="1"/>
    </w:lvl>
  </w:abstractNum>
  <w:abstractNum w:abstractNumId="39">
    <w:nsid w:val="2A31B62D"/>
    <w:multiLevelType w:val="hybridMultilevel"/>
    <w:lvl w:ilvl="0">
      <w:lvlJc w:val="left"/>
      <w:lvlText w:val="(%1)"/>
      <w:numFmt w:val="decimal"/>
      <w:start w:val="3"/>
    </w:lvl>
  </w:abstractNum>
  <w:abstractNum w:abstractNumId="40">
    <w:nsid w:val="1849C29B"/>
    <w:multiLevelType w:val="hybridMultilevel"/>
    <w:lvl w:ilvl="0">
      <w:lvlJc w:val="left"/>
      <w:lvlText w:val="•"/>
      <w:numFmt w:val="bullet"/>
      <w:start w:val="1"/>
    </w:lvl>
  </w:abstractNum>
  <w:abstractNum w:abstractNumId="41">
    <w:nsid w:val="7DFF9D09"/>
    <w:multiLevelType w:val="hybridMultilevel"/>
    <w:lvl w:ilvl="0">
      <w:lvlJc w:val="left"/>
      <w:lvlText w:val="•"/>
      <w:numFmt w:val="bullet"/>
      <w:start w:val="1"/>
    </w:lvl>
  </w:abstractNum>
  <w:abstractNum w:abstractNumId="42">
    <w:nsid w:val="754342"/>
    <w:multiLevelType w:val="hybridMultilevel"/>
    <w:lvl w:ilvl="0">
      <w:lvlJc w:val="left"/>
      <w:lvlText w:val="•"/>
      <w:numFmt w:val="bullet"/>
      <w:start w:val="1"/>
    </w:lvl>
  </w:abstractNum>
  <w:abstractNum w:abstractNumId="43">
    <w:nsid w:val="69E7F3E5"/>
    <w:multiLevelType w:val="hybridMultilevel"/>
    <w:lvl w:ilvl="0">
      <w:lvlJc w:val="left"/>
      <w:lvlText w:val="•"/>
      <w:numFmt w:val="bullet"/>
      <w:start w:val="1"/>
    </w:lvl>
  </w:abstractNum>
  <w:abstractNum w:abstractNumId="44">
    <w:nsid w:val="2A6DE806"/>
    <w:multiLevelType w:val="hybridMultilevel"/>
    <w:lvl w:ilvl="0">
      <w:lvlJc w:val="left"/>
      <w:lvlText w:val="•"/>
      <w:numFmt w:val="bullet"/>
      <w:start w:val="1"/>
    </w:lvl>
  </w:abstractNum>
  <w:abstractNum w:abstractNumId="45">
    <w:nsid w:val="1816F8C4"/>
    <w:multiLevelType w:val="hybridMultilevel"/>
    <w:lvl w:ilvl="0">
      <w:lvlJc w:val="left"/>
      <w:lvlText w:val="•"/>
      <w:numFmt w:val="bullet"/>
      <w:start w:val="1"/>
    </w:lvl>
  </w:abstractNum>
  <w:abstractNum w:abstractNumId="46">
    <w:nsid w:val="37DF2233"/>
    <w:multiLevelType w:val="hybridMultilevel"/>
    <w:lvl w:ilvl="0">
      <w:lvlJc w:val="left"/>
      <w:lvlText w:val="•"/>
      <w:numFmt w:val="bullet"/>
      <w:start w:val="1"/>
    </w:lvl>
  </w:abstractNum>
  <w:abstractNum w:abstractNumId="47">
    <w:nsid w:val="7AB49DAF"/>
    <w:multiLevelType w:val="hybridMultilevel"/>
    <w:lvl w:ilvl="0">
      <w:lvlJc w:val="left"/>
      <w:lvlText w:val="(%1)"/>
      <w:numFmt w:val="lowerLetter"/>
      <w:start w:val="1"/>
    </w:lvl>
  </w:abstractNum>
  <w:abstractNum w:abstractNumId="48">
    <w:nsid w:val="759F82CD"/>
    <w:multiLevelType w:val="hybridMultilevel"/>
    <w:lvl w:ilvl="0">
      <w:lvlJc w:val="left"/>
      <w:lvlText w:val="(%1)"/>
      <w:numFmt w:val="lowerLetter"/>
      <w:start w:val="2"/>
    </w:lvl>
  </w:abstractNum>
  <w:abstractNum w:abstractNumId="49">
    <w:nsid w:val="61E74EA3"/>
    <w:multiLevelType w:val="hybridMultilevel"/>
    <w:lvl w:ilvl="0">
      <w:lvlJc w:val="left"/>
      <w:lvlText w:val="•"/>
      <w:numFmt w:val="bullet"/>
      <w:start w:val="1"/>
    </w:lvl>
  </w:abstractNum>
  <w:abstractNum w:abstractNumId="50">
    <w:nsid w:val="597B4D84"/>
    <w:multiLevelType w:val="hybridMultilevel"/>
    <w:lvl w:ilvl="0">
      <w:lvlJc w:val="left"/>
      <w:lvlText w:val="•"/>
      <w:numFmt w:val="bullet"/>
      <w:start w:val="1"/>
    </w:lvl>
  </w:abstractNum>
  <w:abstractNum w:abstractNumId="51">
    <w:nsid w:val="F819E7F"/>
    <w:multiLevelType w:val="hybridMultilevel"/>
    <w:lvl w:ilvl="0">
      <w:lvlJc w:val="left"/>
      <w:lvlText w:val="•"/>
      <w:numFmt w:val="bullet"/>
      <w:start w:val="1"/>
    </w:lvl>
  </w:abstractNum>
  <w:abstractNum w:abstractNumId="52">
    <w:nsid w:val="57C7D42D"/>
    <w:multiLevelType w:val="hybridMultilevel"/>
    <w:lvl w:ilvl="0">
      <w:lvlJc w:val="left"/>
      <w:lvlText w:val="•"/>
      <w:numFmt w:val="bullet"/>
      <w:start w:val="1"/>
    </w:lvl>
  </w:abstractNum>
  <w:abstractNum w:abstractNumId="53">
    <w:nsid w:val="312167AD"/>
    <w:multiLevelType w:val="hybridMultilevel"/>
    <w:lvl w:ilvl="0">
      <w:lvlJc w:val="left"/>
      <w:lvlText w:val="•"/>
      <w:numFmt w:val="bullet"/>
      <w:start w:val="1"/>
    </w:lvl>
  </w:abstractNum>
  <w:abstractNum w:abstractNumId="54">
    <w:nsid w:val="631B64D4"/>
    <w:multiLevelType w:val="hybridMultilevel"/>
    <w:lvl w:ilvl="0">
      <w:lvlJc w:val="left"/>
      <w:lvlText w:val="•"/>
      <w:numFmt w:val="bullet"/>
      <w:start w:val="1"/>
    </w:lvl>
  </w:abstractNum>
  <w:abstractNum w:abstractNumId="55">
    <w:nsid w:val="78B5E776"/>
    <w:multiLevelType w:val="hybridMultilevel"/>
    <w:lvl w:ilvl="0">
      <w:lvlJc w:val="left"/>
      <w:lvlText w:val="•"/>
      <w:numFmt w:val="bullet"/>
      <w:start w:val="1"/>
    </w:lvl>
  </w:abstractNum>
  <w:abstractNum w:abstractNumId="56">
    <w:nsid w:val="75486E47"/>
    <w:multiLevelType w:val="hybridMultilevel"/>
    <w:lvl w:ilvl="0">
      <w:lvlJc w:val="left"/>
      <w:lvlText w:val="•"/>
      <w:numFmt w:val="bullet"/>
      <w:start w:val="1"/>
    </w:lvl>
  </w:abstractNum>
  <w:abstractNum w:abstractNumId="57">
    <w:nsid w:val="6E534CDE"/>
    <w:multiLevelType w:val="hybridMultilevel"/>
    <w:lvl w:ilvl="0">
      <w:lvlJc w:val="left"/>
      <w:lvlText w:val="•"/>
      <w:numFmt w:val="bullet"/>
      <w:start w:val="1"/>
    </w:lvl>
  </w:abstractNum>
  <w:abstractNum w:abstractNumId="58">
    <w:nsid w:val="1A0DDE32"/>
    <w:multiLevelType w:val="hybridMultilevel"/>
    <w:lvl w:ilvl="0">
      <w:lvlJc w:val="left"/>
      <w:lvlText w:val="(%1)"/>
      <w:numFmt w:val="decimal"/>
      <w:start w:val="1"/>
    </w:lvl>
  </w:abstractNum>
  <w:abstractNum w:abstractNumId="59">
    <w:nsid w:val="65968C1C"/>
    <w:multiLevelType w:val="hybridMultilevel"/>
    <w:lvl w:ilvl="0">
      <w:lvlJc w:val="left"/>
      <w:lvlText w:val="•"/>
      <w:numFmt w:val="bullet"/>
      <w:start w:val="1"/>
    </w:lvl>
  </w:abstractNum>
  <w:abstractNum w:abstractNumId="60">
    <w:nsid w:val="46263DEC"/>
    <w:multiLevelType w:val="hybridMultilevel"/>
    <w:lvl w:ilvl="0">
      <w:lvlJc w:val="left"/>
      <w:lvlText w:val="•"/>
      <w:numFmt w:val="bullet"/>
      <w:start w:val="1"/>
    </w:lvl>
  </w:abstractNum>
  <w:abstractNum w:abstractNumId="61">
    <w:nsid w:val="260D8C4A"/>
    <w:multiLevelType w:val="hybridMultilevel"/>
    <w:lvl w:ilvl="0">
      <w:lvlJc w:val="left"/>
      <w:lvlText w:val="•"/>
      <w:numFmt w:val="bullet"/>
      <w:start w:val="1"/>
    </w:lvl>
  </w:abstractNum>
  <w:abstractNum w:abstractNumId="62">
    <w:nsid w:val="73D4D3C4"/>
    <w:multiLevelType w:val="hybridMultilevel"/>
    <w:lvl w:ilvl="0">
      <w:lvlJc w:val="left"/>
      <w:lvlText w:val="•"/>
      <w:numFmt w:val="bullet"/>
      <w:start w:val="1"/>
    </w:lvl>
  </w:abstractNum>
  <w:abstractNum w:abstractNumId="63">
    <w:nsid w:val="746F2E30"/>
    <w:multiLevelType w:val="hybridMultilevel"/>
    <w:lvl w:ilvl="0">
      <w:lvlJc w:val="left"/>
      <w:lvlText w:val="(%1)"/>
      <w:numFmt w:val="decimal"/>
      <w:start w:val="1"/>
    </w:lvl>
  </w:abstractNum>
  <w:abstractNum w:abstractNumId="64">
    <w:nsid w:val="6FDE8AF6"/>
    <w:multiLevelType w:val="hybridMultilevel"/>
    <w:lvl w:ilvl="0">
      <w:lvlJc w:val="left"/>
      <w:lvlText w:val="(%1)"/>
      <w:numFmt w:val="decimal"/>
      <w:start w:val="1"/>
    </w:lvl>
  </w:abstractNum>
  <w:abstractNum w:abstractNumId="65">
    <w:nsid w:val="3FC32E20"/>
    <w:multiLevelType w:val="hybridMultilevel"/>
    <w:lvl w:ilvl="0">
      <w:lvlJc w:val="left"/>
      <w:lvlText w:val="(%1)"/>
      <w:numFmt w:val="decimal"/>
      <w:start w:val="1"/>
    </w:lvl>
  </w:abstractNum>
  <w:abstractNum w:abstractNumId="66">
    <w:nsid w:val="49C0E823"/>
    <w:multiLevelType w:val="hybridMultilevel"/>
    <w:lvl w:ilvl="0">
      <w:lvlJc w:val="left"/>
      <w:lvlText w:val="•"/>
      <w:numFmt w:val="bullet"/>
      <w:start w:val="1"/>
    </w:lvl>
  </w:abstractNum>
  <w:abstractNum w:abstractNumId="67">
    <w:nsid w:val="14D53685"/>
    <w:multiLevelType w:val="hybridMultilevel"/>
    <w:lvl w:ilvl="0">
      <w:lvlJc w:val="left"/>
      <w:lvlText w:val="•"/>
      <w:numFmt w:val="bullet"/>
      <w:start w:val="1"/>
    </w:lvl>
  </w:abstractNum>
  <w:abstractNum w:abstractNumId="68">
    <w:nsid w:val="230F856C"/>
    <w:multiLevelType w:val="hybridMultilevel"/>
    <w:lvl w:ilvl="0">
      <w:lvlJc w:val="left"/>
      <w:lvlText w:val="(%1)"/>
      <w:numFmt w:val="decimal"/>
      <w:start w:val="1"/>
    </w:lvl>
  </w:abstractNum>
  <w:abstractNum w:abstractNumId="69">
    <w:nsid w:val="6EAA85FB"/>
    <w:multiLevelType w:val="hybridMultilevel"/>
    <w:lvl w:ilvl="0">
      <w:lvlJc w:val="left"/>
      <w:lvlText w:val="•"/>
      <w:numFmt w:val="bullet"/>
      <w:start w:val="1"/>
    </w:lvl>
  </w:abstractNum>
  <w:abstractNum w:abstractNumId="70">
    <w:nsid w:val="3F06ECB2"/>
    <w:multiLevelType w:val="hybridMultilevel"/>
    <w:lvl w:ilvl="0">
      <w:lvlJc w:val="left"/>
      <w:lvlText w:val="•"/>
      <w:numFmt w:val="bullet"/>
      <w:start w:val="1"/>
    </w:lvl>
  </w:abstractNum>
  <w:abstractNum w:abstractNumId="71">
    <w:nsid w:val="3B594807"/>
    <w:multiLevelType w:val="hybridMultilevel"/>
    <w:lvl w:ilvl="0">
      <w:lvlJc w:val="left"/>
      <w:lvlText w:val="•"/>
      <w:numFmt w:val="bullet"/>
      <w:start w:val="1"/>
    </w:lvl>
  </w:abstractNum>
  <w:abstractNum w:abstractNumId="72">
    <w:nsid w:val="6CAA2304"/>
    <w:multiLevelType w:val="hybridMultilevel"/>
    <w:lvl w:ilvl="0">
      <w:lvlJc w:val="left"/>
      <w:lvlText w:val="•"/>
      <w:numFmt w:val="bullet"/>
      <w:start w:val="1"/>
    </w:lvl>
  </w:abstractNum>
  <w:abstractNum w:abstractNumId="73">
    <w:nsid w:val="3F7C2FF4"/>
    <w:multiLevelType w:val="hybridMultilevel"/>
    <w:lvl w:ilvl="0">
      <w:lvlJc w:val="left"/>
      <w:lvlText w:val="•"/>
      <w:numFmt w:val="bullet"/>
      <w:start w:val="1"/>
    </w:lvl>
  </w:abstractNum>
  <w:abstractNum w:abstractNumId="74">
    <w:nsid w:val="25413BEC"/>
    <w:multiLevelType w:val="hybridMultilevel"/>
    <w:lvl w:ilvl="0">
      <w:lvlJc w:val="left"/>
      <w:lvlText w:val="•"/>
      <w:numFmt w:val="bullet"/>
      <w:start w:val="1"/>
    </w:lvl>
  </w:abstractNum>
  <w:abstractNum w:abstractNumId="75">
    <w:nsid w:val="17180B0B"/>
    <w:multiLevelType w:val="hybridMultilevel"/>
    <w:lvl w:ilvl="0">
      <w:lvlJc w:val="left"/>
      <w:lvlText w:val="•"/>
      <w:numFmt w:val="bullet"/>
      <w:start w:val="1"/>
    </w:lvl>
  </w:abstractNum>
  <w:abstractNum w:abstractNumId="76">
    <w:nsid w:val="579328B9"/>
    <w:multiLevelType w:val="hybridMultilevel"/>
    <w:lvl w:ilvl="0">
      <w:lvlJc w:val="left"/>
      <w:lvlText w:val="•"/>
      <w:numFmt w:val="bullet"/>
      <w:start w:val="1"/>
    </w:lvl>
  </w:abstractNum>
  <w:abstractNum w:abstractNumId="77">
    <w:nsid w:val="5D205E20"/>
    <w:multiLevelType w:val="hybridMultilevel"/>
    <w:lvl w:ilvl="0">
      <w:lvlJc w:val="left"/>
      <w:lvlText w:val="•"/>
      <w:numFmt w:val="bullet"/>
      <w:start w:val="1"/>
    </w:lvl>
  </w:abstractNum>
  <w:abstractNum w:abstractNumId="78">
    <w:nsid w:val="11CCA8BA"/>
    <w:multiLevelType w:val="hybridMultilevel"/>
    <w:lvl w:ilvl="0">
      <w:lvlJc w:val="left"/>
      <w:lvlText w:val="•"/>
      <w:numFmt w:val="bullet"/>
      <w:start w:val="1"/>
    </w:lvl>
  </w:abstractNum>
  <w:abstractNum w:abstractNumId="79">
    <w:nsid w:val="4D32AB86"/>
    <w:multiLevelType w:val="hybridMultilevel"/>
    <w:lvl w:ilvl="0">
      <w:lvlJc w:val="left"/>
      <w:lvlText w:val="•"/>
      <w:numFmt w:val="bullet"/>
      <w:start w:val="1"/>
    </w:lvl>
  </w:abstractNum>
  <w:abstractNum w:abstractNumId="80">
    <w:nsid w:val="3F07ACC3"/>
    <w:multiLevelType w:val="hybridMultilevel"/>
    <w:lvl w:ilvl="0">
      <w:lvlJc w:val="left"/>
      <w:lvlText w:val="•"/>
      <w:numFmt w:val="bullet"/>
      <w:start w:val="1"/>
    </w:lvl>
    <w:lvl w:ilvl="1">
      <w:lvlJc w:val="left"/>
      <w:lvlText w:val="•"/>
      <w:numFmt w:val="bullet"/>
      <w:start w:val="1"/>
    </w:lvl>
  </w:abstractNum>
  <w:abstractNum w:abstractNumId="81">
    <w:nsid w:val="6B47F63E"/>
    <w:multiLevelType w:val="hybridMultilevel"/>
    <w:lvl w:ilvl="0">
      <w:lvlJc w:val="left"/>
      <w:lvlText w:val="•"/>
      <w:numFmt w:val="bullet"/>
      <w:start w:val="1"/>
    </w:lvl>
  </w:abstractNum>
  <w:abstractNum w:abstractNumId="82">
    <w:nsid w:val="5CB44A05"/>
    <w:multiLevelType w:val="hybridMultilevel"/>
    <w:lvl w:ilvl="0">
      <w:lvlJc w:val="left"/>
      <w:lvlText w:val="•"/>
      <w:numFmt w:val="bullet"/>
      <w:start w:val="1"/>
    </w:lvl>
    <w:lvl w:ilvl="1">
      <w:lvlJc w:val="left"/>
      <w:lvlText w:val="•"/>
      <w:numFmt w:val="bullet"/>
      <w:start w:val="1"/>
    </w:lvl>
  </w:abstractNum>
  <w:abstractNum w:abstractNumId="83">
    <w:nsid w:val="16CF80F1"/>
    <w:multiLevelType w:val="hybridMultilevel"/>
    <w:lvl w:ilvl="0">
      <w:lvlJc w:val="left"/>
      <w:lvlText w:val="(%1)"/>
      <w:numFmt w:val="lowerRoman"/>
      <w:start w:val="3"/>
    </w:lvl>
  </w:abstractNum>
  <w:abstractNum w:abstractNumId="84">
    <w:nsid w:val="1C695DEC"/>
    <w:multiLevelType w:val="hybridMultilevel"/>
    <w:lvl w:ilvl="0">
      <w:lvlJc w:val="left"/>
      <w:lvlText w:val="(%1)"/>
      <w:numFmt w:val="lowerRoman"/>
      <w:start w:val="4"/>
    </w:lvl>
  </w:abstractNum>
  <w:abstractNum w:abstractNumId="85">
    <w:nsid w:val="3FCFAED9"/>
    <w:multiLevelType w:val="hybridMultilevel"/>
    <w:lvl w:ilvl="0">
      <w:lvlJc w:val="left"/>
      <w:lvlText w:val="(%1)"/>
      <w:numFmt w:val="decimal"/>
      <w:start w:val="1"/>
    </w:lvl>
  </w:abstractNum>
  <w:abstractNum w:abstractNumId="86">
    <w:nsid w:val="F856867"/>
    <w:multiLevelType w:val="hybridMultilevel"/>
    <w:lvl w:ilvl="0">
      <w:lvlJc w:val="left"/>
      <w:lvlText w:val="•"/>
      <w:numFmt w:val="bullet"/>
      <w:start w:val="1"/>
    </w:lvl>
  </w:abstractNum>
  <w:abstractNum w:abstractNumId="87">
    <w:nsid w:val="11B1CC33"/>
    <w:multiLevelType w:val="hybridMultilevel"/>
    <w:lvl w:ilvl="0">
      <w:lvlJc w:val="left"/>
      <w:lvlText w:val="•"/>
      <w:numFmt w:val="bullet"/>
      <w:start w:val="1"/>
    </w:lvl>
  </w:abstractNum>
  <w:abstractNum w:abstractNumId="88">
    <w:nsid w:val="2E22FBB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9">
    <w:nsid w:val="299346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0">
    <w:nsid w:val="77485850"/>
    <w:multiLevelType w:val="hybridMultilevel"/>
    <w:lvl w:ilvl="0">
      <w:lvlJc w:val="left"/>
      <w:lvlText w:val="•"/>
      <w:numFmt w:val="bullet"/>
      <w:start w:val="1"/>
    </w:lvl>
  </w:abstractNum>
  <w:abstractNum w:abstractNumId="91">
    <w:nsid w:val="744939A3"/>
    <w:multiLevelType w:val="hybridMultilevel"/>
    <w:lvl w:ilvl="0">
      <w:lvlJc w:val="left"/>
      <w:lvlText w:val="•"/>
      <w:numFmt w:val="bullet"/>
      <w:start w:val="1"/>
    </w:lvl>
  </w:abstractNum>
  <w:abstractNum w:abstractNumId="92">
    <w:nsid w:val="4FA0D2E3"/>
    <w:multiLevelType w:val="hybridMultilevel"/>
    <w:lvl w:ilvl="0">
      <w:lvlJc w:val="left"/>
      <w:lvlText w:val="•"/>
      <w:numFmt w:val="bullet"/>
      <w:start w:val="1"/>
    </w:lvl>
  </w:abstractNum>
  <w:abstractNum w:abstractNumId="93">
    <w:nsid w:val="6B1D2C14"/>
    <w:multiLevelType w:val="hybridMultilevel"/>
    <w:lvl w:ilvl="0">
      <w:lvlJc w:val="left"/>
      <w:lvlText w:val="•"/>
      <w:numFmt w:val="bullet"/>
      <w:start w:val="1"/>
    </w:lvl>
  </w:abstractNum>
  <w:abstractNum w:abstractNumId="94">
    <w:nsid w:val="68B867D3"/>
    <w:multiLevelType w:val="hybridMultilevel"/>
    <w:lvl w:ilvl="0">
      <w:lvlJc w:val="left"/>
      <w:lvlText w:val="•"/>
      <w:numFmt w:val="bullet"/>
      <w:start w:val="1"/>
    </w:lvl>
  </w:abstractNum>
  <w:abstractNum w:abstractNumId="95">
    <w:nsid w:val="3F7F5DD9"/>
    <w:multiLevelType w:val="hybridMultilevel"/>
    <w:lvl w:ilvl="0">
      <w:lvlJc w:val="left"/>
      <w:lvlText w:val="•"/>
      <w:numFmt w:val="bullet"/>
      <w:start w:val="1"/>
    </w:lvl>
  </w:abstractNum>
  <w:abstractNum w:abstractNumId="96">
    <w:nsid w:val="2AE05A34"/>
    <w:multiLevelType w:val="hybridMultilevel"/>
    <w:lvl w:ilvl="0">
      <w:lvlJc w:val="left"/>
      <w:lvlText w:val="•"/>
      <w:numFmt w:val="bullet"/>
      <w:start w:val="1"/>
    </w:lvl>
    <w:lvl w:ilvl="1">
      <w:lvlJc w:val="left"/>
      <w:lvlText w:val="•"/>
      <w:numFmt w:val="bullet"/>
      <w:start w:val="1"/>
    </w:lvl>
  </w:abstractNum>
  <w:abstractNum w:abstractNumId="97">
    <w:nsid w:val="32794FF7"/>
    <w:multiLevelType w:val="hybridMultilevel"/>
    <w:lvl w:ilvl="0">
      <w:lvlJc w:val="left"/>
      <w:lvlText w:val="•"/>
      <w:numFmt w:val="bullet"/>
      <w:start w:val="1"/>
    </w:lvl>
    <w:lvl w:ilvl="1">
      <w:lvlJc w:val="left"/>
      <w:lvlText w:val="•"/>
      <w:numFmt w:val="bullet"/>
      <w:start w:val="1"/>
    </w:lvl>
  </w:abstractNum>
  <w:abstractNum w:abstractNumId="98">
    <w:nsid w:val="5454945E"/>
    <w:multiLevelType w:val="hybridMultilevel"/>
    <w:lvl w:ilvl="0">
      <w:lvlJc w:val="left"/>
      <w:lvlText w:val="•"/>
      <w:numFmt w:val="bullet"/>
      <w:start w:val="1"/>
    </w:lvl>
  </w:abstractNum>
  <w:abstractNum w:abstractNumId="99">
    <w:nsid w:val="4DEFDFA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0">
    <w:nsid w:val="2123D5F2"/>
    <w:multiLevelType w:val="hybridMultilevel"/>
    <w:lvl w:ilvl="0">
      <w:lvlJc w:val="left"/>
      <w:lvlText w:val="•"/>
      <w:numFmt w:val="bullet"/>
      <w:start w:val="1"/>
    </w:lvl>
    <w:lvl w:ilvl="1">
      <w:lvlJc w:val="left"/>
      <w:lvlText w:val="•"/>
      <w:numFmt w:val="bullet"/>
      <w:start w:val="1"/>
    </w:lvl>
  </w:abstractNum>
  <w:abstractNum w:abstractNumId="101">
    <w:nsid w:val="135B8110"/>
    <w:multiLevelType w:val="hybridMultilevel"/>
    <w:lvl w:ilvl="0">
      <w:lvlJc w:val="left"/>
      <w:lvlText w:val="•"/>
      <w:numFmt w:val="bullet"/>
      <w:start w:val="1"/>
    </w:lvl>
    <w:lvl w:ilvl="1">
      <w:lvlJc w:val="left"/>
      <w:lvlText w:val="•"/>
      <w:numFmt w:val="bullet"/>
      <w:start w:val="1"/>
    </w:lvl>
  </w:abstractNum>
  <w:abstractNum w:abstractNumId="102">
    <w:nsid w:val="94927A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3">
    <w:nsid w:val="DCDF8F6"/>
    <w:multiLevelType w:val="hybridMultilevel"/>
    <w:lvl w:ilvl="0">
      <w:lvlJc w:val="left"/>
      <w:lvlText w:val="•"/>
      <w:numFmt w:val="bullet"/>
      <w:start w:val="1"/>
    </w:lvl>
    <w:lvl w:ilvl="1">
      <w:lvlJc w:val="left"/>
      <w:lvlText w:val="•"/>
      <w:numFmt w:val="bullet"/>
      <w:start w:val="1"/>
    </w:lvl>
  </w:abstractNum>
  <w:abstractNum w:abstractNumId="104">
    <w:nsid w:val="52D7B105"/>
    <w:multiLevelType w:val="hybridMultilevel"/>
    <w:lvl w:ilvl="0">
      <w:lvlJc w:val="left"/>
      <w:lvlText w:val="•"/>
      <w:numFmt w:val="bullet"/>
      <w:start w:val="1"/>
    </w:lvl>
    <w:lvl w:ilvl="1">
      <w:lvlJc w:val="left"/>
      <w:lvlText w:val="•"/>
      <w:numFmt w:val="bullet"/>
      <w:start w:val="1"/>
    </w:lvl>
  </w:abstractNum>
  <w:abstractNum w:abstractNumId="105">
    <w:nsid w:val="2E8A6394"/>
    <w:multiLevelType w:val="hybridMultilevel"/>
    <w:lvl w:ilvl="0">
      <w:lvlJc w:val="left"/>
      <w:lvlText w:val="•"/>
      <w:numFmt w:val="bullet"/>
      <w:start w:val="1"/>
    </w:lvl>
  </w:abstractNum>
  <w:abstractNum w:abstractNumId="106">
    <w:nsid w:val="24E60401"/>
    <w:multiLevelType w:val="hybridMultilevel"/>
    <w:lvl w:ilvl="0">
      <w:lvlJc w:val="left"/>
      <w:lvlText w:val="•"/>
      <w:numFmt w:val="bullet"/>
      <w:start w:val="1"/>
    </w:lvl>
    <w:lvl w:ilvl="1">
      <w:lvlJc w:val="left"/>
      <w:lvlText w:val="•"/>
      <w:numFmt w:val="bullet"/>
      <w:start w:val="1"/>
    </w:lvl>
  </w:abstractNum>
  <w:abstractNum w:abstractNumId="107">
    <w:nsid w:val="2A6AD9BE"/>
    <w:multiLevelType w:val="hybridMultilevel"/>
    <w:lvl w:ilvl="0">
      <w:lvlJc w:val="left"/>
      <w:lvlText w:val="•"/>
      <w:numFmt w:val="bullet"/>
      <w:start w:val="1"/>
    </w:lvl>
    <w:lvl w:ilvl="1">
      <w:lvlJc w:val="left"/>
      <w:lvlText w:val="•"/>
      <w:numFmt w:val="bullet"/>
      <w:start w:val="1"/>
    </w:lvl>
  </w:abstractNum>
  <w:abstractNum w:abstractNumId="108">
    <w:nsid w:val="BAAC1B4"/>
    <w:multiLevelType w:val="hybridMultilevel"/>
    <w:lvl w:ilvl="0">
      <w:lvlJc w:val="left"/>
      <w:lvlText w:val="•"/>
      <w:numFmt w:val="bullet"/>
      <w:start w:val="1"/>
    </w:lvl>
    <w:lvl w:ilvl="1">
      <w:lvlJc w:val="left"/>
      <w:lvlText w:val="•"/>
      <w:numFmt w:val="bullet"/>
      <w:start w:val="1"/>
    </w:lvl>
  </w:abstractNum>
  <w:abstractNum w:abstractNumId="109">
    <w:nsid w:val="36B2ACBC"/>
    <w:multiLevelType w:val="hybridMultilevel"/>
    <w:lvl w:ilvl="0">
      <w:lvlJc w:val="left"/>
      <w:lvlText w:val="•"/>
      <w:numFmt w:val="bullet"/>
      <w:start w:val="1"/>
    </w:lvl>
    <w:lvl w:ilvl="1">
      <w:lvlJc w:val="left"/>
      <w:lvlText w:val="•"/>
      <w:numFmt w:val="bullet"/>
      <w:start w:val="1"/>
    </w:lvl>
  </w:abstractNum>
  <w:abstractNum w:abstractNumId="110">
    <w:nsid w:val="779D8544"/>
    <w:multiLevelType w:val="hybridMultilevel"/>
    <w:lvl w:ilvl="0">
      <w:lvlJc w:val="left"/>
      <w:lvlText w:val="•"/>
      <w:numFmt w:val="bullet"/>
      <w:start w:val="1"/>
    </w:lvl>
    <w:lvl w:ilvl="1">
      <w:lvlJc w:val="left"/>
      <w:lvlText w:val="•"/>
      <w:numFmt w:val="bullet"/>
      <w:start w:val="1"/>
    </w:lvl>
  </w:abstractNum>
  <w:abstractNum w:abstractNumId="111">
    <w:nsid w:val="4AB26E78"/>
    <w:multiLevelType w:val="hybridMultilevel"/>
    <w:lvl w:ilvl="0">
      <w:lvlJc w:val="left"/>
      <w:lvlText w:val="•"/>
      <w:numFmt w:val="bullet"/>
      <w:start w:val="1"/>
    </w:lvl>
  </w:abstractNum>
  <w:abstractNum w:abstractNumId="112">
    <w:nsid w:val="21FAA2FA"/>
    <w:multiLevelType w:val="hybridMultilevel"/>
    <w:lvl w:ilvl="0">
      <w:lvlJc w:val="left"/>
      <w:lvlText w:val="•"/>
      <w:numFmt w:val="bullet"/>
      <w:start w:val="1"/>
    </w:lvl>
  </w:abstractNum>
  <w:abstractNum w:abstractNumId="113">
    <w:nsid w:val="5451CF49"/>
    <w:multiLevelType w:val="hybridMultilevel"/>
    <w:lvl w:ilvl="0">
      <w:lvlJc w:val="left"/>
      <w:lvlText w:val="•"/>
      <w:numFmt w:val="bullet"/>
      <w:start w:val="1"/>
    </w:lvl>
  </w:abstractNum>
  <w:abstractNum w:abstractNumId="114">
    <w:nsid w:val="6181EF69"/>
    <w:multiLevelType w:val="hybridMultilevel"/>
    <w:lvl w:ilvl="0">
      <w:lvlJc w:val="left"/>
      <w:lvlText w:val="•"/>
      <w:numFmt w:val="bullet"/>
      <w:start w:val="1"/>
    </w:lvl>
    <w:lvl w:ilvl="1">
      <w:lvlJc w:val="left"/>
      <w:lvlText w:val="•"/>
      <w:numFmt w:val="bullet"/>
      <w:start w:val="1"/>
    </w:lvl>
  </w:abstractNum>
  <w:abstractNum w:abstractNumId="115">
    <w:nsid w:val="3E6400E6"/>
    <w:multiLevelType w:val="hybridMultilevel"/>
    <w:lvl w:ilvl="0">
      <w:lvlJc w:val="left"/>
      <w:lvlText w:val="•"/>
      <w:numFmt w:val="bullet"/>
      <w:start w:val="1"/>
    </w:lvl>
    <w:lvl w:ilvl="1">
      <w:lvlJc w:val="left"/>
      <w:lvlText w:val="•"/>
      <w:numFmt w:val="bullet"/>
      <w:start w:val="1"/>
    </w:lvl>
  </w:abstractNum>
  <w:abstractNum w:abstractNumId="116">
    <w:nsid w:val="14217E23"/>
    <w:multiLevelType w:val="hybridMultilevel"/>
    <w:lvl w:ilvl="0">
      <w:lvlJc w:val="left"/>
      <w:lvlText w:val="•"/>
      <w:numFmt w:val="bullet"/>
      <w:start w:val="1"/>
    </w:lvl>
    <w:lvl w:ilvl="1">
      <w:lvlJc w:val="left"/>
      <w:lvlText w:val="•"/>
      <w:numFmt w:val="bullet"/>
      <w:start w:val="1"/>
    </w:lvl>
  </w:abstractNum>
  <w:abstractNum w:abstractNumId="117">
    <w:nsid w:val="710757D0"/>
    <w:multiLevelType w:val="hybridMultilevel"/>
    <w:lvl w:ilvl="0">
      <w:lvlJc w:val="left"/>
      <w:lvlText w:val="(%1)"/>
      <w:numFmt w:val="lowerRoman"/>
      <w:start w:val="1"/>
    </w:lvl>
  </w:abstractNum>
  <w:abstractNum w:abstractNumId="118">
    <w:nsid w:val="5015CD1A"/>
    <w:multiLevelType w:val="hybridMultilevel"/>
    <w:lvl w:ilvl="0">
      <w:lvlJc w:val="left"/>
      <w:lvlText w:val="(%1)"/>
      <w:numFmt w:val="lowerRoman"/>
      <w:start w:val="2"/>
    </w:lvl>
  </w:abstractNum>
  <w:abstractNum w:abstractNumId="119">
    <w:nsid w:val="424479DA"/>
    <w:multiLevelType w:val="hybridMultilevel"/>
    <w:lvl w:ilvl="0">
      <w:lvlJc w:val="left"/>
      <w:lvlText w:val="(%1)"/>
      <w:numFmt w:val="decimal"/>
      <w:start w:val="1"/>
    </w:lvl>
  </w:abstractNum>
  <w:abstractNum w:abstractNumId="120">
    <w:nsid w:val="1A9A9E69"/>
    <w:multiLevelType w:val="hybridMultilevel"/>
    <w:lvl w:ilvl="0">
      <w:lvlJc w:val="left"/>
      <w:lvlText w:val="(%1)"/>
      <w:numFmt w:val="lowerRoman"/>
      <w:start w:val="1"/>
    </w:lvl>
  </w:abstractNum>
  <w:abstractNum w:abstractNumId="121">
    <w:nsid w:val="475E256A"/>
    <w:multiLevelType w:val="hybridMultilevel"/>
    <w:lvl w:ilvl="0">
      <w:lvlJc w:val="left"/>
      <w:lvlText w:val="(%1)"/>
      <w:numFmt w:val="lowerRoman"/>
      <w:start w:val="2"/>
    </w:lvl>
  </w:abstractNum>
  <w:abstractNum w:abstractNumId="122">
    <w:nsid w:val="368DB37E"/>
    <w:multiLevelType w:val="hybridMultilevel"/>
    <w:lvl w:ilvl="0">
      <w:lvlJc w:val="left"/>
      <w:lvlText w:val="(%1)"/>
      <w:numFmt w:val="decimal"/>
      <w:start w:val="7"/>
    </w:lvl>
  </w:abstractNum>
  <w:abstractNum w:abstractNumId="123">
    <w:nsid w:val="6A3B714C"/>
    <w:multiLevelType w:val="hybridMultilevel"/>
    <w:lvl w:ilvl="0">
      <w:lvlJc w:val="left"/>
      <w:lvlText w:val="(%1)"/>
      <w:numFmt w:val="lowerRoman"/>
      <w:start w:val="2"/>
    </w:lvl>
  </w:abstractNum>
  <w:abstractNum w:abstractNumId="124">
    <w:nsid w:val="327B517E"/>
    <w:multiLevelType w:val="hybridMultilevel"/>
    <w:lvl w:ilvl="0">
      <w:lvlJc w:val="left"/>
      <w:lvlText w:val="(%1)"/>
      <w:numFmt w:val="decimal"/>
      <w:start w:val="1"/>
    </w:lvl>
  </w:abstractNum>
  <w:abstractNum w:abstractNumId="125">
    <w:nsid w:val="1F461B51"/>
    <w:multiLevelType w:val="hybridMultilevel"/>
    <w:lvl w:ilvl="0">
      <w:lvlJc w:val="left"/>
      <w:lvlText w:val="(%1)"/>
      <w:numFmt w:val="decimal"/>
      <w:start w:val="1"/>
    </w:lvl>
  </w:abstractNum>
  <w:abstractNum w:abstractNumId="126">
    <w:nsid w:val="29BACF25"/>
    <w:multiLevelType w:val="hybridMultilevel"/>
    <w:lvl w:ilvl="0">
      <w:lvlJc w:val="left"/>
      <w:lvlText w:val="(%1)"/>
      <w:numFmt w:val="decimal"/>
      <w:start w:val="2"/>
    </w:lvl>
  </w:abstractNum>
  <w:abstractNum w:abstractNumId="127">
    <w:nsid w:val="5D5BABB3"/>
    <w:multiLevelType w:val="hybridMultilevel"/>
    <w:lvl w:ilvl="0">
      <w:lvlJc w:val="left"/>
      <w:lvlText w:val="(%1)"/>
      <w:numFmt w:val="decimal"/>
      <w:start w:val="13"/>
    </w:lvl>
  </w:abstractNum>
  <w:abstractNum w:abstractNumId="128">
    <w:nsid w:val="51BF6B48"/>
    <w:multiLevelType w:val="hybridMultilevel"/>
    <w:lvl w:ilvl="0">
      <w:lvlJc w:val="left"/>
      <w:lvlText w:val="(%1)"/>
      <w:numFmt w:val="decimal"/>
      <w:start w:val="21"/>
    </w:lvl>
  </w:abstractNum>
  <w:abstractNum w:abstractNumId="129">
    <w:nsid w:val="7E0F6384"/>
    <w:multiLevelType w:val="hybridMultilevel"/>
    <w:lvl w:ilvl="0">
      <w:lvlJc w:val="left"/>
      <w:lvlText w:val="(%1)"/>
      <w:numFmt w:val="decimal"/>
      <w:start w:val="30"/>
    </w:lvl>
  </w:abstractNum>
  <w:abstractNum w:abstractNumId="130">
    <w:nsid w:val="2B4B8B53"/>
    <w:multiLevelType w:val="hybridMultilevel"/>
    <w:lvl w:ilvl="0">
      <w:lvlJc w:val="left"/>
      <w:lvlText w:val="(%1)"/>
      <w:numFmt w:val="decimal"/>
      <w:start w:val="1"/>
    </w:lvl>
  </w:abstractNum>
  <w:abstractNum w:abstractNumId="131">
    <w:nsid w:val="72E3413A"/>
    <w:multiLevelType w:val="hybridMultilevel"/>
    <w:lvl w:ilvl="0">
      <w:lvlJc w:val="left"/>
      <w:lvlText w:val="(%1)"/>
      <w:numFmt w:val="lowerRoman"/>
      <w:start w:val="1"/>
    </w:lvl>
  </w:abstractNum>
  <w:abstractNum w:abstractNumId="132">
    <w:nsid w:val="116AE494"/>
    <w:multiLevelType w:val="hybridMultilevel"/>
    <w:lvl w:ilvl="0">
      <w:lvlJc w:val="left"/>
      <w:lvlText w:val="(%1)"/>
      <w:numFmt w:val="lowerRoman"/>
      <w:start w:val="4"/>
    </w:lvl>
  </w:abstractNum>
  <w:abstractNum w:abstractNumId="133">
    <w:nsid w:val="3494B2FB"/>
    <w:multiLevelType w:val="hybridMultilevel"/>
    <w:lvl w:ilvl="0">
      <w:lvlJc w:val="left"/>
      <w:lvlText w:val="(%1)"/>
      <w:numFmt w:val="upperLetter"/>
      <w:start w:val="2"/>
    </w:lvl>
  </w:abstractNum>
  <w:abstractNum w:abstractNumId="134">
    <w:nsid w:val="B13A31"/>
    <w:multiLevelType w:val="hybridMultilevel"/>
    <w:lvl w:ilvl="0">
      <w:lvlJc w:val="left"/>
      <w:lvlText w:val="(%1)"/>
      <w:numFmt w:val="upperLetter"/>
      <w:start w:val="3"/>
    </w:lvl>
  </w:abstractNum>
  <w:abstractNum w:abstractNumId="135">
    <w:nsid w:val="64429599"/>
    <w:multiLevelType w:val="hybridMultilevel"/>
    <w:lvl w:ilvl="0">
      <w:lvlJc w:val="left"/>
      <w:lvlText w:val="(%1)"/>
      <w:numFmt w:val="lowerRoman"/>
      <w:start w:val="1"/>
    </w:lvl>
  </w:abstractNum>
  <w:abstractNum w:abstractNumId="136">
    <w:nsid w:val="631F1690"/>
    <w:multiLevelType w:val="hybridMultilevel"/>
    <w:lvl w:ilvl="0">
      <w:lvlJc w:val="left"/>
      <w:lvlText w:val="(%1)"/>
      <w:numFmt w:val="lowerLetter"/>
      <w:start w:val="25"/>
    </w:lvl>
  </w:abstractNum>
  <w:abstractNum w:abstractNumId="137">
    <w:nsid w:val="25973E32"/>
    <w:multiLevelType w:val="hybridMultilevel"/>
    <w:lvl w:ilvl="0">
      <w:lvlJc w:val="left"/>
      <w:lvlText w:val="(%1)"/>
      <w:numFmt w:val="lowerRoman"/>
      <w:start w:val="1"/>
    </w:lvl>
  </w:abstractNum>
  <w:abstractNum w:abstractNumId="138">
    <w:nsid w:val="EAD6F57"/>
    <w:multiLevelType w:val="hybridMultilevel"/>
    <w:lvl w:ilvl="0">
      <w:lvlJc w:val="left"/>
      <w:lvlText w:val="(%1)"/>
      <w:numFmt w:val="lowerRoman"/>
      <w:start w:val="2"/>
    </w:lvl>
  </w:abstractNum>
  <w:abstractNum w:abstractNumId="139">
    <w:nsid w:val="6EC9D84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0">
    <w:nsid w:val="5C49EAEE"/>
    <w:multiLevelType w:val="hybridMultilevel"/>
    <w:lvl w:ilvl="0">
      <w:lvlJc w:val="left"/>
      <w:lvlText w:val="(%1)"/>
      <w:numFmt w:val="decimal"/>
      <w:start w:val="1"/>
    </w:lvl>
  </w:abstractNum>
  <w:abstractNum w:abstractNumId="141">
    <w:nsid w:val="64AF49B"/>
    <w:multiLevelType w:val="hybridMultilevel"/>
    <w:lvl w:ilvl="0">
      <w:lvlJc w:val="left"/>
      <w:lvlText w:val="(%1)"/>
      <w:numFmt w:val="decimal"/>
      <w:start w:val="6"/>
    </w:lvl>
  </w:abstractNum>
  <w:abstractNum w:abstractNumId="142">
    <w:nsid w:val="397C46BC"/>
    <w:multiLevelType w:val="hybridMultilevel"/>
    <w:lvl w:ilvl="0">
      <w:lvlJc w:val="left"/>
      <w:lvlText w:val="(%1)"/>
      <w:numFmt w:val="decimal"/>
      <w:start w:val="8"/>
    </w:lvl>
  </w:abstractNum>
  <w:abstractNum w:abstractNumId="143">
    <w:nsid w:val="7E448DE9"/>
    <w:multiLevelType w:val="hybridMultilevel"/>
    <w:lvl w:ilvl="0">
      <w:lvlJc w:val="left"/>
      <w:lvlText w:val="(%1)"/>
      <w:numFmt w:val="lowerRoman"/>
      <w:start w:val="1"/>
    </w:lvl>
  </w:abstractNum>
  <w:abstractNum w:abstractNumId="144">
    <w:nsid w:val="5A9CC3E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5">
    <w:nsid w:val="1AFE3625"/>
    <w:multiLevelType w:val="hybridMultilevel"/>
    <w:lvl w:ilvl="0">
      <w:lvlJc w:val="left"/>
      <w:lvlText w:val="(%1)"/>
      <w:numFmt w:val="decimal"/>
      <w:start w:val="1"/>
    </w:lvl>
  </w:abstractNum>
  <w:abstractNum w:abstractNumId="146">
    <w:nsid w:val="3CA88ECF"/>
    <w:multiLevelType w:val="hybridMultilevel"/>
    <w:lvl w:ilvl="0">
      <w:lvlJc w:val="left"/>
      <w:lvlText w:val="(%1)"/>
      <w:numFmt w:val="decimal"/>
      <w:start w:val="3"/>
    </w:lvl>
    <w:lvl w:ilvl="1">
      <w:lvlJc w:val="left"/>
      <w:lvlText w:val="(%2)"/>
      <w:numFmt w:val="upperLetter"/>
      <w:start w:val="1"/>
    </w:lvl>
  </w:abstractNum>
  <w:abstractNum w:abstractNumId="147">
    <w:nsid w:val="6EBE4208"/>
    <w:multiLevelType w:val="hybridMultilevel"/>
    <w:lvl w:ilvl="0">
      <w:lvlJc w:val="left"/>
      <w:lvlText w:val="%1"/>
      <w:numFmt w:val="decimal"/>
      <w:start w:val="1"/>
    </w:lvl>
    <w:lvl w:ilvl="1">
      <w:lvlJc w:val="left"/>
      <w:lvlText w:val="(%2)"/>
      <w:numFmt w:val="upperLetter"/>
      <w:start w:val="2"/>
    </w:lvl>
  </w:abstractNum>
  <w:abstractNum w:abstractNumId="148">
    <w:nsid w:val="C058DF5"/>
    <w:multiLevelType w:val="hybridMultilevel"/>
    <w:lvl w:ilvl="0">
      <w:lvlJc w:val="left"/>
      <w:lvlText w:val="(%1)"/>
      <w:numFmt w:val="decimal"/>
      <w:start w:val="9"/>
    </w:lvl>
    <w:lvl w:ilvl="1">
      <w:lvlJc w:val="left"/>
      <w:lvlText w:val="%2"/>
      <w:numFmt w:val="upperLetter"/>
      <w:start w:val="1"/>
    </w:lvl>
  </w:abstractNum>
  <w:abstractNum w:abstractNumId="149">
    <w:nsid w:val="CBE5BE9"/>
    <w:multiLevelType w:val="hybridMultilevel"/>
    <w:lvl w:ilvl="0">
      <w:lvlJc w:val="left"/>
      <w:lvlText w:val="(%1)"/>
      <w:numFmt w:val="decimal"/>
      <w:start w:val="10"/>
    </w:lvl>
  </w:abstractNum>
  <w:abstractNum w:abstractNumId="150">
    <w:nsid w:val="3102BBE2"/>
    <w:multiLevelType w:val="hybridMultilevel"/>
    <w:lvl w:ilvl="0">
      <w:lvlJc w:val="left"/>
      <w:lvlText w:val="(%1)"/>
      <w:numFmt w:val="lowerRoman"/>
      <w:start w:val="1"/>
    </w:lvl>
  </w:abstractNum>
  <w:abstractNum w:abstractNumId="151">
    <w:nsid w:val="26A02C5E"/>
    <w:multiLevelType w:val="hybridMultilevel"/>
    <w:lvl w:ilvl="0">
      <w:lvlJc w:val="left"/>
      <w:lvlText w:val="(%1)"/>
      <w:numFmt w:val="lowerRoman"/>
      <w:start w:val="3"/>
    </w:lvl>
  </w:abstractNum>
  <w:abstractNum w:abstractNumId="152">
    <w:nsid w:val="541C815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3">
    <w:nsid w:val="67906F60"/>
    <w:multiLevelType w:val="hybridMultilevel"/>
    <w:lvl w:ilvl="0">
      <w:lvlJc w:val="left"/>
      <w:lvlText w:val="(%1)"/>
      <w:numFmt w:val="decimal"/>
      <w:start w:val="1"/>
    </w:lvl>
  </w:abstractNum>
  <w:abstractNum w:abstractNumId="154">
    <w:nsid w:val="10DB9DAA"/>
    <w:multiLevelType w:val="hybridMultilevel"/>
    <w:lvl w:ilvl="0">
      <w:lvlJc w:val="left"/>
      <w:lvlText w:val="(%1)"/>
      <w:numFmt w:val="decimal"/>
      <w:start w:val="7"/>
    </w:lvl>
  </w:abstractNum>
  <w:abstractNum w:abstractNumId="155">
    <w:nsid w:val="697D2D2"/>
    <w:multiLevelType w:val="hybridMultilevel"/>
    <w:lvl w:ilvl="0">
      <w:lvlJc w:val="left"/>
      <w:lvlText w:val="(%1)"/>
      <w:numFmt w:val="lowerLetter"/>
      <w:start w:val="25"/>
    </w:lvl>
  </w:abstractNum>
  <w:abstractNum w:abstractNumId="156">
    <w:nsid w:val="6D68AB2"/>
    <w:multiLevelType w:val="hybridMultilevel"/>
    <w:lvl w:ilvl="0">
      <w:lvlJc w:val="left"/>
      <w:lvlText w:val="(%1)"/>
      <w:numFmt w:val="lowerRoman"/>
      <w:start w:val="1"/>
    </w:lvl>
  </w:abstractNum>
  <w:abstractNum w:abstractNumId="157">
    <w:nsid w:val="3A966CD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8">
    <w:nsid w:val="63F37E85"/>
    <w:multiLevelType w:val="hybridMultilevel"/>
    <w:lvl w:ilvl="0">
      <w:lvlJc w:val="left"/>
      <w:lvlText w:val="•"/>
      <w:numFmt w:val="bullet"/>
      <w:start w:val="1"/>
    </w:lvl>
    <w:lvl w:ilvl="1">
      <w:lvlJc w:val="left"/>
      <w:lvlText w:val="•"/>
      <w:numFmt w:val="bullet"/>
      <w:start w:val="1"/>
    </w:lvl>
  </w:abstractNum>
  <w:abstractNum w:abstractNumId="159">
    <w:nsid w:val="5895F5FA"/>
    <w:multiLevelType w:val="hybridMultilevel"/>
    <w:lvl w:ilvl="0">
      <w:lvlJc w:val="left"/>
      <w:lvlText w:val="(%1)"/>
      <w:numFmt w:val="decimal"/>
      <w:start w:val="1"/>
    </w:lvl>
  </w:abstractNum>
  <w:abstractNum w:abstractNumId="160">
    <w:nsid w:val="38A5D054"/>
    <w:multiLevelType w:val="hybridMultilevel"/>
    <w:lvl w:ilvl="0">
      <w:lvlJc w:val="left"/>
      <w:lvlText w:val="(%1)"/>
      <w:numFmt w:val="decimal"/>
      <w:start w:val="2"/>
    </w:lvl>
  </w:abstractNum>
  <w:abstractNum w:abstractNumId="161">
    <w:nsid w:val="F3F09D8"/>
    <w:multiLevelType w:val="hybridMultilevel"/>
    <w:lvl w:ilvl="0">
      <w:lvlJc w:val="left"/>
      <w:lvlText w:val="(%1)"/>
      <w:numFmt w:val="decimal"/>
      <w:start w:val="9"/>
    </w:lvl>
  </w:abstractNum>
  <w:abstractNum w:abstractNumId="162">
    <w:nsid w:val="4B793735"/>
    <w:multiLevelType w:val="hybridMultilevel"/>
    <w:lvl w:ilvl="0">
      <w:lvlJc w:val="left"/>
      <w:lvlText w:val="(%1)"/>
      <w:numFmt w:val="lowerRoman"/>
      <w:start w:val="1"/>
    </w:lvl>
  </w:abstractNum>
  <w:abstractNum w:abstractNumId="163">
    <w:nsid w:val="4A10B4E8"/>
    <w:multiLevelType w:val="hybridMultilevel"/>
    <w:lvl w:ilvl="0">
      <w:lvlJc w:val="left"/>
      <w:lvlText w:val="(%1)"/>
      <w:numFmt w:val="lowerRoman"/>
      <w:start w:val="1"/>
    </w:lvl>
  </w:abstractNum>
  <w:abstractNum w:abstractNumId="164">
    <w:nsid w:val="43D3BCD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5">
    <w:nsid w:val="4C2A7166"/>
    <w:multiLevelType w:val="hybridMultilevel"/>
    <w:lvl w:ilvl="0">
      <w:lvlJc w:val="left"/>
      <w:lvlText w:val="•"/>
      <w:numFmt w:val="bullet"/>
      <w:start w:val="1"/>
    </w:lvl>
  </w:abstractNum>
  <w:abstractNum w:abstractNumId="166">
    <w:nsid w:val="2E534A82"/>
    <w:multiLevelType w:val="hybridMultilevel"/>
    <w:lvl w:ilvl="0">
      <w:lvlJc w:val="left"/>
      <w:lvlText w:val="(%1)"/>
      <w:numFmt w:val="decimal"/>
      <w:start w:val="1"/>
    </w:lvl>
  </w:abstractNum>
  <w:abstractNum w:abstractNumId="167">
    <w:nsid w:val="26F2D364"/>
    <w:multiLevelType w:val="hybridMultilevel"/>
    <w:lvl w:ilvl="0">
      <w:lvlJc w:val="left"/>
      <w:lvlText w:val="(%1)"/>
      <w:numFmt w:val="decimal"/>
      <w:start w:val="3"/>
    </w:lvl>
    <w:lvl w:ilvl="1">
      <w:lvlJc w:val="left"/>
      <w:lvlText w:val="(%2)"/>
      <w:numFmt w:val="upperLetter"/>
      <w:start w:val="1"/>
    </w:lvl>
  </w:abstractNum>
  <w:abstractNum w:abstractNumId="168">
    <w:nsid w:val="71C1AF98"/>
    <w:multiLevelType w:val="hybridMultilevel"/>
    <w:lvl w:ilvl="0">
      <w:lvlJc w:val="left"/>
      <w:lvlText w:val="%1"/>
      <w:numFmt w:val="decimal"/>
      <w:start w:val="1"/>
    </w:lvl>
    <w:lvl w:ilvl="1">
      <w:lvlJc w:val="left"/>
      <w:lvlText w:val="(%2)"/>
      <w:numFmt w:val="upperLetter"/>
      <w:start w:val="2"/>
    </w:lvl>
  </w:abstractNum>
  <w:abstractNum w:abstractNumId="169">
    <w:nsid w:val="3D00B9D9"/>
    <w:multiLevelType w:val="hybridMultilevel"/>
    <w:lvl w:ilvl="0">
      <w:lvlJc w:val="left"/>
      <w:lvlText w:val="(%1)"/>
      <w:numFmt w:val="decimal"/>
      <w:start w:val="9"/>
    </w:lvl>
  </w:abstractNum>
  <w:abstractNum w:abstractNumId="170">
    <w:nsid w:val="15BCABA8"/>
    <w:multiLevelType w:val="hybridMultilevel"/>
    <w:lvl w:ilvl="0">
      <w:lvlJc w:val="left"/>
      <w:lvlText w:val="(%1)"/>
      <w:numFmt w:val="decimal"/>
      <w:start w:val="1"/>
    </w:lvl>
  </w:abstractNum>
  <w:abstractNum w:abstractNumId="171">
    <w:nsid w:val="4E0B9A87"/>
    <w:multiLevelType w:val="hybridMultilevel"/>
    <w:lvl w:ilvl="0">
      <w:lvlJc w:val="left"/>
      <w:lvlText w:val="•"/>
      <w:numFmt w:val="bullet"/>
      <w:start w:val="1"/>
    </w:lvl>
    <w:lvl w:ilvl="1">
      <w:lvlJc w:val="left"/>
      <w:lvlText w:val="•"/>
      <w:numFmt w:val="bullet"/>
      <w:start w:val="1"/>
    </w:lvl>
  </w:abstractNum>
  <w:abstractNum w:abstractNumId="172">
    <w:nsid w:val="434BAE75"/>
    <w:multiLevelType w:val="hybridMultilevel"/>
    <w:lvl w:ilvl="0">
      <w:lvlJc w:val="left"/>
      <w:lvlText w:val="(%1)"/>
      <w:numFmt w:val="lowerRoman"/>
      <w:start w:val="3"/>
    </w:lvl>
  </w:abstractNum>
  <w:abstractNum w:abstractNumId="173">
    <w:nsid w:val="4F38F265"/>
    <w:multiLevelType w:val="hybridMultilevel"/>
    <w:lvl w:ilvl="0">
      <w:lvlJc w:val="left"/>
      <w:lvlText w:val="*"/>
      <w:numFmt w:val="bullet"/>
      <w:start w:val="1"/>
    </w:lvl>
  </w:abstractNum>
  <w:abstractNum w:abstractNumId="174">
    <w:nsid w:val="4C502870"/>
    <w:multiLevelType w:val="hybridMultilevel"/>
    <w:lvl w:ilvl="0">
      <w:lvlJc w:val="left"/>
      <w:lvlText w:val="(%1)"/>
      <w:numFmt w:val="decimal"/>
      <w:start w:val="1"/>
    </w:lvl>
  </w:abstractNum>
  <w:abstractNum w:abstractNumId="175">
    <w:nsid w:val="1DE8725A"/>
    <w:multiLevelType w:val="hybridMultilevel"/>
    <w:lvl w:ilvl="0">
      <w:lvlJc w:val="left"/>
      <w:lvlText w:val="%1)"/>
      <w:numFmt w:val="decimal"/>
      <w:start w:val="1"/>
    </w:lvl>
  </w:abstractNum>
  <w:abstractNum w:abstractNumId="176">
    <w:nsid w:val="6A37288A"/>
    <w:multiLevelType w:val="hybridMultilevel"/>
    <w:lvl w:ilvl="0">
      <w:lvlJc w:val="left"/>
      <w:lvlText w:val="%1)"/>
      <w:numFmt w:val="decimal"/>
      <w:start w:val="7"/>
    </w:lvl>
  </w:abstractNum>
  <w:abstractNum w:abstractNumId="177">
    <w:nsid w:val="8F8B73F"/>
    <w:multiLevelType w:val="hybridMultilevel"/>
    <w:lvl w:ilvl="0">
      <w:lvlJc w:val="left"/>
      <w:lvlText w:val="•"/>
      <w:numFmt w:val="bullet"/>
      <w:start w:val="1"/>
    </w:lvl>
  </w:abstractNum>
  <w:abstractNum w:abstractNumId="178">
    <w:nsid w:val="CA6B462"/>
    <w:multiLevelType w:val="hybridMultilevel"/>
    <w:lvl w:ilvl="0">
      <w:lvlJc w:val="left"/>
      <w:lvlText w:val="•"/>
      <w:numFmt w:val="bullet"/>
      <w:start w:val="1"/>
    </w:lvl>
  </w:abstractNum>
  <w:abstractNum w:abstractNumId="179">
    <w:nsid w:val="763CB680"/>
    <w:multiLevelType w:val="hybridMultilevel"/>
    <w:lvl w:ilvl="0">
      <w:lvlJc w:val="left"/>
      <w:lvlText w:val="(%1)"/>
      <w:numFmt w:val="lowerRoman"/>
      <w:start w:val="1"/>
    </w:lvl>
  </w:abstractNum>
  <w:abstractNum w:abstractNumId="180">
    <w:nsid w:val="15B71329"/>
    <w:multiLevelType w:val="hybridMultilevel"/>
    <w:lvl w:ilvl="0">
      <w:lvlJc w:val="left"/>
      <w:lvlText w:val="•"/>
      <w:numFmt w:val="bullet"/>
      <w:start w:val="1"/>
    </w:lvl>
  </w:abstractNum>
  <w:abstractNum w:abstractNumId="181">
    <w:nsid w:val="3DA97044"/>
    <w:multiLevelType w:val="hybridMultilevel"/>
    <w:lvl w:ilvl="0">
      <w:lvlJc w:val="left"/>
      <w:lvlText w:val="•"/>
      <w:numFmt w:val="bullet"/>
      <w:start w:val="1"/>
    </w:lvl>
  </w:abstractNum>
  <w:abstractNum w:abstractNumId="182">
    <w:nsid w:val="1CDCE2DE"/>
    <w:multiLevelType w:val="hybridMultilevel"/>
    <w:lvl w:ilvl="0">
      <w:lvlJc w:val="left"/>
      <w:lvlText w:val="•"/>
      <w:numFmt w:val="bullet"/>
      <w:start w:val="1"/>
    </w:lvl>
  </w:abstractNum>
  <w:abstractNum w:abstractNumId="183">
    <w:nsid w:val="69D3947C"/>
    <w:multiLevelType w:val="hybridMultilevel"/>
    <w:lvl w:ilvl="0">
      <w:lvlJc w:val="left"/>
      <w:lvlText w:val="•"/>
      <w:numFmt w:val="bullet"/>
      <w:start w:val="1"/>
    </w:lvl>
  </w:abstractNum>
  <w:abstractNum w:abstractNumId="184">
    <w:nsid w:val="2539DFA5"/>
    <w:multiLevelType w:val="hybridMultilevel"/>
    <w:lvl w:ilvl="0">
      <w:lvlJc w:val="left"/>
      <w:lvlText w:val="•"/>
      <w:numFmt w:val="bullet"/>
      <w:start w:val="1"/>
    </w:lvl>
  </w:abstractNum>
  <w:abstractNum w:abstractNumId="185">
    <w:nsid w:val="2DB88089"/>
    <w:multiLevelType w:val="hybridMultilevel"/>
    <w:lvl w:ilvl="0">
      <w:lvlJc w:val="left"/>
      <w:lvlText w:val="(%1)"/>
      <w:numFmt w:val="lowerLetter"/>
      <w:start w:val="1"/>
    </w:lvl>
  </w:abstractNum>
  <w:abstractNum w:abstractNumId="186">
    <w:nsid w:val="706B674E"/>
    <w:multiLevelType w:val="hybridMultilevel"/>
    <w:lvl w:ilvl="0">
      <w:lvlJc w:val="left"/>
      <w:lvlText w:val="(%1)"/>
      <w:numFmt w:val="lowerLetter"/>
      <w:start w:val="1"/>
    </w:lvl>
  </w:abstractNum>
  <w:abstractNum w:abstractNumId="187">
    <w:nsid w:val="2C106A57"/>
    <w:multiLevelType w:val="hybridMultilevel"/>
    <w:lvl w:ilvl="0">
      <w:lvlJc w:val="left"/>
      <w:lvlText w:val="(%1)"/>
      <w:numFmt w:val="lowerRoman"/>
      <w:start w:val="1"/>
    </w:lvl>
  </w:abstractNum>
  <w:abstractNum w:abstractNumId="188">
    <w:nsid w:val="684EED59"/>
    <w:multiLevelType w:val="hybridMultilevel"/>
    <w:lvl w:ilvl="0">
      <w:lvlJc w:val="left"/>
      <w:lvlText w:val="(%1)"/>
      <w:numFmt w:val="lowerLetter"/>
      <w:start w:val="1"/>
    </w:lvl>
  </w:abstractNum>
  <w:abstractNum w:abstractNumId="189">
    <w:nsid w:val="545EE5D3"/>
    <w:multiLevelType w:val="hybridMultilevel"/>
    <w:lvl w:ilvl="0">
      <w:lvlJc w:val="left"/>
      <w:lvlText w:val="(%1)"/>
      <w:numFmt w:val="lowerLetter"/>
      <w:start w:val="1"/>
    </w:lvl>
  </w:abstractNum>
  <w:abstractNum w:abstractNumId="190">
    <w:nsid w:val="4A66051"/>
    <w:multiLevelType w:val="hybridMultilevel"/>
    <w:lvl w:ilvl="0">
      <w:lvlJc w:val="left"/>
      <w:lvlText w:val="%1."/>
      <w:numFmt w:val="decimal"/>
      <w:start w:val="1"/>
    </w:lvl>
  </w:abstractNum>
  <w:abstractNum w:abstractNumId="191">
    <w:nsid w:val="20F4BDAD"/>
    <w:multiLevelType w:val="hybridMultilevel"/>
    <w:lvl w:ilvl="0">
      <w:lvlJc w:val="left"/>
      <w:lvlText w:val="%1."/>
      <w:numFmt w:val="decimal"/>
      <w:start w:val="2"/>
    </w:lvl>
  </w:abstractNum>
  <w:abstractNum w:abstractNumId="192">
    <w:nsid w:val="639DEFAC"/>
    <w:multiLevelType w:val="hybridMultilevel"/>
    <w:lvl w:ilvl="0">
      <w:lvlJc w:val="left"/>
      <w:lvlText w:val="%1."/>
      <w:numFmt w:val="decimal"/>
      <w:start w:val="3"/>
    </w:lvl>
  </w:abstractNum>
  <w:abstractNum w:abstractNumId="193">
    <w:nsid w:val="501F9786"/>
    <w:multiLevelType w:val="hybridMultilevel"/>
    <w:lvl w:ilvl="0">
      <w:lvlJc w:val="left"/>
      <w:lvlText w:val="(%1)"/>
      <w:numFmt w:val="decimal"/>
      <w:start w:val="1"/>
    </w:lvl>
  </w:abstractNum>
  <w:abstractNum w:abstractNumId="194">
    <w:nsid w:val="6B057295"/>
    <w:multiLevelType w:val="hybridMultilevel"/>
    <w:lvl w:ilvl="0">
      <w:lvlJc w:val="left"/>
      <w:lvlText w:val="%1."/>
      <w:numFmt w:val="decimal"/>
      <w:start w:val="4"/>
    </w:lvl>
  </w:abstractNum>
  <w:abstractNum w:abstractNumId="195">
    <w:nsid w:val="2771AC80"/>
    <w:multiLevelType w:val="hybridMultilevel"/>
    <w:lvl w:ilvl="0">
      <w:lvlJc w:val="left"/>
      <w:lvlText w:val="(%1)"/>
      <w:numFmt w:val="decimal"/>
      <w:start w:val="1"/>
    </w:lvl>
  </w:abstractNum>
  <w:abstractNum w:abstractNumId="196">
    <w:nsid w:val="1C4A08EC"/>
    <w:multiLevelType w:val="hybridMultilevel"/>
    <w:lvl w:ilvl="0">
      <w:lvlJc w:val="left"/>
      <w:lvlText w:val="•"/>
      <w:numFmt w:val="bullet"/>
      <w:start w:val="1"/>
    </w:lvl>
  </w:abstractNum>
  <w:abstractNum w:abstractNumId="197">
    <w:nsid w:val="1958BD17"/>
    <w:multiLevelType w:val="hybridMultilevel"/>
    <w:lvl w:ilvl="0">
      <w:lvlJc w:val="left"/>
      <w:lvlText w:val="%1."/>
      <w:numFmt w:val="decimal"/>
      <w:start w:val="5"/>
    </w:lvl>
  </w:abstractNum>
  <w:abstractNum w:abstractNumId="198">
    <w:nsid w:val="4E647FE4"/>
    <w:multiLevelType w:val="hybridMultilevel"/>
    <w:lvl w:ilvl="0">
      <w:lvlJc w:val="left"/>
      <w:lvlText w:val="(%1)"/>
      <w:numFmt w:val="decimal"/>
      <w:start w:val="1"/>
    </w:lvl>
  </w:abstractNum>
  <w:abstractNum w:abstractNumId="199">
    <w:nsid w:val="E0BB885"/>
    <w:multiLevelType w:val="hybridMultilevel"/>
    <w:lvl w:ilvl="0">
      <w:lvlJc w:val="left"/>
      <w:lvlText w:val="%1."/>
      <w:numFmt w:val="decimal"/>
      <w:start w:val="6"/>
    </w:lvl>
  </w:abstractNum>
  <w:abstractNum w:abstractNumId="200">
    <w:nsid w:val="565976F1"/>
    <w:multiLevelType w:val="hybridMultilevel"/>
    <w:lvl w:ilvl="0">
      <w:lvlJc w:val="left"/>
      <w:lvlText w:val="•"/>
      <w:numFmt w:val="bullet"/>
      <w:start w:val="1"/>
    </w:lvl>
  </w:abstractNum>
  <w:abstractNum w:abstractNumId="201">
    <w:nsid w:val="64212B8C"/>
    <w:multiLevelType w:val="hybridMultilevel"/>
    <w:lvl w:ilvl="0">
      <w:lvlJc w:val="left"/>
      <w:lvlText w:val="%1."/>
      <w:numFmt w:val="decimal"/>
      <w:start w:val="7"/>
    </w:lvl>
  </w:abstractNum>
  <w:abstractNum w:abstractNumId="202">
    <w:nsid w:val="5C17530C"/>
    <w:multiLevelType w:val="hybridMultilevel"/>
    <w:lvl w:ilvl="0">
      <w:lvlJc w:val="left"/>
      <w:lvlText w:val="%1."/>
      <w:numFmt w:val="decimal"/>
      <w:start w:val="8"/>
    </w:lvl>
  </w:abstractNum>
  <w:abstractNum w:abstractNumId="203">
    <w:nsid w:val="19A52566"/>
    <w:multiLevelType w:val="hybridMultilevel"/>
    <w:lvl w:ilvl="0">
      <w:lvlJc w:val="left"/>
      <w:lvlText w:val="%1."/>
      <w:numFmt w:val="decimal"/>
      <w:start w:val="9"/>
    </w:lvl>
  </w:abstractNum>
  <w:abstractNum w:abstractNumId="204">
    <w:nsid w:val="335A1DF1"/>
    <w:multiLevelType w:val="hybridMultilevel"/>
    <w:lvl w:ilvl="0">
      <w:lvlJc w:val="left"/>
      <w:lvlText w:val="%1."/>
      <w:numFmt w:val="decimal"/>
      <w:start w:val="10"/>
    </w:lvl>
  </w:abstractNum>
  <w:abstractNum w:abstractNumId="205">
    <w:nsid w:val="28677B7C"/>
    <w:multiLevelType w:val="hybridMultilevel"/>
    <w:lvl w:ilvl="0">
      <w:lvlJc w:val="left"/>
      <w:lvlText w:val="(%1)"/>
      <w:numFmt w:val="decimal"/>
      <w:start w:val="1"/>
    </w:lvl>
  </w:abstractNum>
  <w:abstractNum w:abstractNumId="206">
    <w:nsid w:val="378D97C0"/>
    <w:multiLevelType w:val="hybridMultilevel"/>
    <w:lvl w:ilvl="0">
      <w:lvlJc w:val="left"/>
      <w:lvlText w:val="(%1)"/>
      <w:numFmt w:val="decimal"/>
      <w:start w:val="1"/>
    </w:lvl>
  </w:abstractNum>
  <w:abstractNum w:abstractNumId="207">
    <w:nsid w:val="1D91467C"/>
    <w:multiLevelType w:val="hybridMultilevel"/>
    <w:lvl w:ilvl="0">
      <w:lvlJc w:val="left"/>
      <w:lvlText w:val="%1."/>
      <w:numFmt w:val="decimal"/>
      <w:start w:val="11"/>
    </w:lvl>
  </w:abstractNum>
  <w:abstractNum w:abstractNumId="208">
    <w:nsid w:val="316032BB"/>
    <w:multiLevelType w:val="hybridMultilevel"/>
    <w:lvl w:ilvl="0">
      <w:lvlJc w:val="left"/>
      <w:lvlText w:val="%1."/>
      <w:numFmt w:val="decimal"/>
      <w:start w:val="12"/>
    </w:lvl>
  </w:abstractNum>
  <w:abstractNum w:abstractNumId="209">
    <w:nsid w:val="44344C22"/>
    <w:multiLevelType w:val="hybridMultilevel"/>
    <w:lvl w:ilvl="0">
      <w:lvlJc w:val="left"/>
      <w:lvlText w:val="%1."/>
      <w:numFmt w:val="decimal"/>
      <w:start w:val="13"/>
    </w:lvl>
  </w:abstractNum>
  <w:abstractNum w:abstractNumId="210">
    <w:nsid w:val="13CDFCFC"/>
    <w:multiLevelType w:val="hybridMultilevel"/>
    <w:lvl w:ilvl="0">
      <w:lvlJc w:val="left"/>
      <w:lvlText w:val="%1."/>
      <w:numFmt w:val="decimal"/>
      <w:start w:val="14"/>
    </w:lvl>
  </w:abstractNum>
  <w:abstractNum w:abstractNumId="211">
    <w:nsid w:val="471745E4"/>
    <w:multiLevelType w:val="hybridMultilevel"/>
    <w:lvl w:ilvl="0">
      <w:lvlJc w:val="left"/>
      <w:lvlText w:val="(%1)"/>
      <w:numFmt w:val="decimal"/>
      <w:start w:val="1"/>
    </w:lvl>
  </w:abstractNum>
  <w:abstractNum w:abstractNumId="212">
    <w:nsid w:val="1DDBC66"/>
    <w:multiLevelType w:val="hybridMultilevel"/>
    <w:lvl w:ilvl="0">
      <w:lvlJc w:val="left"/>
      <w:lvlText w:val="(%1)"/>
      <w:numFmt w:val="decimal"/>
      <w:start w:val="1"/>
    </w:lvl>
  </w:abstractNum>
  <w:abstractNum w:abstractNumId="213">
    <w:nsid w:val="30AADFDA"/>
    <w:multiLevelType w:val="hybridMultilevel"/>
    <w:lvl w:ilvl="0">
      <w:lvlJc w:val="left"/>
      <w:lvlText w:val="(%1)"/>
      <w:numFmt w:val="decimal"/>
      <w:start w:val="1"/>
    </w:lvl>
  </w:abstractNum>
  <w:abstractNum w:abstractNumId="214">
    <w:nsid w:val="30EADA61"/>
    <w:multiLevelType w:val="hybridMultilevel"/>
    <w:lvl w:ilvl="0">
      <w:lvlJc w:val="left"/>
      <w:lvlText w:val="%1."/>
      <w:numFmt w:val="decimal"/>
      <w:start w:val="15"/>
    </w:lvl>
  </w:abstractNum>
  <w:abstractNum w:abstractNumId="215">
    <w:nsid w:val="27179C0B"/>
    <w:multiLevelType w:val="hybridMultilevel"/>
    <w:lvl w:ilvl="0">
      <w:lvlJc w:val="left"/>
      <w:lvlText w:val="%1."/>
      <w:numFmt w:val="decimal"/>
      <w:start w:val="16"/>
    </w:lvl>
  </w:abstractNum>
  <w:abstractNum w:abstractNumId="216">
    <w:nsid w:val="5E636063"/>
    <w:multiLevelType w:val="hybridMultilevel"/>
    <w:lvl w:ilvl="0">
      <w:lvlJc w:val="left"/>
      <w:lvlText w:val="%1."/>
      <w:numFmt w:val="decimal"/>
      <w:start w:val="17"/>
    </w:lvl>
  </w:abstractNum>
  <w:abstractNum w:abstractNumId="217">
    <w:nsid w:val="215641AF"/>
    <w:multiLevelType w:val="hybridMultilevel"/>
    <w:lvl w:ilvl="0">
      <w:lvlJc w:val="left"/>
      <w:lvlText w:val="(%1)"/>
      <w:numFmt w:val="decimal"/>
      <w:start w:val="1"/>
    </w:lvl>
  </w:abstractNum>
  <w:abstractNum w:abstractNumId="218">
    <w:nsid w:val="53280662"/>
    <w:multiLevelType w:val="hybridMultilevel"/>
    <w:lvl w:ilvl="0">
      <w:lvlJc w:val="left"/>
      <w:lvlText w:val="%1."/>
      <w:numFmt w:val="decimal"/>
      <w:start w:val="18"/>
    </w:lvl>
  </w:abstractNum>
  <w:abstractNum w:abstractNumId="219">
    <w:nsid w:val="46B24DBC"/>
    <w:multiLevelType w:val="hybridMultilevel"/>
    <w:lvl w:ilvl="0">
      <w:lvlJc w:val="left"/>
      <w:lvlText w:val="%1."/>
      <w:numFmt w:val="decimal"/>
      <w:start w:val="19"/>
    </w:lvl>
  </w:abstractNum>
  <w:abstractNum w:abstractNumId="220">
    <w:nsid w:val="75B52783"/>
    <w:multiLevelType w:val="hybridMultilevel"/>
    <w:lvl w:ilvl="0">
      <w:lvlJc w:val="left"/>
      <w:lvlText w:val="%1."/>
      <w:numFmt w:val="decimal"/>
      <w:start w:val="1"/>
    </w:lvl>
  </w:abstractNum>
  <w:abstractNum w:abstractNumId="221">
    <w:nsid w:val="57CE66B4"/>
    <w:multiLevelType w:val="hybridMultilevel"/>
    <w:lvl w:ilvl="0">
      <w:lvlJc w:val="left"/>
      <w:lvlText w:val="%1."/>
      <w:numFmt w:val="decimal"/>
      <w:start w:val="2"/>
    </w:lvl>
  </w:abstractNum>
  <w:abstractNum w:abstractNumId="222">
    <w:nsid w:val="67A70B69"/>
    <w:multiLevelType w:val="hybridMultilevel"/>
    <w:lvl w:ilvl="0">
      <w:lvlJc w:val="left"/>
      <w:lvlText w:val="%1."/>
      <w:numFmt w:val="decimal"/>
      <w:start w:val="3"/>
    </w:lvl>
  </w:abstractNum>
  <w:abstractNum w:abstractNumId="223">
    <w:nsid w:val="5953172F"/>
    <w:multiLevelType w:val="hybridMultilevel"/>
    <w:lvl w:ilvl="0">
      <w:lvlJc w:val="left"/>
      <w:lvlText w:val="%1."/>
      <w:numFmt w:val="decimal"/>
      <w:start w:val="4"/>
    </w:lvl>
  </w:abstractNum>
  <w:abstractNum w:abstractNumId="224">
    <w:nsid w:val="27EDFE3A"/>
    <w:multiLevelType w:val="hybridMultilevel"/>
    <w:lvl w:ilvl="0">
      <w:lvlJc w:val="left"/>
      <w:lvlText w:val="(%1)"/>
      <w:numFmt w:val="decimal"/>
      <w:start w:val="1"/>
    </w:lvl>
  </w:abstractNum>
  <w:abstractNum w:abstractNumId="225">
    <w:nsid w:val="52AC7DFF"/>
    <w:multiLevelType w:val="hybridMultilevel"/>
    <w:lvl w:ilvl="0">
      <w:lvlJc w:val="left"/>
      <w:lvlText w:val="(%1)"/>
      <w:numFmt w:val="decimal"/>
      <w:start w:val="1"/>
    </w:lvl>
  </w:abstractNum>
  <w:abstractNum w:abstractNumId="226">
    <w:nsid w:val="C4C3AF"/>
    <w:multiLevelType w:val="hybridMultilevel"/>
    <w:lvl w:ilvl="0">
      <w:lvlJc w:val="left"/>
      <w:lvlText w:val="(%1)"/>
      <w:numFmt w:val="decimal"/>
      <w:start w:val="1"/>
    </w:lvl>
  </w:abstractNum>
  <w:abstractNum w:abstractNumId="227">
    <w:nsid w:val="44380727"/>
    <w:multiLevelType w:val="hybridMultilevel"/>
    <w:lvl w:ilvl="0">
      <w:lvlJc w:val="left"/>
      <w:lvlText w:val="•"/>
      <w:numFmt w:val="bullet"/>
      <w:start w:val="1"/>
    </w:lvl>
  </w:abstractNum>
  <w:abstractNum w:abstractNumId="228">
    <w:nsid w:val="6C053B16"/>
    <w:multiLevelType w:val="hybridMultilevel"/>
    <w:lvl w:ilvl="0">
      <w:lvlJc w:val="left"/>
      <w:lvlText w:val="(%1)"/>
      <w:numFmt w:val="decimal"/>
      <w:start w:val="1"/>
    </w:lvl>
  </w:abstractNum>
  <w:abstractNum w:abstractNumId="229">
    <w:nsid w:val="4F294393"/>
    <w:multiLevelType w:val="hybridMultilevel"/>
    <w:lvl w:ilvl="0">
      <w:lvlJc w:val="left"/>
      <w:lvlText w:val="(%1)"/>
      <w:numFmt w:val="decimal"/>
      <w:start w:val="1"/>
    </w:lvl>
  </w:abstractNum>
  <w:abstractNum w:abstractNumId="230">
    <w:nsid w:val="5243BFAC"/>
    <w:multiLevelType w:val="hybridMultilevel"/>
    <w:lvl w:ilvl="0">
      <w:lvlJc w:val="left"/>
      <w:lvlText w:val="(%1)"/>
      <w:numFmt w:val="decimal"/>
      <w:start w:val="1"/>
    </w:lvl>
  </w:abstractNum>
  <w:abstractNum w:abstractNumId="231">
    <w:nsid w:val="425EB207"/>
    <w:multiLevelType w:val="hybridMultilevel"/>
    <w:lvl w:ilvl="0">
      <w:lvlJc w:val="left"/>
      <w:lvlText w:val="(%1)"/>
      <w:numFmt w:val="lowerLetter"/>
      <w:start w:val="3"/>
    </w:lvl>
  </w:abstractNum>
  <w:abstractNum w:abstractNumId="232">
    <w:nsid w:val="334A6F1F"/>
    <w:multiLevelType w:val="hybridMultilevel"/>
    <w:lvl w:ilvl="0">
      <w:lvlJc w:val="left"/>
      <w:lvlText w:val="(%1)"/>
      <w:numFmt w:val="decimal"/>
      <w:start w:val="1"/>
    </w:lvl>
  </w:abstractNum>
  <w:abstractNum w:abstractNumId="233">
    <w:nsid w:val="2E5B12B8"/>
    <w:multiLevelType w:val="hybridMultilevel"/>
    <w:lvl w:ilvl="0">
      <w:lvlJc w:val="left"/>
      <w:lvlText w:val="•"/>
      <w:numFmt w:val="bullet"/>
      <w:start w:val="1"/>
    </w:lvl>
  </w:abstractNum>
  <w:abstractNum w:abstractNumId="234">
    <w:nsid w:val="5C03D76D"/>
    <w:multiLevelType w:val="hybridMultilevel"/>
    <w:lvl w:ilvl="0">
      <w:lvlJc w:val="left"/>
      <w:lvlText w:val="(%1)"/>
      <w:numFmt w:val="decimal"/>
      <w:start w:val="1"/>
    </w:lvl>
  </w:abstractNum>
  <w:abstractNum w:abstractNumId="235">
    <w:nsid w:val="66A48D11"/>
    <w:multiLevelType w:val="hybridMultilevel"/>
    <w:lvl w:ilvl="0">
      <w:lvlJc w:val="left"/>
      <w:lvlText w:val="•"/>
      <w:numFmt w:val="bullet"/>
      <w:start w:val="1"/>
    </w:lvl>
  </w:abstractNum>
  <w:abstractNum w:abstractNumId="236">
    <w:nsid w:val="56C28E34"/>
    <w:multiLevelType w:val="hybridMultilevel"/>
    <w:lvl w:ilvl="0">
      <w:lvlJc w:val="left"/>
      <w:lvlText w:val="(%1)"/>
      <w:numFmt w:val="decimal"/>
      <w:start w:val="1"/>
    </w:lvl>
  </w:abstractNum>
  <w:abstractNum w:abstractNumId="237">
    <w:nsid w:val="13916F2D"/>
    <w:multiLevelType w:val="hybridMultilevel"/>
    <w:lvl w:ilvl="0">
      <w:lvlJc w:val="left"/>
      <w:lvlText w:val="(%1)"/>
      <w:numFmt w:val="lowerRoman"/>
      <w:start w:val="1"/>
    </w:lvl>
  </w:abstractNum>
  <w:abstractNum w:abstractNumId="238">
    <w:nsid w:val="435D38D"/>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2021-01-29T05:46:35Z</dcterms:created>
  <dcterms:modified xsi:type="dcterms:W3CDTF">2021-01-29T05:46:35Z</dcterms:modified>
</cp:coreProperties>
</file>