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87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8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51.4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9,838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9,838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4,863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4,863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9,727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9,727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Plan, as amended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3"/>
        <w:spacing w:after="0" w:line="298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On September 6, 2023, the Reporting Person was granted 9,727 performance-based restricted stock units ("PRSUs"). These PRSUs vest if certain preestablished performance metrics related to the Company's 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the applicable vesting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82441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2023-09-08T15:27:43Z</dcterms:created>
  <dcterms:modified xsi:type="dcterms:W3CDTF">2023-09-08T15:27:43Z</dcterms:modified>
</cp:coreProperties>
</file>