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f-form4_168573714324870.xml.htm"/>
      <w:bookmarkStart w:id="1" w:name="kswfform4_16857371432487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RAFF BERYL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ACADEMY SPORTS AND OUTDOORS,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NORTH MASON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KATY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77449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Academy Sports &amp; Outdoors, Inc.</w:t>
              </w:r>
            </w:hyperlink>
            <w:r>
              <w:rPr/>
              <w:t xml:space="preserve"> [ </w:t>
            </w:r>
            <w:r>
              <w:rPr>
                <w:rFonts w:ascii="Times;serif" w:hAnsi="Times;serif"/>
                <w:color w:val="0000FF"/>
                <w:sz w:val="24"/>
                <w:shd w:fill="FFFFFF" w:val="clear"/>
              </w:rPr>
              <w:t>ASO</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06/02/2023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(1)</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06/02/2023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2,861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2,861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2,861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Granted under the Company's 2020 Omnibus Incentive Plan, as amended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represents a contingent right upon vesting to receive one share of Issuer common stock, par value $0.01 per share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June 2, 2023, the Reporting Person was granted 2,861 time-based restricted stock units that vest 100%, subject to the Reporting Person's continued service with the Issuer, on 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Gary Holland,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06/02/2023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228172" TargetMode="External"/><Relationship Id="rId4" Type="http://schemas.openxmlformats.org/officeDocument/2006/relationships/hyperlink" Target="http://www.sec.gov/cgi-bin/browse-edgar?action=getcompany&amp;CIK=0001817358"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693</Words>
  <Characters>3724</Characters>
  <CharactersWithSpaces>4352</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