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752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5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86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Maini Manish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86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51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147,839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148,239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147,639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16.48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04/05/2028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16.48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33,028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16.57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12/13/2022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16.57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exercised and sales reported in this Form 4 were effected pursuant to a Rule 10b5-1 trading plan adopted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are fully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previously granted under the Issuer's 2011 Unit Incentive Plan, or the 2011 Equity Plan, are fully vested due to a Change of Control (as defined in the 2011 Equity Plan) that resulted from the Issuer's secondary public offering that closed on May 10, 2021.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67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2022-12-14T15:56:28Z</dcterms:created>
  <dcterms:modified xsi:type="dcterms:W3CDTF">2022-12-14T15:56:28Z</dcterms:modified>
</cp:coreProperties>
</file>