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f-form4_168573751586740.xml.htm"/>
      <w:bookmarkStart w:id="1" w:name="kswfform4_168573751586740"/>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60"/>
        <w:gridCol w:w="1888"/>
        <w:gridCol w:w="5968"/>
        <w:gridCol w:w="1989"/>
      </w:tblGrid>
      <w:tr>
        <w:trPr/>
        <w:tc>
          <w:tcPr>
            <w:tcW w:w="2248"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68"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89"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69"/>
            </w:tblGrid>
            <w:tr>
              <w:trPr/>
              <w:tc>
                <w:tcPr>
                  <w:tcW w:w="1869"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5"/>
                    <w:gridCol w:w="668"/>
                  </w:tblGrid>
                  <w:tr>
                    <w:trPr/>
                    <w:tc>
                      <w:tcPr>
                        <w:tcW w:w="1145"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8"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3"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5"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8"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69"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60"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p>
        </w:tc>
        <w:tc>
          <w:tcPr>
            <w:tcW w:w="1888"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68" w:type="dxa"/>
            <w:vMerge w:val="continue"/>
            <w:tcBorders/>
            <w:vAlign w:val="center"/>
          </w:tcPr>
          <w:p>
            <w:pPr>
              <w:pStyle w:val="Normal"/>
              <w:bidi w:val="0"/>
              <w:jc w:val="left"/>
              <w:rPr/>
            </w:pPr>
            <w:r>
              <w:rPr/>
            </w:r>
          </w:p>
        </w:tc>
        <w:tc>
          <w:tcPr>
            <w:tcW w:w="1989" w:type="dxa"/>
            <w:vMerge w:val="continue"/>
            <w:tcBorders/>
          </w:tcPr>
          <w:p>
            <w:pPr>
              <w:pStyle w:val="Normal"/>
              <w:bidi w:val="0"/>
              <w:jc w:val="left"/>
              <w:rPr/>
            </w:pPr>
            <w:r>
              <w:rPr/>
            </w:r>
          </w:p>
        </w:tc>
      </w:tr>
    </w:tbl>
    <w:tbl>
      <w:tblPr>
        <w:tblW w:w="5000" w:type="pct"/>
        <w:jc w:val="left"/>
        <w:tblInd w:w="-7" w:type="dxa"/>
        <w:tblLayout w:type="fixed"/>
        <w:tblCellMar>
          <w:top w:w="60" w:type="dxa"/>
          <w:left w:w="60" w:type="dxa"/>
          <w:bottom w:w="60" w:type="dxa"/>
          <w:right w:w="60" w:type="dxa"/>
        </w:tblCellMar>
      </w:tblPr>
      <w:tblGrid>
        <w:gridCol w:w="3551"/>
        <w:gridCol w:w="3551"/>
        <w:gridCol w:w="2943"/>
        <w:gridCol w:w="160"/>
      </w:tblGrid>
      <w:tr>
        <w:trPr/>
        <w:tc>
          <w:tcPr>
            <w:tcW w:w="355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31"/>
            </w:tblGrid>
            <w:tr>
              <w:trPr/>
              <w:tc>
                <w:tcPr>
                  <w:tcW w:w="3431" w:type="dxa"/>
                  <w:tcBorders/>
                  <w:vAlign w:val="center"/>
                </w:tcPr>
                <w:p>
                  <w:pPr>
                    <w:pStyle w:val="TableContents"/>
                    <w:bidi w:val="0"/>
                    <w:spacing w:before="0" w:after="283"/>
                    <w:jc w:val="left"/>
                    <w:rPr/>
                  </w:pPr>
                  <w:hyperlink r:id="rId3">
                    <w:r>
                      <w:rPr>
                        <w:rStyle w:val="InternetLink"/>
                      </w:rPr>
                      <w:t>Tweedy Jeffrey C.</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43"/>
              <w:gridCol w:w="1144"/>
              <w:gridCol w:w="1144"/>
            </w:tblGrid>
            <w:tr>
              <w:trPr/>
              <w:tc>
                <w:tcPr>
                  <w:tcW w:w="1143"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31"/>
            </w:tblGrid>
            <w:tr>
              <w:trPr/>
              <w:tc>
                <w:tcPr>
                  <w:tcW w:w="343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ACADEMY SPORTS AND OUTDOORS, INC.</w:t>
                  </w:r>
                </w:p>
              </w:tc>
            </w:tr>
            <w:tr>
              <w:trPr/>
              <w:tc>
                <w:tcPr>
                  <w:tcW w:w="343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1800 NORTH MASON ROAD</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43"/>
              <w:gridCol w:w="1144"/>
              <w:gridCol w:w="1144"/>
            </w:tblGrid>
            <w:tr>
              <w:trPr/>
              <w:tc>
                <w:tcPr>
                  <w:tcW w:w="1143"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KATY</w:t>
                  </w:r>
                </w:p>
              </w:tc>
              <w:tc>
                <w:tcPr>
                  <w:tcW w:w="1144"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TX</w:t>
                  </w:r>
                </w:p>
              </w:tc>
              <w:tc>
                <w:tcPr>
                  <w:tcW w:w="1144"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77449</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43"/>
              <w:gridCol w:w="1144"/>
              <w:gridCol w:w="1144"/>
            </w:tblGrid>
            <w:tr>
              <w:trPr/>
              <w:tc>
                <w:tcPr>
                  <w:tcW w:w="1143"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51"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4">
              <w:r>
                <w:rPr>
                  <w:rStyle w:val="InternetLink"/>
                </w:rPr>
                <w:t>Academy Sports &amp; Outdoors, Inc.</w:t>
              </w:r>
            </w:hyperlink>
            <w:r>
              <w:rPr/>
              <w:t xml:space="preserve"> [ </w:t>
            </w:r>
            <w:r>
              <w:rPr>
                <w:rFonts w:ascii="Times;serif" w:hAnsi="Times;serif"/>
                <w:color w:val="0000FF"/>
                <w:sz w:val="24"/>
                <w:shd w:fill="FFFFFF" w:val="clear"/>
              </w:rPr>
              <w:t>ASO</w:t>
            </w:r>
            <w:r>
              <w:rPr/>
              <w:t xml:space="preserve"> ] </w:t>
            </w:r>
          </w:p>
        </w:tc>
        <w:tc>
          <w:tcPr>
            <w:tcW w:w="2943"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23"/>
              <w:gridCol w:w="988"/>
              <w:gridCol w:w="423"/>
              <w:gridCol w:w="989"/>
            </w:tblGrid>
            <w:tr>
              <w:trPr/>
              <w:tc>
                <w:tcPr>
                  <w:tcW w:w="423" w:type="dxa"/>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X</w:t>
                  </w:r>
                </w:p>
              </w:tc>
              <w:tc>
                <w:tcPr>
                  <w:tcW w:w="98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23" w:type="dxa"/>
                  <w:tcBorders/>
                  <w:vAlign w:val="center"/>
                </w:tcPr>
                <w:p>
                  <w:pPr>
                    <w:pStyle w:val="TableContents"/>
                    <w:bidi w:val="0"/>
                    <w:spacing w:before="0" w:after="283"/>
                    <w:jc w:val="left"/>
                    <w:rPr>
                      <w:sz w:val="4"/>
                      <w:szCs w:val="4"/>
                    </w:rPr>
                  </w:pPr>
                  <w:r>
                    <w:rPr>
                      <w:sz w:val="4"/>
                      <w:szCs w:val="4"/>
                    </w:rPr>
                  </w:r>
                </w:p>
              </w:tc>
              <w:tc>
                <w:tcPr>
                  <w:tcW w:w="989"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23" w:type="dxa"/>
                  <w:tcBorders/>
                  <w:vAlign w:val="center"/>
                </w:tcPr>
                <w:p>
                  <w:pPr>
                    <w:pStyle w:val="TableContents"/>
                    <w:bidi w:val="0"/>
                    <w:spacing w:before="0" w:after="283"/>
                    <w:jc w:val="left"/>
                    <w:rPr>
                      <w:sz w:val="4"/>
                      <w:szCs w:val="4"/>
                    </w:rPr>
                  </w:pPr>
                  <w:r>
                    <w:rPr>
                      <w:sz w:val="4"/>
                      <w:szCs w:val="4"/>
                    </w:rPr>
                  </w:r>
                </w:p>
              </w:tc>
              <w:tc>
                <w:tcPr>
                  <w:tcW w:w="98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23" w:type="dxa"/>
                  <w:tcBorders/>
                  <w:vAlign w:val="center"/>
                </w:tcPr>
                <w:p>
                  <w:pPr>
                    <w:pStyle w:val="TableContents"/>
                    <w:bidi w:val="0"/>
                    <w:spacing w:before="0" w:after="283"/>
                    <w:jc w:val="left"/>
                    <w:rPr>
                      <w:sz w:val="4"/>
                      <w:szCs w:val="4"/>
                    </w:rPr>
                  </w:pPr>
                  <w:r>
                    <w:rPr>
                      <w:sz w:val="4"/>
                      <w:szCs w:val="4"/>
                    </w:rPr>
                  </w:r>
                </w:p>
              </w:tc>
              <w:tc>
                <w:tcPr>
                  <w:tcW w:w="989"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823"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c>
          <w:tcPr>
            <w:tcW w:w="160"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sz w:val="4"/>
                <w:szCs w:val="4"/>
              </w:rPr>
            </w:pPr>
            <w:r>
              <w:rPr>
                <w:sz w:val="4"/>
                <w:szCs w:val="4"/>
              </w:rPr>
            </w:r>
          </w:p>
        </w:tc>
      </w:tr>
      <w:tr>
        <w:trPr/>
        <w:tc>
          <w:tcPr>
            <w:tcW w:w="355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51"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06/02/2023</w:t>
            </w:r>
            <w:r>
              <w:rPr/>
              <w:t xml:space="preserve"> </w:t>
            </w:r>
          </w:p>
        </w:tc>
        <w:tc>
          <w:tcPr>
            <w:tcW w:w="294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60" w:type="dxa"/>
            <w:tcBorders>
              <w:left w:val="single" w:sz="2" w:space="0" w:color="808080"/>
              <w:bottom w:val="single" w:sz="2" w:space="0" w:color="808080"/>
              <w:right w:val="single" w:sz="6" w:space="0" w:color="808080"/>
            </w:tcBorders>
          </w:tcPr>
          <w:p>
            <w:pPr>
              <w:pStyle w:val="TableContents"/>
              <w:bidi w:val="0"/>
              <w:spacing w:before="0" w:after="283"/>
              <w:jc w:val="left"/>
              <w:rPr>
                <w:sz w:val="4"/>
                <w:szCs w:val="4"/>
              </w:rPr>
            </w:pPr>
            <w:r>
              <w:rPr>
                <w:sz w:val="4"/>
                <w:szCs w:val="4"/>
              </w:rPr>
            </w:r>
          </w:p>
        </w:tc>
      </w:tr>
      <w:tr>
        <w:trPr/>
        <w:tc>
          <w:tcPr>
            <w:tcW w:w="355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51" w:type="dxa"/>
            <w:tcBorders>
              <w:left w:val="single" w:sz="2" w:space="0" w:color="808080"/>
              <w:bottom w:val="single" w:sz="2"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2943" w:type="dxa"/>
            <w:tcBorders>
              <w:left w:val="single" w:sz="2"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22"/>
              <w:gridCol w:w="2401"/>
            </w:tblGrid>
            <w:tr>
              <w:trPr/>
              <w:tc>
                <w:tcPr>
                  <w:tcW w:w="422" w:type="dxa"/>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X</w:t>
                  </w:r>
                </w:p>
              </w:tc>
              <w:tc>
                <w:tcPr>
                  <w:tcW w:w="240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22" w:type="dxa"/>
                  <w:tcBorders/>
                  <w:vAlign w:val="center"/>
                </w:tcPr>
                <w:p>
                  <w:pPr>
                    <w:pStyle w:val="TableContents"/>
                    <w:bidi w:val="0"/>
                    <w:spacing w:before="0" w:after="283"/>
                    <w:jc w:val="left"/>
                    <w:rPr>
                      <w:sz w:val="4"/>
                      <w:szCs w:val="4"/>
                    </w:rPr>
                  </w:pPr>
                  <w:r>
                    <w:rPr>
                      <w:sz w:val="4"/>
                      <w:szCs w:val="4"/>
                    </w:rPr>
                  </w:r>
                </w:p>
              </w:tc>
              <w:tc>
                <w:tcPr>
                  <w:tcW w:w="240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c>
          <w:tcPr>
            <w:tcW w:w="160" w:type="dxa"/>
            <w:tcBorders>
              <w:left w:val="single" w:sz="2" w:space="0" w:color="808080"/>
              <w:bottom w:val="single" w:sz="2" w:space="0" w:color="808080"/>
              <w:right w:val="single" w:sz="6" w:space="0" w:color="808080"/>
            </w:tcBorders>
          </w:tcPr>
          <w:p>
            <w:pPr>
              <w:pStyle w:val="TableContents"/>
              <w:bidi w:val="0"/>
              <w:spacing w:before="0" w:after="283"/>
              <w:jc w:val="left"/>
              <w:rPr>
                <w:sz w:val="4"/>
                <w:szCs w:val="4"/>
              </w:rPr>
            </w:pPr>
            <w:r>
              <w:rPr>
                <w:sz w:val="4"/>
                <w:szCs w:val="4"/>
              </w:rPr>
            </w:r>
          </w:p>
        </w:tc>
      </w:tr>
      <w:tr>
        <w:trPr/>
        <w:tc>
          <w:tcPr>
            <w:tcW w:w="355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6654" w:type="dxa"/>
            <w:gridSpan w:val="3"/>
            <w:tcBorders>
              <w:left w:val="single" w:sz="2" w:space="0" w:color="808080"/>
              <w:bottom w:val="single" w:sz="6" w:space="0" w:color="808080"/>
              <w:right w:val="single" w:sz="6" w:space="0" w:color="808080"/>
            </w:tcBorders>
          </w:tcPr>
          <w:tbl>
            <w:tblPr>
              <w:tblW w:w="5000" w:type="pct"/>
              <w:jc w:val="left"/>
              <w:tblInd w:w="0" w:type="dxa"/>
              <w:tblLayout w:type="fixed"/>
              <w:tblCellMar>
                <w:top w:w="0" w:type="dxa"/>
                <w:left w:w="0" w:type="dxa"/>
                <w:bottom w:w="0" w:type="dxa"/>
                <w:right w:w="0" w:type="dxa"/>
              </w:tblCellMar>
            </w:tblPr>
            <w:tblGrid>
              <w:gridCol w:w="6534"/>
            </w:tblGrid>
            <w:tr>
              <w:trPr/>
              <w:tc>
                <w:tcPr>
                  <w:tcW w:w="6534" w:type="dxa"/>
                  <w:tcBorders/>
                  <w:vAlign w:val="center"/>
                </w:tcPr>
                <w:p>
                  <w:pPr>
                    <w:pStyle w:val="TableContents"/>
                    <w:bidi w:val="0"/>
                    <w:spacing w:before="0" w:after="283"/>
                    <w:jc w:val="left"/>
                    <w:rPr/>
                  </w:pPr>
                  <w:r>
                    <w:rPr/>
                    <w:t>Rule 10b5-1(c) Transaction Indication</w:t>
                  </w:r>
                </w:p>
              </w:tc>
            </w:tr>
          </w:tbl>
          <w:p>
            <w:pPr>
              <w:pStyle w:val="TableContents"/>
              <w:bidi w:val="0"/>
              <w:spacing w:before="0" w:after="0"/>
              <w:jc w:val="left"/>
              <w:rPr/>
            </w:pPr>
            <w:r>
              <w:rPr/>
            </w:r>
          </w:p>
          <w:tbl>
            <w:tblPr>
              <w:tblW w:w="5000" w:type="pct"/>
              <w:jc w:val="left"/>
              <w:tblInd w:w="0" w:type="dxa"/>
              <w:tblLayout w:type="fixed"/>
              <w:tblCellMar>
                <w:top w:w="0" w:type="dxa"/>
                <w:left w:w="0" w:type="dxa"/>
                <w:bottom w:w="0" w:type="dxa"/>
                <w:right w:w="0" w:type="dxa"/>
              </w:tblCellMar>
            </w:tblPr>
            <w:tblGrid>
              <w:gridCol w:w="179"/>
              <w:gridCol w:w="6355"/>
            </w:tblGrid>
            <w:tr>
              <w:trPr/>
              <w:tc>
                <w:tcPr>
                  <w:tcW w:w="179" w:type="dxa"/>
                  <w:tcBorders/>
                  <w:vAlign w:val="center"/>
                </w:tcPr>
                <w:tbl>
                  <w:tblPr>
                    <w:tblW w:w="266" w:type="dxa"/>
                    <w:jc w:val="left"/>
                    <w:tblInd w:w="0" w:type="dxa"/>
                    <w:tblLayout w:type="fixed"/>
                    <w:tblCellMar>
                      <w:top w:w="28" w:type="dxa"/>
                      <w:left w:w="28" w:type="dxa"/>
                      <w:bottom w:w="28" w:type="dxa"/>
                      <w:right w:w="28" w:type="dxa"/>
                    </w:tblCellMar>
                  </w:tblPr>
                  <w:tblGrid>
                    <w:gridCol w:w="266"/>
                  </w:tblGrid>
                  <w:tr>
                    <w:trPr/>
                    <w:tc>
                      <w:tcPr>
                        <w:tcW w:w="26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left"/>
                          <w:rPr>
                            <w:color w:val="0000FF"/>
                            <w:shd w:fill="FFFFFF" w:val="clear"/>
                          </w:rPr>
                        </w:pPr>
                        <w:r>
                          <w:rPr>
                            <w:color w:val="0000FF"/>
                            <w:shd w:fill="FFFFFF" w:val="clear"/>
                          </w:rPr>
                          <w:t>  </w:t>
                        </w:r>
                      </w:p>
                    </w:tc>
                  </w:tr>
                </w:tbl>
                <w:p>
                  <w:pPr>
                    <w:pStyle w:val="TableContents"/>
                    <w:bidi w:val="0"/>
                    <w:spacing w:before="0" w:after="283"/>
                    <w:jc w:val="left"/>
                    <w:rPr>
                      <w:sz w:val="4"/>
                      <w:szCs w:val="4"/>
                    </w:rPr>
                  </w:pPr>
                  <w:r>
                    <w:rPr>
                      <w:sz w:val="4"/>
                      <w:szCs w:val="4"/>
                    </w:rPr>
                  </w:r>
                </w:p>
              </w:tc>
              <w:tc>
                <w:tcPr>
                  <w:tcW w:w="6355"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that is intended to satisfy the affirmative defense conditions of Rule 10b5-1(c). See Instruction 10.</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78"/>
        <w:gridCol w:w="906"/>
        <w:gridCol w:w="774"/>
        <w:gridCol w:w="602"/>
        <w:gridCol w:w="355"/>
        <w:gridCol w:w="829"/>
        <w:gridCol w:w="473"/>
        <w:gridCol w:w="635"/>
        <w:gridCol w:w="1195"/>
        <w:gridCol w:w="1021"/>
        <w:gridCol w:w="937"/>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78"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37"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9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2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3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78"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90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4"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602"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29"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73"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3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95"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02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7"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11969" w:type="dxa"/>
        <w:jc w:val="left"/>
        <w:tblInd w:w="-7" w:type="dxa"/>
        <w:tblLayout w:type="fixed"/>
        <w:tblCellMar>
          <w:top w:w="60" w:type="dxa"/>
          <w:left w:w="60" w:type="dxa"/>
          <w:bottom w:w="60" w:type="dxa"/>
          <w:right w:w="60" w:type="dxa"/>
        </w:tblCellMar>
      </w:tblPr>
      <w:tblGrid>
        <w:gridCol w:w="980"/>
        <w:gridCol w:w="861"/>
        <w:gridCol w:w="891"/>
        <w:gridCol w:w="771"/>
        <w:gridCol w:w="591"/>
        <w:gridCol w:w="300"/>
        <w:gridCol w:w="606"/>
        <w:gridCol w:w="276"/>
        <w:gridCol w:w="906"/>
        <w:gridCol w:w="801"/>
        <w:gridCol w:w="891"/>
        <w:gridCol w:w="681"/>
        <w:gridCol w:w="801"/>
        <w:gridCol w:w="936"/>
        <w:gridCol w:w="831"/>
        <w:gridCol w:w="846"/>
      </w:tblGrid>
      <w:tr>
        <w:trPr>
          <w:tblHeader w:val="true"/>
        </w:trPr>
        <w:tc>
          <w:tcPr>
            <w:tcW w:w="11969"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98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8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57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980"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6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8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980"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0"/>
                <w:shd w:fill="FFFFFF" w:val="clear"/>
              </w:rPr>
              <w:t>Restricted Stock Units</w:t>
            </w:r>
            <w:r>
              <w:rPr>
                <w:rFonts w:ascii="Times;serif" w:hAnsi="Times;serif"/>
                <w:color w:val="008000"/>
                <w:position w:val="7"/>
                <w:sz w:val="16"/>
                <w:sz w:val="20"/>
                <w:shd w:fill="FFFFFF" w:val="clear"/>
              </w:rPr>
              <w:t>(1)</w:t>
            </w:r>
            <w:r>
              <w:rPr/>
              <w:t xml:space="preserve"> </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(2)</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06/02/2023</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2,861</w:t>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(3)</w:t>
            </w:r>
            <w:r>
              <w:rPr/>
              <w:t xml:space="preserve"> </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(3)</w:t>
            </w:r>
            <w:r>
              <w:rPr/>
              <w:t xml:space="preserve"> </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68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2,861</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r>
              <w:rPr/>
              <w:t xml:space="preserve"> </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2,861</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Granted under the Company's 2020 Omnibus Incentive Plan, as amended (the "Plan").</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Each restricted stock unit represents a contingent right upon vesting to receive one share of Issuer common stock, par value $0.01 per share ("Common Stock").</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On June 2, 2023, the Reporting Person was granted 2,861 time-based restricted stock units that vest 100%, subject to the Reporting Person's continued service with the Issuer, on the earliest of (i) the first anniversary of the date of grant, or, if earlier, the date which is the business day immediately preceding the date of the next Annual Meeting of Stockholders, (ii) the Reporting Person's termination due to death or Disability (as defined in the Plan), or (iii) a Change in Control (as defined in the Plan).</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Gary Holland,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06/02/2023</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insider-checkbox.png" TargetMode="External"/><Relationship Id="rId3" Type="http://schemas.openxmlformats.org/officeDocument/2006/relationships/hyperlink" Target="http://www.sec.gov/cgi-bin/browse-edgar?action=getcompany&amp;CIK=0001826565" TargetMode="External"/><Relationship Id="rId4" Type="http://schemas.openxmlformats.org/officeDocument/2006/relationships/hyperlink" Target="http://www.sec.gov/cgi-bin/browse-edgar?action=getcompany&amp;CIK=0001817358"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694</Words>
  <Characters>3730</Characters>
  <CharactersWithSpaces>4359</CharactersWithSpaces>
  <Paragraphs>103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