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890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89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Tweedy Jeffrey C.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 w:line="27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ACADEMY SPORTS AND OUTDOORS, INC.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1800 NORTH MASON ROAD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77449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6"/>
                  <w:szCs w:val="16"/>
                  <w:u w:val="single" w:color="auto"/>
                  <w:color w:val="0000EE"/>
                </w:rPr>
                <w:t>Academy Sports &amp; Outdoors, Inc.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ASO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12/09/2020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60" w:space="4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70485</wp:posOffset>
            </wp:positionV>
            <wp:extent cx="6967220" cy="8832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883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2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-15875</wp:posOffset>
            </wp:positionV>
            <wp:extent cx="7033260" cy="21050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5,178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12/09/2020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5,178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5,178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20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Issuer common stock, par value $0.01 per share ("Common Stock"). The restricted stock units will be settled in either Common Stock or cash (or a combination thereof) at the discretion of the Issuer's compensation committee.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Represents a grant of time-based restricted stock units that vest 100% on the earlier of (a) December 9, 2021, or (b) the business day immediately preceding the Issuer's next annual meeting of stockholders.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Rene G. Casares,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3175</wp:posOffset>
            </wp:positionV>
            <wp:extent cx="13112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3041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12/11/2020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3175</wp:posOffset>
            </wp:positionV>
            <wp:extent cx="48514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826565" TargetMode="External"/><Relationship Id="rId14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2020-12-11T18:02:35Z</dcterms:created>
  <dcterms:modified xsi:type="dcterms:W3CDTF">2020-12-11T18:02:35Z</dcterms:modified>
</cp:coreProperties>
</file>