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4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23"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23"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29"/>
          <w:szCs w:val="29"/>
          <w:b w:val="1"/>
          <w:bCs w:val="1"/>
          <w:color w:val="auto"/>
        </w:rPr>
        <w:t>SCHEDULE 14A</w:t>
      </w:r>
    </w:p>
    <w:p>
      <w:pPr>
        <w:spacing w:after="0" w:line="270"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Proxy Statement Pursuant to Section 14(a) of the Securities Exchange Act of 1934</w:t>
      </w:r>
    </w:p>
    <w:p>
      <w:pPr>
        <w:spacing w:after="0" w:line="3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8"/>
          <w:szCs w:val="18"/>
          <w:b w:val="1"/>
          <w:bCs w:val="1"/>
          <w:color w:val="auto"/>
        </w:rPr>
        <w:t>(Amendment No.  )</w:t>
      </w:r>
    </w:p>
    <w:p>
      <w:pPr>
        <w:spacing w:after="0" w:line="111" w:lineRule="exact"/>
        <w:rPr>
          <w:sz w:val="24"/>
          <w:szCs w:val="24"/>
          <w:color w:val="auto"/>
        </w:rPr>
      </w:pPr>
    </w:p>
    <w:p>
      <w:pPr>
        <w:ind w:left="200"/>
        <w:spacing w:after="0" w:line="196" w:lineRule="exact"/>
        <w:rPr>
          <w:sz w:val="20"/>
          <w:szCs w:val="20"/>
          <w:color w:val="auto"/>
        </w:rPr>
      </w:pPr>
      <w:r>
        <w:rPr>
          <w:rFonts w:ascii="Times New Roman" w:cs="Times New Roman" w:eastAsia="Times New Roman" w:hAnsi="Times New Roman"/>
          <w:sz w:val="17"/>
          <w:szCs w:val="17"/>
          <w:color w:val="auto"/>
        </w:rPr>
        <w:t xml:space="preserve">Filed by the Registrant </w:t>
      </w:r>
      <w:r>
        <w:rPr>
          <w:rFonts w:ascii="MS PGothic" w:cs="MS PGothic" w:eastAsia="MS PGothic" w:hAnsi="MS PGothic"/>
          <w:sz w:val="17"/>
          <w:szCs w:val="17"/>
          <w:color w:val="auto"/>
        </w:rPr>
        <w:t>☒</w:t>
      </w:r>
    </w:p>
    <w:p>
      <w:pPr>
        <w:spacing w:after="0" w:line="167" w:lineRule="exact"/>
        <w:rPr>
          <w:sz w:val="24"/>
          <w:szCs w:val="24"/>
          <w:color w:val="auto"/>
        </w:rPr>
      </w:pPr>
    </w:p>
    <w:p>
      <w:pPr>
        <w:ind w:left="200"/>
        <w:spacing w:after="0"/>
        <w:rPr>
          <w:sz w:val="20"/>
          <w:szCs w:val="20"/>
          <w:color w:val="auto"/>
        </w:rPr>
      </w:pPr>
      <w:r>
        <w:rPr>
          <w:rFonts w:ascii="Times New Roman" w:cs="Times New Roman" w:eastAsia="Times New Roman" w:hAnsi="Times New Roman"/>
          <w:sz w:val="17"/>
          <w:szCs w:val="17"/>
          <w:color w:val="auto"/>
        </w:rPr>
        <w:t xml:space="preserve">Filed by a party other than Registrant </w:t>
      </w:r>
      <w:r>
        <w:rPr>
          <w:rFonts w:ascii="Wingdings" w:cs="Wingdings" w:eastAsia="Wingdings" w:hAnsi="Wingdings"/>
          <w:sz w:val="16"/>
          <w:szCs w:val="16"/>
          <w:b w:val="1"/>
          <w:bCs w:val="1"/>
          <w:color w:val="auto"/>
        </w:rPr>
        <w:t>o</w:t>
      </w:r>
    </w:p>
    <w:p>
      <w:pPr>
        <w:spacing w:after="0" w:line="200" w:lineRule="exact"/>
        <w:rPr>
          <w:sz w:val="24"/>
          <w:szCs w:val="24"/>
          <w:color w:val="auto"/>
        </w:rPr>
      </w:pPr>
    </w:p>
    <w:p>
      <w:pPr>
        <w:spacing w:after="0" w:line="200" w:lineRule="exact"/>
        <w:rPr>
          <w:sz w:val="24"/>
          <w:szCs w:val="24"/>
          <w:color w:val="auto"/>
        </w:rPr>
      </w:pPr>
    </w:p>
    <w:p>
      <w:pPr>
        <w:spacing w:after="0" w:line="371" w:lineRule="exact"/>
        <w:rPr>
          <w:sz w:val="24"/>
          <w:szCs w:val="24"/>
          <w:color w:val="auto"/>
        </w:rPr>
      </w:pPr>
    </w:p>
    <w:p>
      <w:pPr>
        <w:ind w:left="80"/>
        <w:spacing w:after="0"/>
        <w:rPr>
          <w:sz w:val="20"/>
          <w:szCs w:val="20"/>
          <w:color w:val="auto"/>
        </w:rPr>
      </w:pPr>
      <w:r>
        <w:rPr>
          <w:rFonts w:ascii="Times New Roman" w:cs="Times New Roman" w:eastAsia="Times New Roman" w:hAnsi="Times New Roman"/>
          <w:sz w:val="16"/>
          <w:szCs w:val="16"/>
          <w:color w:val="auto"/>
        </w:rPr>
        <w:t>Check the appropriate box:</w:t>
      </w:r>
    </w:p>
    <w:p>
      <w:pPr>
        <w:ind w:left="840" w:hanging="644"/>
        <w:spacing w:after="0"/>
        <w:tabs>
          <w:tab w:leader="none" w:pos="840" w:val="left"/>
        </w:tabs>
        <w:numPr>
          <w:ilvl w:val="0"/>
          <w:numId w:val="1"/>
        </w:numPr>
        <w:rPr>
          <w:rFonts w:ascii="Wingdings" w:cs="Wingdings" w:eastAsia="Wingdings" w:hAnsi="Wingdings"/>
          <w:sz w:val="32"/>
          <w:szCs w:val="32"/>
          <w:b w:val="1"/>
          <w:bCs w:val="1"/>
          <w:color w:val="auto"/>
          <w:vertAlign w:val="superscript"/>
        </w:rPr>
      </w:pPr>
      <w:r>
        <w:rPr>
          <w:rFonts w:ascii="Times New Roman" w:cs="Times New Roman" w:eastAsia="Times New Roman" w:hAnsi="Times New Roman"/>
          <w:sz w:val="17"/>
          <w:szCs w:val="17"/>
          <w:color w:val="auto"/>
        </w:rPr>
        <w:t>Preliminary Proxy Statement</w:t>
      </w:r>
    </w:p>
    <w:p>
      <w:pPr>
        <w:spacing w:after="0" w:line="105" w:lineRule="exact"/>
        <w:rPr>
          <w:rFonts w:ascii="Wingdings" w:cs="Wingdings" w:eastAsia="Wingdings" w:hAnsi="Wingdings"/>
          <w:sz w:val="32"/>
          <w:szCs w:val="32"/>
          <w:b w:val="1"/>
          <w:bCs w:val="1"/>
          <w:color w:val="auto"/>
          <w:vertAlign w:val="superscript"/>
        </w:rPr>
      </w:pPr>
    </w:p>
    <w:p>
      <w:pPr>
        <w:ind w:left="840" w:hanging="644"/>
        <w:spacing w:after="0" w:line="184" w:lineRule="auto"/>
        <w:tabs>
          <w:tab w:leader="none" w:pos="840" w:val="left"/>
        </w:tabs>
        <w:numPr>
          <w:ilvl w:val="0"/>
          <w:numId w:val="1"/>
        </w:numPr>
        <w:rPr>
          <w:rFonts w:ascii="Wingdings" w:cs="Wingdings" w:eastAsia="Wingdings" w:hAnsi="Wingdings"/>
          <w:sz w:val="24"/>
          <w:szCs w:val="24"/>
          <w:b w:val="1"/>
          <w:bCs w:val="1"/>
          <w:color w:val="auto"/>
          <w:vertAlign w:val="superscript"/>
        </w:rPr>
      </w:pPr>
      <w:r>
        <w:rPr>
          <w:rFonts w:ascii="Times New Roman" w:cs="Times New Roman" w:eastAsia="Times New Roman" w:hAnsi="Times New Roman"/>
          <w:sz w:val="14"/>
          <w:szCs w:val="14"/>
          <w:color w:val="auto"/>
        </w:rPr>
        <w:t>Confidential, for Use of the Commission Only (as permitted by Rule 14a-6(e)(2))</w:t>
      </w:r>
    </w:p>
    <w:p>
      <w:pPr>
        <w:spacing w:after="0" w:line="106" w:lineRule="exact"/>
        <w:rPr>
          <w:rFonts w:ascii="Wingdings" w:cs="Wingdings" w:eastAsia="Wingdings" w:hAnsi="Wingdings"/>
          <w:sz w:val="24"/>
          <w:szCs w:val="24"/>
          <w:b w:val="1"/>
          <w:bCs w:val="1"/>
          <w:color w:val="auto"/>
          <w:vertAlign w:val="superscript"/>
        </w:rPr>
      </w:pPr>
    </w:p>
    <w:p>
      <w:pPr>
        <w:ind w:left="840" w:hanging="644"/>
        <w:spacing w:after="0" w:line="184" w:lineRule="auto"/>
        <w:tabs>
          <w:tab w:leader="none" w:pos="840" w:val="left"/>
        </w:tabs>
        <w:numPr>
          <w:ilvl w:val="0"/>
          <w:numId w:val="1"/>
        </w:numPr>
        <w:rPr>
          <w:rFonts w:ascii="Wingdings" w:cs="Wingdings" w:eastAsia="Wingdings" w:hAnsi="Wingdings"/>
          <w:sz w:val="24"/>
          <w:szCs w:val="24"/>
          <w:b w:val="1"/>
          <w:bCs w:val="1"/>
          <w:color w:val="auto"/>
          <w:highlight w:val="black"/>
          <w:vertAlign w:val="superscript"/>
        </w:rPr>
      </w:pPr>
      <w:r>
        <w:rPr>
          <w:rFonts w:ascii="Times New Roman" w:cs="Times New Roman" w:eastAsia="Times New Roman" w:hAnsi="Times New Roman"/>
          <w:sz w:val="14"/>
          <w:szCs w:val="14"/>
          <w:color w:val="auto"/>
        </w:rPr>
        <w:t>Definitive Proxy Statement</w:t>
      </w:r>
    </w:p>
    <w:p>
      <w:pPr>
        <w:ind w:left="840" w:hanging="648"/>
        <w:spacing w:after="0" w:line="211" w:lineRule="auto"/>
        <w:tabs>
          <w:tab w:leader="none" w:pos="840" w:val="left"/>
        </w:tabs>
        <w:numPr>
          <w:ilvl w:val="0"/>
          <w:numId w:val="2"/>
        </w:numPr>
        <w:rPr>
          <w:rFonts w:ascii="MS PGothic" w:cs="MS PGothic" w:eastAsia="MS PGothic" w:hAnsi="MS PGothic"/>
          <w:sz w:val="43"/>
          <w:szCs w:val="43"/>
          <w:color w:val="auto"/>
          <w:vertAlign w:val="superscript"/>
        </w:rPr>
      </w:pPr>
      <w:r>
        <w:rPr>
          <w:rFonts w:ascii="Times New Roman" w:cs="Times New Roman" w:eastAsia="Times New Roman" w:hAnsi="Times New Roman"/>
          <w:sz w:val="17"/>
          <w:szCs w:val="17"/>
          <w:color w:val="auto"/>
        </w:rPr>
        <w:t>Definitive Additional Materials</w:t>
      </w:r>
    </w:p>
    <w:p>
      <w:pPr>
        <w:ind w:left="840" w:hanging="644"/>
        <w:spacing w:after="0" w:line="209" w:lineRule="auto"/>
        <w:tabs>
          <w:tab w:leader="none" w:pos="840" w:val="left"/>
        </w:tabs>
        <w:numPr>
          <w:ilvl w:val="0"/>
          <w:numId w:val="3"/>
        </w:numPr>
        <w:rPr>
          <w:rFonts w:ascii="Wingdings" w:cs="Wingdings" w:eastAsia="Wingdings" w:hAnsi="Wingdings"/>
          <w:sz w:val="32"/>
          <w:szCs w:val="32"/>
          <w:b w:val="1"/>
          <w:bCs w:val="1"/>
          <w:color w:val="auto"/>
          <w:vertAlign w:val="superscript"/>
        </w:rPr>
      </w:pPr>
      <w:r>
        <w:rPr>
          <w:rFonts w:ascii="Times New Roman" w:cs="Times New Roman" w:eastAsia="Times New Roman" w:hAnsi="Times New Roman"/>
          <w:sz w:val="17"/>
          <w:szCs w:val="17"/>
          <w:color w:val="auto"/>
        </w:rPr>
        <w:t>Soliciting Material under §240.14a-12</w:t>
      </w:r>
    </w:p>
    <w:p>
      <w:pPr>
        <w:spacing w:after="0" w:line="307"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61"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(Name of Registrant as Specified In Its Charter)</w:t>
      </w:r>
    </w:p>
    <w:p>
      <w:pPr>
        <w:spacing w:after="0" w:line="6" w:lineRule="exact"/>
        <w:rPr>
          <w:sz w:val="24"/>
          <w:szCs w:val="24"/>
          <w:color w:val="auto"/>
        </w:rPr>
      </w:pPr>
    </w:p>
    <w:p>
      <w:pPr>
        <w:jc w:val="center"/>
        <w:ind w:right="-780"/>
        <w:spacing w:after="0"/>
        <w:rPr>
          <w:sz w:val="20"/>
          <w:szCs w:val="20"/>
          <w:color w:val="auto"/>
        </w:rPr>
      </w:pPr>
      <w:r>
        <w:rPr>
          <w:rFonts w:ascii="Times New Roman" w:cs="Times New Roman" w:eastAsia="Times New Roman" w:hAnsi="Times New Roman"/>
          <w:sz w:val="16"/>
          <w:szCs w:val="16"/>
          <w:b w:val="1"/>
          <w:bCs w:val="1"/>
          <w:color w:val="auto"/>
        </w:rPr>
        <w:t>(Name of Person(s) Filing Proxy Statement, if other than the Registrant)</w:t>
      </w:r>
    </w:p>
    <w:p>
      <w:pPr>
        <w:spacing w:after="0" w:line="10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all boxes that apply):</w:t>
      </w:r>
    </w:p>
    <w:p>
      <w:pPr>
        <w:spacing w:after="0" w:line="59" w:lineRule="exact"/>
        <w:rPr>
          <w:sz w:val="24"/>
          <w:szCs w:val="24"/>
          <w:color w:val="auto"/>
        </w:rPr>
      </w:pPr>
    </w:p>
    <w:p>
      <w:pPr>
        <w:ind w:left="720" w:hanging="629"/>
        <w:spacing w:after="0"/>
        <w:tabs>
          <w:tab w:leader="none" w:pos="72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40" w:lineRule="exact"/>
        <w:rPr>
          <w:sz w:val="24"/>
          <w:szCs w:val="24"/>
          <w:color w:val="auto"/>
        </w:rPr>
      </w:pPr>
    </w:p>
    <w:tbl>
      <w:tblPr>
        <w:tblLayout w:type="fixed"/>
        <w:tblInd w:w="100" w:type="dxa"/>
        <w:tblCellMar>
          <w:top w:w="0" w:type="dxa"/>
          <w:left w:w="0" w:type="dxa"/>
          <w:bottom w:w="0" w:type="dxa"/>
          <w:right w:w="0" w:type="dxa"/>
        </w:tblCellMar>
      </w:tblPr>
      <w:tr>
        <w:trPr>
          <w:trHeight w:val="210"/>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 </w:t>
            </w:r>
            <w:r>
              <w:rPr>
                <w:rFonts w:ascii="Wingdings" w:cs="Wingdings" w:eastAsia="Wingdings" w:hAnsi="Wingdings"/>
                <w:sz w:val="16"/>
                <w:szCs w:val="16"/>
                <w:b w:val="1"/>
                <w:bCs w:val="1"/>
                <w:color w:val="auto"/>
              </w:rPr>
              <w:t>o</w:t>
            </w:r>
          </w:p>
        </w:tc>
        <w:tc>
          <w:tcPr>
            <w:tcW w:w="6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Fee paid previously with preliminary materials</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400" w:type="dxa"/>
            <w:vAlign w:val="bottom"/>
          </w:tcPr>
          <w:p>
            <w:pPr>
              <w:spacing w:after="0"/>
              <w:rPr>
                <w:sz w:val="20"/>
                <w:szCs w:val="20"/>
                <w:color w:val="auto"/>
              </w:rPr>
            </w:pPr>
            <w:r>
              <w:rPr>
                <w:rFonts w:ascii="Times New Roman" w:cs="Times New Roman" w:eastAsia="Times New Roman" w:hAnsi="Times New Roman"/>
                <w:sz w:val="16"/>
                <w:szCs w:val="16"/>
                <w:color w:val="auto"/>
              </w:rPr>
              <w:t> </w:t>
            </w:r>
            <w:r>
              <w:rPr>
                <w:rFonts w:ascii="Wingdings" w:cs="Wingdings" w:eastAsia="Wingdings" w:hAnsi="Wingdings"/>
                <w:sz w:val="16"/>
                <w:szCs w:val="16"/>
                <w:b w:val="1"/>
                <w:bCs w:val="1"/>
                <w:color w:val="auto"/>
              </w:rPr>
              <w:t>o</w:t>
            </w:r>
          </w:p>
        </w:tc>
        <w:tc>
          <w:tcPr>
            <w:tcW w:w="6840" w:type="dxa"/>
            <w:vAlign w:val="bottom"/>
            <w:vMerge w:val="restart"/>
          </w:tcPr>
          <w:p>
            <w:pPr>
              <w:ind w:left="220"/>
              <w:spacing w:after="0"/>
              <w:rPr>
                <w:sz w:val="20"/>
                <w:szCs w:val="20"/>
                <w:color w:val="auto"/>
              </w:rPr>
            </w:pPr>
            <w:r>
              <w:rPr>
                <w:rFonts w:ascii="Times New Roman" w:cs="Times New Roman" w:eastAsia="Times New Roman" w:hAnsi="Times New Roman"/>
                <w:sz w:val="16"/>
                <w:szCs w:val="16"/>
                <w:color w:val="auto"/>
              </w:rPr>
              <w:t>Fee computed on table in exhibit required by Item 25(b) per Exchange Act Rules 14a-6(i)(1) and 0-11</w:t>
            </w:r>
          </w:p>
        </w:tc>
        <w:tc>
          <w:tcPr>
            <w:tcW w:w="0" w:type="dxa"/>
            <w:vAlign w:val="bottom"/>
          </w:tcPr>
          <w:p>
            <w:pPr>
              <w:spacing w:after="0"/>
              <w:rPr>
                <w:sz w:val="1"/>
                <w:szCs w:val="1"/>
                <w:color w:val="auto"/>
              </w:rPr>
            </w:pPr>
          </w:p>
        </w:tc>
      </w:tr>
      <w:tr>
        <w:trPr>
          <w:trHeight w:val="81"/>
        </w:trPr>
        <w:tc>
          <w:tcPr>
            <w:tcW w:w="400" w:type="dxa"/>
            <w:vAlign w:val="bottom"/>
          </w:tcPr>
          <w:p>
            <w:pPr>
              <w:spacing w:after="0"/>
              <w:rPr>
                <w:sz w:val="7"/>
                <w:szCs w:val="7"/>
                <w:color w:val="auto"/>
              </w:rPr>
            </w:pPr>
          </w:p>
        </w:tc>
        <w:tc>
          <w:tcPr>
            <w:tcW w:w="6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ectPr>
          <w:pgSz w:w="11900" w:h="16838" w:orient="portrait"/>
          <w:cols w:equalWidth="0" w:num="1">
            <w:col w:w="9799"/>
          </w:cols>
          <w:pgMar w:left="660" w:top="1440" w:right="1440" w:bottom="1440" w:gutter="0" w:footer="0" w:header="0"/>
        </w:sectPr>
      </w:pPr>
    </w:p>
    <w:bookmarkStart w:id="1" w:name="page2"/>
    <w:bookmarkEnd w:id="1"/>
    <w:p>
      <w:pPr>
        <w:ind w:left="4300"/>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firstLine="648"/>
        <w:spacing w:after="0" w:line="258" w:lineRule="auto"/>
        <w:rPr>
          <w:sz w:val="20"/>
          <w:szCs w:val="20"/>
          <w:color w:val="auto"/>
        </w:rPr>
      </w:pPr>
      <w:r>
        <w:rPr>
          <w:rFonts w:ascii="Times New Roman" w:cs="Times New Roman" w:eastAsia="Times New Roman" w:hAnsi="Times New Roman"/>
          <w:sz w:val="18"/>
          <w:szCs w:val="18"/>
          <w:color w:val="auto"/>
        </w:rPr>
        <w:t>This proxy statement supplement, dated May 9, 2025, supplements the Definitive Proxy Statement of Academy Sports and Outdoors, Inc. (the “Company”) filed with the Securities and Exchange Commission (the “SEC”) on April 21, 2025 (the “Proxy Statement”), related to the Company’s Annual Meeting of Stockholders to be held on June 5, 2025, to incorporate the Form 8-K below, filed with the SEC on May 9, 2025. This proxy statement supplement should be read in conjunction with the Proxy Statement. This proxy statement supplement does not change or update any of the other information contained in the Proxy Statement.</w:t>
      </w:r>
    </w:p>
    <w:p>
      <w:pPr>
        <w:spacing w:after="0" w:line="200" w:lineRule="exact"/>
        <w:rPr>
          <w:sz w:val="20"/>
          <w:szCs w:val="20"/>
          <w:color w:val="auto"/>
        </w:rPr>
      </w:pPr>
    </w:p>
    <w:p>
      <w:pPr>
        <w:spacing w:after="0" w:line="249" w:lineRule="exact"/>
        <w:rPr>
          <w:sz w:val="20"/>
          <w:szCs w:val="20"/>
          <w:color w:val="auto"/>
        </w:rPr>
      </w:pPr>
    </w:p>
    <w:p>
      <w:pPr>
        <w:ind w:right="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186" w:lineRule="exact"/>
        <w:rPr>
          <w:sz w:val="20"/>
          <w:szCs w:val="20"/>
          <w:color w:val="auto"/>
        </w:rPr>
      </w:pPr>
    </w:p>
    <w:p>
      <w:pPr>
        <w:ind w:right="240" w:firstLine="648"/>
        <w:spacing w:after="0" w:line="266" w:lineRule="auto"/>
        <w:rPr>
          <w:sz w:val="20"/>
          <w:szCs w:val="20"/>
          <w:color w:val="auto"/>
        </w:rPr>
      </w:pPr>
      <w:r>
        <w:rPr>
          <w:rFonts w:ascii="Times New Roman" w:cs="Times New Roman" w:eastAsia="Times New Roman" w:hAnsi="Times New Roman"/>
          <w:sz w:val="18"/>
          <w:szCs w:val="18"/>
          <w:color w:val="auto"/>
        </w:rPr>
        <w:t>On May 5, 2025, Scott Boatwright an independent Class III member of the Board of Directors (the “Board”) of Academy Sports and Outdoors, Inc. (the “Company”), notified the Board of his resignation as a director of the Company, effective immediately. In connection with Mr. Boatwright’s resignation, the Board reduced the size of the Company’s Board from eleven to ten directors, effective immediately.</w:t>
      </w:r>
    </w:p>
    <w:p>
      <w:pPr>
        <w:spacing w:after="0" w:line="203" w:lineRule="exact"/>
        <w:rPr>
          <w:sz w:val="20"/>
          <w:szCs w:val="20"/>
          <w:color w:val="auto"/>
        </w:rPr>
      </w:pPr>
    </w:p>
    <w:p>
      <w:pPr>
        <w:ind w:right="500" w:firstLine="648"/>
        <w:spacing w:after="0" w:line="282" w:lineRule="auto"/>
        <w:rPr>
          <w:sz w:val="20"/>
          <w:szCs w:val="20"/>
          <w:color w:val="auto"/>
        </w:rPr>
      </w:pPr>
      <w:r>
        <w:rPr>
          <w:rFonts w:ascii="Times New Roman" w:cs="Times New Roman" w:eastAsia="Times New Roman" w:hAnsi="Times New Roman"/>
          <w:sz w:val="18"/>
          <w:szCs w:val="18"/>
          <w:color w:val="auto"/>
        </w:rPr>
        <w:t>Mr. Boatwright’s resignation was not the result of any dispute or disagreement with the Company or the Board on any matter relating to the operations, policies or practices of the Company.</w:t>
      </w:r>
    </w:p>
    <w:p>
      <w:pPr>
        <w:sectPr>
          <w:pgSz w:w="11900" w:h="16838" w:orient="portrait"/>
          <w:cols w:equalWidth="0" w:num="1">
            <w:col w:w="11200"/>
          </w:cols>
          <w:pgMar w:left="320" w:top="1413" w:right="379" w:bottom="1440" w:gutter="0" w:footer="0" w:header="0"/>
        </w:sectPr>
      </w:pPr>
    </w:p>
    <w:bookmarkStart w:id="2" w:name="page3"/>
    <w:bookmarkEnd w:id="2"/>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3"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tbl>
      <w:tblPr>
        <w:tblLayout w:type="fixed"/>
        <w:tblInd w:w="284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May 9, 2025</w:t>
            </w: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By:</w:t>
            </w:r>
          </w:p>
        </w:tc>
        <w:tc>
          <w:tcPr>
            <w:tcW w:w="43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Sarah M. Green</w:t>
            </w:r>
          </w:p>
        </w:tc>
      </w:tr>
      <w:tr>
        <w:trPr>
          <w:trHeight w:val="232"/>
        </w:trPr>
        <w:tc>
          <w:tcPr>
            <w:tcW w:w="2160" w:type="dxa"/>
            <w:vAlign w:val="bottom"/>
          </w:tcPr>
          <w:p>
            <w:pPr>
              <w:spacing w:after="0"/>
              <w:rPr>
                <w:sz w:val="20"/>
                <w:szCs w:val="20"/>
                <w:color w:val="auto"/>
              </w:rPr>
            </w:pPr>
          </w:p>
        </w:tc>
        <w:tc>
          <w:tcPr>
            <w:tcW w:w="1940" w:type="dxa"/>
            <w:vAlign w:val="bottom"/>
          </w:tcPr>
          <w:p>
            <w:pPr>
              <w:ind w:left="1260"/>
              <w:spacing w:after="0"/>
              <w:rPr>
                <w:sz w:val="20"/>
                <w:szCs w:val="20"/>
                <w:color w:val="auto"/>
              </w:rPr>
            </w:pPr>
            <w:r>
              <w:rPr>
                <w:rFonts w:ascii="Times New Roman" w:cs="Times New Roman" w:eastAsia="Times New Roman" w:hAnsi="Times New Roman"/>
                <w:sz w:val="18"/>
                <w:szCs w:val="18"/>
                <w:color w:val="auto"/>
              </w:rPr>
              <w:t>Name:</w:t>
            </w: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Sarah M. Green</w:t>
            </w:r>
          </w:p>
        </w:tc>
      </w:tr>
      <w:tr>
        <w:trPr>
          <w:trHeight w:val="180"/>
        </w:trPr>
        <w:tc>
          <w:tcPr>
            <w:tcW w:w="2160" w:type="dxa"/>
            <w:vAlign w:val="bottom"/>
          </w:tcPr>
          <w:p>
            <w:pPr>
              <w:spacing w:after="0"/>
              <w:rPr>
                <w:sz w:val="15"/>
                <w:szCs w:val="15"/>
                <w:color w:val="auto"/>
              </w:rPr>
            </w:pPr>
          </w:p>
        </w:tc>
        <w:tc>
          <w:tcPr>
            <w:tcW w:w="1940" w:type="dxa"/>
            <w:vAlign w:val="bottom"/>
          </w:tcPr>
          <w:p>
            <w:pPr>
              <w:ind w:left="1260"/>
              <w:spacing w:after="0" w:line="181" w:lineRule="exact"/>
              <w:rPr>
                <w:sz w:val="20"/>
                <w:szCs w:val="20"/>
                <w:color w:val="auto"/>
              </w:rPr>
            </w:pPr>
            <w:r>
              <w:rPr>
                <w:rFonts w:ascii="Times New Roman" w:cs="Times New Roman" w:eastAsia="Times New Roman" w:hAnsi="Times New Roman"/>
                <w:sz w:val="18"/>
                <w:szCs w:val="18"/>
                <w:color w:val="auto"/>
              </w:rPr>
              <w:t>Title:</w:t>
            </w:r>
          </w:p>
        </w:tc>
        <w:tc>
          <w:tcPr>
            <w:tcW w:w="4300" w:type="dxa"/>
            <w:vAlign w:val="bottom"/>
          </w:tcPr>
          <w:p>
            <w:pPr>
              <w:ind w:left="20"/>
              <w:spacing w:after="0" w:line="181" w:lineRule="exact"/>
              <w:rPr>
                <w:sz w:val="20"/>
                <w:szCs w:val="20"/>
                <w:color w:val="auto"/>
              </w:rPr>
            </w:pPr>
            <w:r>
              <w:rPr>
                <w:rFonts w:ascii="Times New Roman" w:cs="Times New Roman" w:eastAsia="Times New Roman" w:hAnsi="Times New Roman"/>
                <w:sz w:val="18"/>
                <w:szCs w:val="18"/>
                <w:color w:val="auto"/>
              </w:rPr>
              <w:t>Vice President, Deputy General Counsel and Assistant</w:t>
            </w:r>
          </w:p>
        </w:tc>
      </w:tr>
      <w:tr>
        <w:trPr>
          <w:trHeight w:val="234"/>
        </w:trPr>
        <w:tc>
          <w:tcPr>
            <w:tcW w:w="2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Secretary</w:t>
            </w:r>
          </w:p>
        </w:tc>
      </w:tr>
    </w:tbl>
    <w:p>
      <w:pPr>
        <w:spacing w:after="0" w:line="1" w:lineRule="exact"/>
        <w:rPr>
          <w:sz w:val="20"/>
          <w:szCs w:val="20"/>
          <w:color w:val="auto"/>
        </w:rPr>
      </w:pP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74B0DC51"/>
    <w:multiLevelType w:val="hybridMultilevel"/>
    <w:lvl w:ilvl="0">
      <w:lvlJc w:val="left"/>
      <w:lvlText w:val="o"/>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o"/>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2025-05-09T16:53:05Z</dcterms:created>
  <dcterms:modified xsi:type="dcterms:W3CDTF">2025-05-09T16:53:05Z</dcterms:modified>
</cp:coreProperties>
</file>