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820" w:right="1180" w:hanging="2627"/>
        <w:spacing w:after="0" w:line="280" w:lineRule="auto"/>
        <w:tabs>
          <w:tab w:leader="none" w:pos="13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July 30, 2022</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9940" w:firstLine="2"/>
        <w:spacing w:after="0" w:line="214"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8"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31, 2022, Academy Sports and Outdoors, Inc. had 79,736,603 shares of common stock, par value $0.01 per share, outstanding.</w:t>
      </w:r>
    </w:p>
    <w:p>
      <w:pPr>
        <w:sectPr>
          <w:pgSz w:w="11900" w:h="16838" w:orient="portrait"/>
          <w:cols w:equalWidth="0" w:num="1">
            <w:col w:w="10800"/>
          </w:cols>
          <w:pgMar w:left="540" w:top="581" w:right="55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581"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July 30, 2022</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January 29, 2022</w:t>
            </w:r>
          </w:p>
        </w:tc>
        <w:tc>
          <w:tcPr>
            <w:tcW w:w="220" w:type="dxa"/>
            <w:vAlign w:val="bottom"/>
          </w:tcPr>
          <w:p>
            <w:pPr>
              <w:spacing w:after="0"/>
              <w:rPr>
                <w:sz w:val="20"/>
                <w:szCs w:val="20"/>
                <w:color w:val="auto"/>
              </w:rPr>
            </w:pP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2021</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399,857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485,998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553,825</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$1,143, $732 and</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14,521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19,718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10,791</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$822, respectively</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1,304,556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1,171,808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1,115,020</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46,448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39,050</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Assets held for sale</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1,767,145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1,715,747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1,720,449</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350,628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362,784</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1,087,085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1,079,546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1,105,272</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577,299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577,215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577,000</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9,892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6,602</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4,653,969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4,584,940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4,634,027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778,016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737,826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816,427</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251,569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277,157</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87,042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84,981</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1,119,627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1,127,110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1,181,565</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683,065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684,103</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1,081,790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1,077,667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1,107,709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235,187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185,765</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13,029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27,267</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3,132,698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3,117,994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3,186,409</w:t>
            </w:r>
          </w:p>
        </w:tc>
        <w:tc>
          <w:tcPr>
            <w:tcW w:w="0" w:type="dxa"/>
            <w:vAlign w:val="bottom"/>
          </w:tcPr>
          <w:p>
            <w:pPr>
              <w:spacing w:after="0"/>
              <w:rPr>
                <w:sz w:val="1"/>
                <w:szCs w:val="1"/>
                <w:color w:val="auto"/>
              </w:rPr>
            </w:pPr>
          </w:p>
        </w:tc>
      </w:tr>
      <w:tr>
        <w:trPr>
          <w:trHeight w:val="76"/>
        </w:trPr>
        <w:tc>
          <w:tcPr>
            <w:tcW w:w="6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220" w:type="dxa"/>
            <w:vAlign w:val="bottom"/>
          </w:tcPr>
          <w:p>
            <w:pPr>
              <w:spacing w:after="0"/>
              <w:rPr>
                <w:sz w:val="14"/>
                <w:szCs w:val="14"/>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2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Common stock, $0.01 par value, authorized 300,000,000 shares; 79,725,034;</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87,079,394 and 92,883,540 issued and outstanding as of July 30, 2022, January 29,</w:t>
            </w:r>
          </w:p>
        </w:tc>
        <w:tc>
          <w:tcPr>
            <w:tcW w:w="2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2022 and July 31, 2021, respectively.</w:t>
            </w: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196,510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187,746</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1,323,964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1,268,060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1,260,805</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1,521,271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1,466,946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1,447,618</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4,653,969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4,584,940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4,634,027</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40" w:type="dxa"/>
            <w:vAlign w:val="bottom"/>
          </w:tcPr>
          <w:p>
            <w:pPr>
              <w:spacing w:after="0"/>
              <w:rPr>
                <w:sz w:val="20"/>
                <w:szCs w:val="20"/>
                <w:color w:val="auto"/>
              </w:rPr>
            </w:pPr>
          </w:p>
        </w:tc>
        <w:tc>
          <w:tcPr>
            <w:tcW w:w="33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1,686,915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1,791,530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3,154,645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3,371,863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1,090,852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2,037,158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2,165,666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1,117,487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1,206,197</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339,329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655,260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387,938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712,565</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462,227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493,632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465,819</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368,306</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40" w:type="dxa"/>
            <w:vAlign w:val="bottom"/>
          </w:tcPr>
          <w:p>
            <w:pPr>
              <w:spacing w:after="0"/>
              <w:rPr>
                <w:sz w:val="20"/>
                <w:szCs w:val="20"/>
                <w:color w:val="auto"/>
              </w:rPr>
            </w:pPr>
          </w:p>
        </w:tc>
        <w:tc>
          <w:tcPr>
            <w:tcW w:w="33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368,306</w:t>
            </w: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interest expense on interest rate swaps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29,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$ 1,268,060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1,466,946</w:t>
            </w:r>
          </w:p>
        </w:tc>
        <w:tc>
          <w:tcPr>
            <w:tcW w:w="0" w:type="dxa"/>
            <w:vAlign w:val="bottom"/>
          </w:tcPr>
          <w:p>
            <w:pPr>
              <w:spacing w:after="0"/>
              <w:rPr>
                <w:sz w:val="1"/>
                <w:szCs w:val="1"/>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$ 1,328,099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1,528,508</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6,158</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6,158</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(5,551)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(200,111)</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w:t>
            </w: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79,725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196,510</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$ 1,323,964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1,521,271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1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30,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987,168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1,111,983</w:t>
            </w:r>
          </w:p>
        </w:tc>
        <w:tc>
          <w:tcPr>
            <w:tcW w:w="0" w:type="dxa"/>
            <w:vAlign w:val="bottom"/>
          </w:tcPr>
          <w:p>
            <w:pPr>
              <w:spacing w:after="0"/>
              <w:rPr>
                <w:sz w:val="1"/>
                <w:szCs w:val="1"/>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 Payments adjustment for forfeitures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Recognized interest expense on interest rate swaps (net of tax</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$270)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1,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150,370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1,164,964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1,313,875</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Recognized interest expense on interest rate swaps (net of tax</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$163)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1,260,805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1,447,618</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60" w:type="dxa"/>
            <w:vAlign w:val="bottom"/>
          </w:tcPr>
          <w:p>
            <w:pPr>
              <w:spacing w:after="0"/>
              <w:rPr>
                <w:sz w:val="18"/>
                <w:szCs w:val="18"/>
                <w:color w:val="auto"/>
              </w:rPr>
            </w:pPr>
          </w:p>
        </w:tc>
        <w:tc>
          <w:tcPr>
            <w:tcW w:w="14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338,607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368,306</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4"/>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51,308</w:t>
            </w:r>
          </w:p>
        </w:tc>
      </w:tr>
      <w:tr>
        <w:trPr>
          <w:trHeight w:val="218"/>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r>
      <w:tr>
        <w:trPr>
          <w:trHeight w:val="214"/>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 compensation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33,205</w:t>
            </w:r>
          </w:p>
        </w:tc>
      </w:tr>
      <w:tr>
        <w:trPr>
          <w:trHeight w:val="218"/>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terminated interest rate swaps, deferred loan and other costs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214"/>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46,628</w:t>
            </w:r>
          </w:p>
        </w:tc>
      </w:tr>
      <w:tr>
        <w:trPr>
          <w:trHeight w:val="218"/>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loss on early retirement of debt</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r>
      <w:tr>
        <w:trPr>
          <w:trHeight w:val="213"/>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w:t>
            </w:r>
          </w:p>
        </w:tc>
      </w:tr>
      <w:tr>
        <w:trPr>
          <w:trHeight w:val="214"/>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Merchandise inventories, net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(132,748)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(124,986)</w:t>
            </w:r>
          </w:p>
        </w:tc>
      </w:tr>
      <w:tr>
        <w:trPr>
          <w:trHeight w:val="218"/>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(10,737)</w:t>
            </w:r>
          </w:p>
        </w:tc>
      </w:tr>
      <w:tr>
        <w:trPr>
          <w:trHeight w:val="214"/>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218"/>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22,958</w:t>
            </w:r>
          </w:p>
        </w:tc>
      </w:tr>
      <w:tr>
        <w:trPr>
          <w:trHeight w:val="214"/>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(47,447)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18,517</w:t>
            </w:r>
          </w:p>
        </w:tc>
      </w:tr>
      <w:tr>
        <w:trPr>
          <w:trHeight w:val="218"/>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(12,996)</w:t>
            </w:r>
          </w:p>
        </w:tc>
      </w:tr>
      <w:tr>
        <w:trPr>
          <w:trHeight w:val="214"/>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09"/>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258,406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405,674</w:t>
            </w:r>
          </w:p>
        </w:tc>
      </w:tr>
      <w:tr>
        <w:trPr>
          <w:trHeight w:val="130"/>
        </w:trPr>
        <w:tc>
          <w:tcPr>
            <w:tcW w:w="7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(48,050)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(33,767)</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(48,134)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(33,767)</w:t>
            </w:r>
          </w:p>
        </w:tc>
      </w:tr>
      <w:tr>
        <w:trPr>
          <w:trHeight w:val="130"/>
        </w:trPr>
        <w:tc>
          <w:tcPr>
            <w:tcW w:w="7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Term Loan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(100,750)</w:t>
            </w: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issuance fees</w:t>
            </w:r>
          </w:p>
        </w:tc>
        <w:tc>
          <w:tcPr>
            <w:tcW w:w="2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Share-Based Award Payments</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31,678</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program</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(15,418)</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(288,612)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4"/>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(12,807)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(296,413)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(195,686)</w:t>
            </w:r>
          </w:p>
        </w:tc>
      </w:tr>
      <w:tr>
        <w:trPr>
          <w:trHeight w:val="130"/>
        </w:trPr>
        <w:tc>
          <w:tcPr>
            <w:tcW w:w="7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(86,141)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176,221</w:t>
            </w:r>
          </w:p>
        </w:tc>
      </w:tr>
      <w:tr>
        <w:trPr>
          <w:trHeight w:val="21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485,998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377,604</w:t>
            </w: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399,857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553,825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20,056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24,358</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89,719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64,211</w:t>
            </w:r>
          </w:p>
        </w:tc>
      </w:tr>
      <w:tr>
        <w:trPr>
          <w:trHeight w:val="149"/>
        </w:trPr>
        <w:tc>
          <w:tcPr>
            <w:tcW w:w="7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ACTIVITIES: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issuance of common shares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capital expenditures in accounts payable and accrued liabilities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12"/>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56,414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w:t>
            </w:r>
          </w:p>
        </w:tc>
      </w:tr>
    </w:tbl>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On October 6, 2020, ASO, Inc. completed an initial public offering and as of September 17, 2021, KKR no longer held an ownership interest in the Company.</w:t>
      </w:r>
    </w:p>
    <w:p>
      <w:pPr>
        <w:spacing w:after="0" w:line="13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July 30, 2022, we operated 261 "Academy Sports + Outdoors" retail locations in 16 states and three distribution centers located in Katy, Texas, Twiggs County, Georgia and Cookeville, Tennessee.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approximately $20.69 per share. The Company did not receive any proceeds from the Secondary Offering.</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May 2021 Secondary Offering and Stock Repurchase</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also included the Company's repurchase and simultaneous retirement of 3,229,974 shares out of the 14,000,000 shares at $30.96 per share, the same price granted to the underwriters, which was at a discount to the prevailing market price at the time of repurchase (see "Share Repurchases" in Note 2). The May 2021 Secondary Offering was completed on May 10, 2021. The Company did not receive any proceeds from the May 2021 Secondary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9" w:name="page10"/>
    <w:bookmarkEnd w:id="9"/>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29, 2022, as filed with the Securities and Exchange Commission on March 29, 2022 (the "Annual Report"). The information furnished herein reflects all normal recurring adjustments which are, in the opinion of management, necessary for a fair presentation of the results for the interim periods presented. The results of operations for the thirteen and twenty-six weeks ended July 30, 2022 are not necessarily indicative of the results that will be realized for the fiscal year ending January 28, 2023 or any other period. The balance sheet as of January 29, 2022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July 31, 2021 for comparability purposes. This reclassification is in divisional presentation only and did not impact the overall net sales balances previously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spacing w:after="0" w:line="129"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spacing w:after="0" w:line="79"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During the thirteen and twenty-six weeks ended July 30, 2022, we repurchased and concurrently retired 5,550,892 and 7,823,241 shares of ASO, Inc. common stock for an aggregate amount of $200.1 million and $288.6 million, respectively, pursuant to the Share Repurchase Programs. During the thirteen and twenty-six weeks ended July 31, 2021, we repurchased and concurrently retired 3,229,974 shares of ASO, Inc. common stock for an aggregate amount of $100.0 million pursuant to the May 2021 Secondary Offering. As of July 30, 2022, approximately $500.2 million remained available for share repurchases pursuant to the Share Repurchase Programs.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adoption of this guidance is effective for all entities as of March 12, 2020 through December 31, 2022. The Company is currently evaluating the expedients and exceptions provided by this amendment as it relates to our transition from LIBOR to another reference rate to determine the impact.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0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0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09"/>
        </w:trPr>
        <w:tc>
          <w:tcPr>
            <w:tcW w:w="408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492,804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950,651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1,025,155</w:t>
            </w: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754,291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812,905</w:t>
            </w: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869,245</w:t>
            </w: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625,686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647,734</w:t>
            </w:r>
          </w:p>
        </w:tc>
      </w:tr>
      <w:tr>
        <w:trPr>
          <w:trHeight w:val="223"/>
        </w:trPr>
        <w:tc>
          <w:tcPr>
            <w:tcW w:w="408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1,679,335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3,136,738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3,355,039</w:t>
            </w: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23"/>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1,686,915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1,791,530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3,154,645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3,371,863</w:t>
            </w:r>
          </w:p>
        </w:tc>
      </w:tr>
      <w:tr>
        <w:trPr>
          <w:trHeight w:val="21"/>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420" w:hanging="168"/>
        <w:spacing w:after="0" w:line="239" w:lineRule="auto"/>
        <w:tabs>
          <w:tab w:leader="none" w:pos="464"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July 31, 2021 for comparability purposes. This reclassification is in divisional presentation only and did not impact the overall net sales balances previously disclosed (see Note 2).</w:t>
      </w:r>
    </w:p>
    <w:p>
      <w:pPr>
        <w:ind w:left="420" w:hanging="168"/>
        <w:spacing w:after="0" w:line="231" w:lineRule="auto"/>
        <w:tabs>
          <w:tab w:leader="none" w:pos="423"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E-commerce sales consisted of 10.0% and 9.8% of merchandise sales for the thirteen and twenty-six weeks ended July 30, 2022, respectively, and 8.4% and 7.9% for the thirteen and twenty-six weeks and July 31, 2021, respectively.</w:t>
      </w:r>
    </w:p>
    <w:p>
      <w:pPr>
        <w:ind w:left="420" w:hanging="168"/>
        <w:spacing w:after="0" w:line="219" w:lineRule="auto"/>
        <w:tabs>
          <w:tab w:leader="none" w:pos="456"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0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3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74,253</w:t>
            </w:r>
          </w:p>
        </w:tc>
      </w:tr>
      <w:tr>
        <w:trPr>
          <w:trHeight w:val="223"/>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43,926</w:t>
            </w:r>
          </w:p>
        </w:tc>
      </w:tr>
      <w:tr>
        <w:trPr>
          <w:trHeight w:val="23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(55,743)</w:t>
            </w:r>
          </w:p>
        </w:tc>
      </w:tr>
      <w:tr>
        <w:trPr>
          <w:trHeight w:val="230"/>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40" w:type="dxa"/>
            <w:vAlign w:val="bottom"/>
          </w:tcPr>
          <w:p>
            <w:pPr>
              <w:spacing w:after="0"/>
              <w:rPr>
                <w:sz w:val="22"/>
                <w:szCs w:val="22"/>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November 2025</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699,250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683,065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684,103</w:t>
            </w: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Deferred loan costs are related to the Term Loan and Notes.</w:t>
      </w:r>
    </w:p>
    <w:p>
      <w:pPr>
        <w:spacing w:after="0" w:line="117"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As of July 30, 2022, January 29, 2022 and July 31, 2021, the balance in deferred loan costs related to the ABL Facility (as defined below) was approximately $3.8 million, $4.3 million and $4.9 million, respectively, and was included in other noncurrent assets on our consolidated balance sheets. Total amortization of deferred loan costs was $0.6 million and $1.3 million for the thirteen and twenty-six weeks ended July 30, 2022, respectively, and $0.7 million and $1.4 million for the thirteen and twenty-six weeks ended July 31, 2021, respectively. Total expenses related to accretion of original issuance discount were $0.1 million and $0.2 million for the thirteen and twenty-six weeks ended July 30, 2022, respectively, and $0.2 million and $0.3 million for the thirteen and twenty-six weeks ended and July 31, 2021, respectively. The expenses related to amortization of deferred loan costs and accretion of original issuance discount are included in interest expense, net on the consolidated statements of income.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Term Loan and the Amendment collectively as the "Term Loan".</w:t>
      </w:r>
    </w:p>
    <w:p>
      <w:pPr>
        <w:spacing w:after="0" w:line="171"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were required through September 30, 2027, with the balance due in full on the maturity date of November 6, 2027.</w:t>
      </w:r>
    </w:p>
    <w:p>
      <w:pPr>
        <w:spacing w:after="0" w:line="133"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 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Quarterly principal payments of $750.0 thousand are required through September 30, 2027 and borrowings under the Amended Credit Agreement will continue to mature on November 6, 2027. All other material terms and provisions of the 2020 Term Loan remain substantially the same as the terms and provisions in place immediately prior to the effectiveness of the Amendment. As of July 30, 2022, the weighted average interest rate was 5.46%, with interest payable monthly. The terms and conditions of the Amendment also require that the outstanding balance under the Term Loan is prepaid under certain circumstances. As of July 30, 2022, no prepayment was due under the terms and conditions of the Term Loan.</w:t>
      </w:r>
    </w:p>
    <w:p>
      <w:pPr>
        <w:spacing w:after="0" w:line="136"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the Company recognized a non-cash loss on early retirement of debt of $2.2 million in the thirteen and twenty-six weeks ended July 31, 2021 from the write-off of deferred loan costs and expense related to the original issuance discount associated with our 2020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amended the previously existing secured asset-based revolving credit facility by entering into an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"ABL Facility").</w:t>
      </w:r>
    </w:p>
    <w:p>
      <w:pPr>
        <w:spacing w:after="0" w:line="12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July 30, 2022, we had outstanding letters of credit of approximately $19.7 million, all of which were issued under the ABL Facility, and we had no borrowings outstanding under the ABL Facility, leaving the available borrowing capacity under the ABL Facility of $980.3 million.</w:t>
      </w:r>
    </w:p>
    <w:p>
      <w:pPr>
        <w:spacing w:after="0" w:line="12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July 30, 2022, no future prepayments of outstanding loans have been triggered under the terms and conditions of the ABL Facility.</w:t>
      </w:r>
    </w:p>
    <w:p>
      <w:pPr>
        <w:spacing w:after="0" w:line="125" w:lineRule="exact"/>
        <w:rPr>
          <w:sz w:val="20"/>
          <w:szCs w:val="20"/>
          <w:color w:val="auto"/>
        </w:rPr>
      </w:pPr>
    </w:p>
    <w:p>
      <w:pPr>
        <w:jc w:val="both"/>
        <w:ind w:left="2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July 30,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used interest rate swap agreements to hedge market risk relating to possible adverse changes in interest rates. All interest rate swaps had been designated as cash flow hedges of variable rate interest payments on borrowings under the Term Loan. As of July 30, 2022, we do not have any derivative financial instruments outstanding.</w:t>
      </w:r>
    </w:p>
    <w:p>
      <w:pPr>
        <w:spacing w:after="0" w:line="122" w:lineRule="exact"/>
        <w:rPr>
          <w:sz w:val="20"/>
          <w:szCs w:val="20"/>
          <w:color w:val="auto"/>
        </w:rPr>
      </w:pPr>
    </w:p>
    <w:p>
      <w:pPr>
        <w:jc w:val="both"/>
        <w:ind w:left="260" w:right="20" w:firstLine="324"/>
        <w:spacing w:after="0" w:line="266" w:lineRule="auto"/>
        <w:rPr>
          <w:sz w:val="20"/>
          <w:szCs w:val="20"/>
          <w:color w:val="auto"/>
        </w:rPr>
      </w:pPr>
      <w:r>
        <w:rPr>
          <w:rFonts w:ascii="Times New Roman" w:cs="Times New Roman" w:eastAsia="Times New Roman" w:hAnsi="Times New Roman"/>
          <w:sz w:val="18"/>
          <w:szCs w:val="18"/>
          <w:color w:val="auto"/>
        </w:rPr>
        <w:t>For derivatives which were designated as hedging instruments, amounts included in Accumulated Other Comprehensive Income (Loss) ("AOCI") were reclassified to interest expense in the same period during which the hedged transaction affected earnings, which was as interest expense was recorded on the underlying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1" w:right="339" w:bottom="1440" w:gutter="0" w:footer="0" w:header="0"/>
        </w:sectPr>
      </w:pPr>
    </w:p>
    <w:bookmarkStart w:id="14" w:name="page15"/>
    <w:bookmarkEnd w:id="14"/>
    <w:p>
      <w:pPr>
        <w:jc w:val="both"/>
        <w:ind w:left="260" w:right="20" w:firstLine="324"/>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were deferred into AOCI and subsequently reclassified into expense are as follows (amounts in thousands):</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34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06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beginning</w:t>
            </w: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(3,324)</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 to interest expense (net of tax impact of</w:t>
            </w: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$163 and $433 in the thirteen and twenty-six</w:t>
            </w:r>
          </w:p>
        </w:tc>
        <w:tc>
          <w:tcPr>
            <w:tcW w:w="1300" w:type="dxa"/>
            <w:vAlign w:val="bottom"/>
          </w:tcPr>
          <w:p>
            <w:pPr>
              <w:spacing w:after="0"/>
              <w:rPr>
                <w:sz w:val="16"/>
                <w:szCs w:val="16"/>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weeks ended July 31, 2021, respectively)</w:t>
            </w:r>
          </w:p>
        </w:tc>
        <w:tc>
          <w:tcPr>
            <w:tcW w:w="1300" w:type="dxa"/>
            <w:vAlign w:val="bottom"/>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1,462</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ending</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(1,862)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July 30, 2022, January 29, 2022 and July 31, 2021, we held $321.4 million, $401.0 million and $383.0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July 30, 2022, January 29, 2022, and July 31, 2021 the estimated fair value of the Term Loan and Notes was $0.7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70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4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40" w:type="dxa"/>
            <w:vAlign w:val="bottom"/>
          </w:tcPr>
          <w:p>
            <w:pPr>
              <w:spacing w:after="0"/>
              <w:rPr>
                <w:sz w:val="22"/>
                <w:szCs w:val="22"/>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448,275</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616,402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581,452</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325,373</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21,846</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1,466,745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1,380,644</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(1,116,117)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(1,017,860)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350,628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362,784</w:t>
            </w: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$26.3 million and $51.9 million, respectively, in the thirteen and twenty-six weeks ended July 30, 2022, and $26.0 million and $51.3 million in the thirteen and twenty-six weeks ended July 31, 2021, respectively, and is included in selling, general and administrative expenses on the consolidated statements of income.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4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60" w:type="dxa"/>
            <w:vAlign w:val="bottom"/>
          </w:tcPr>
          <w:p>
            <w:pPr>
              <w:spacing w:after="0"/>
              <w:rPr>
                <w:sz w:val="22"/>
                <w:szCs w:val="22"/>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260" w:type="dxa"/>
            <w:vAlign w:val="bottom"/>
          </w:tcPr>
          <w:p>
            <w:pPr>
              <w:spacing w:after="0"/>
              <w:rPr>
                <w:sz w:val="19"/>
                <w:szCs w:val="19"/>
                <w:color w:val="auto"/>
              </w:rPr>
            </w:pPr>
          </w:p>
        </w:tc>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83,406</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26,461</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w:t>
            </w:r>
          </w:p>
        </w:tc>
      </w:tr>
      <w:tr>
        <w:trPr>
          <w:trHeight w:val="230"/>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64,492</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36,451</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30"/>
        </w:trPr>
        <w:tc>
          <w:tcPr>
            <w:tcW w:w="260" w:type="dxa"/>
            <w:vAlign w:val="bottom"/>
          </w:tcPr>
          <w:p>
            <w:pPr>
              <w:spacing w:after="0"/>
              <w:rPr>
                <w:sz w:val="19"/>
                <w:szCs w:val="19"/>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25,588</w:t>
            </w:r>
          </w:p>
        </w:tc>
      </w:tr>
      <w:tr>
        <w:trPr>
          <w:trHeight w:val="248"/>
        </w:trPr>
        <w:tc>
          <w:tcPr>
            <w:tcW w:w="2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277,157</w:t>
            </w:r>
          </w:p>
        </w:tc>
      </w:tr>
      <w:tr>
        <w:trPr>
          <w:trHeight w:val="20"/>
        </w:trPr>
        <w:tc>
          <w:tcPr>
            <w:tcW w:w="26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As of July 30, 2022, there were 2,403,311 shares that were authorized and available for future issuance under the 2020 Omnibus Incentive Plan.</w:t>
      </w:r>
    </w:p>
    <w:p>
      <w:pPr>
        <w:spacing w:after="0" w:line="134"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under the ESPP and as of July 30, 2022, there were 1,792,945 shares authorized and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6" w:name="page17"/>
    <w:bookmarkEnd w:id="1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compensation expense was $6.2 million and $9.7 million for the thirteen and twenty-six weeks ended July 30, 2022, respectively. Equity compensation expense was $27.3 million and $33.2 million for the thirteen and twenty-six weeks ended July 31, 2021, respectively, which includes approximately $24.9 million in non-cash expenses related to the 2021 Vesting Event which occurred during the 2021 second quarter. These costs are included in selling, general and administrative expenses in the consolidated statements of income.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2020, New Academy Holding Company, LLC, the parent holding company for our operations prior to our initial public offering, paid a $257.0 million distribution to its members of record as of August 25, 2020. Cash payments ("Share-Based Award Payments") of $32.2 million for unvested Awards were paid upon vesting of such Awards, which was completed and paid in-full as of July 31, 2021.</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 Option Fair Value Assumptions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granted was estimated using a Black-Scholes option-pricing model. The expected lives of the Service Options granted were based on the "SEC simplified" method.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calculated based on the most recent annualized quarterly dividend and the valuation date closing stock price. The assumptions used to calculate the fair value of Awards granted are evaluated and modified, as necessary, to reflect current market conditions and experience.</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granted in the twenty-six weeks ended July 30,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to 43.2%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to 3.0%</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twenty-six weeks ended July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813,922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169,393</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July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18,629,407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14,042,372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6,754,216</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20" w:type="dxa"/>
            <w:vAlign w:val="bottom"/>
          </w:tcPr>
          <w:p>
            <w:pPr>
              <w:spacing w:after="0"/>
              <w:rPr>
                <w:sz w:val="20"/>
                <w:szCs w:val="20"/>
                <w:color w:val="auto"/>
              </w:rPr>
            </w:pPr>
          </w:p>
        </w:tc>
        <w:tc>
          <w:tcPr>
            <w:tcW w:w="31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368,306</w:t>
            </w:r>
          </w:p>
        </w:tc>
        <w:tc>
          <w:tcPr>
            <w:tcW w:w="0" w:type="dxa"/>
            <w:vAlign w:val="bottom"/>
          </w:tcPr>
          <w:p>
            <w:pPr>
              <w:spacing w:after="0"/>
              <w:rPr>
                <w:sz w:val="1"/>
                <w:szCs w:val="1"/>
                <w:color w:val="auto"/>
              </w:rPr>
            </w:pPr>
          </w:p>
        </w:tc>
      </w:tr>
      <w:tr>
        <w:trPr>
          <w:trHeight w:val="88"/>
        </w:trPr>
        <w:tc>
          <w:tcPr>
            <w:tcW w:w="3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92,357</w:t>
            </w: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2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Liquidity Event Restricted Units</w:t>
            </w:r>
          </w:p>
        </w:tc>
        <w:tc>
          <w:tcPr>
            <w:tcW w:w="2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Unit Options and</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Stock Options</w:t>
            </w:r>
          </w:p>
        </w:tc>
        <w:tc>
          <w:tcPr>
            <w:tcW w:w="2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8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84,906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86,792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96,391</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08"/>
        </w:trPr>
        <w:tc>
          <w:tcPr>
            <w:tcW w:w="3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2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January 27, 2021 and May 5, 2021, in connection with the Secondary Offering and May 2021 Secondary Offering, respectively, the Company entered into two separate underwriting agreements with affiliates of KKR (as selling stockholders), the several other selling stockholders named therein, and the several underwriters named therein, including KCM (as underwriter). The Secondary Offering and May 2021 Secondary Offering were completed on February 1, 2021 and May 10, 2021, respectively. The Company did not pay KCM any fees in connection with these secondary offerings.</w:t>
      </w:r>
    </w:p>
    <w:p>
      <w:pPr>
        <w:spacing w:after="0" w:line="210"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May 2021 Secondary Offering, we repurchased 3,229,974 shares of ASO, Inc. common stock at $30.96 per share for approximately $100.0 million, which were immediately retired by the Company (see Note 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Freight, Technology Related and Other Commitments</w:t>
      </w:r>
    </w:p>
    <w:p>
      <w:pPr>
        <w:spacing w:after="0" w:line="175"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July 30, 2022, we have obligations under freight, technology-related, construction and other contractual commitments in the amount of $74.8 million. Of such commitments, approximately $42.5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July 30, 2022, we have $17.9 million in related commitments through 2027, of which $5.8 million is payable in the next 12 months.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July 30, 2022 through September 7, 2022, the issuance date of the consolidated financial statements, and identified the following matter to report:</w:t>
      </w:r>
    </w:p>
    <w:p>
      <w:pPr>
        <w:spacing w:after="0" w:line="10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September 1, 2022, the Company's Board of Directors declared a quarterly cash dividend with respect to the fiscal quarter ended July 30, 2022, of $0.075 per share of the Company's common stock, payable on October 13, 2022, to stockholders of record as of the close of business on September 15,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29, 2022 (the "Annual Report"), as filed with the Securities and Exchange Commission (the "SEC") on March 29, 2022, and in this Quarterly Report, as such risk factors have been updated from time to time in our periodic filings with the SEC, and are accessible on the SEC's website at www.sec.gov.</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7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the communities we 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 costs and availability;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costs, risks, and additional regulations and requirements as a result of becoming a public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effective internal controls;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may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negative coverage by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and designate shares of preferred stock without stockholder approval;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twenty-six weeks ended July 30, 2022 and our audited financial statements for the fiscal year ended January 29, 2022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"2022 second quarter," or similar reference refers to the thirteen week period ended July 30, 2022, and any reference to the "prior year quarter," "2021 second quarter" or similar reference refers to the thirteen week period ended July 31, 2021. Any reference in this Quarterly Report to "current year-to-date," "year-to-date 2022" or similar reference represents the twenty-six week period ended July 30, 2022, and any reference in this Quarterly Report to the "prior year-to-date," "year-to-date 2021" or similar reference refers to the twenty-six week period ended July 31, 2021. Unless otherwise specified, all comparisons regarding the current period of 2022 are made to the corresponding period of 2021.</w:t>
      </w:r>
    </w:p>
    <w:p>
      <w:pPr>
        <w:spacing w:after="0" w:line="21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All statements in this Quarterly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30%, 26%, 24% and 20% of our year-to-date 2022 net sales, respectively) through both leading national brands and a portfolio of owned brands and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July 30, 2022, we operated 261 stores that range in size from approximately 40,000 to 130,000 gross square feet, with an average size of approximately 70,000 gross square feet, throughout 16 contiguous states located primarily in the southern United States. Our stores are supported by approximately 22,000 team members, three distribution centers, and our rapidly growing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08"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Twenty-Six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July 30, 2022</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seen a significant comparable store sales increase in recent full year results from (0.7)% in 2019 to 16.1% and 18.9% in 2020 and 2021, respectively. However, we experienced a decrease in comparable sales of (6.7)% for the year-to-date 2022 as compared to an increase in the year-to-date 2021 of 22.8%. The large year-to-date 2021 comparable sales were impacted by changing economic conditions including U.S. government stimulus packages, which had a positive impact on sales in the year-to-date 2021 and a negative impact to comparable sales for the year-to-date 2022. See the discussion on Net Sales below for some contributing factors to these changes.</w:t>
      </w:r>
    </w:p>
    <w:p>
      <w:pPr>
        <w:spacing w:after="0" w:line="1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anticipate that the increased popularity of isolated recreation, outdoor and leisure activity products brought on by customer demand during the COVID-19 pandemic will continue and will result in a long-term increase to our customer base. Additionally, we have benefited from recent shifting of customer spend towards in-home health and wellness and dedicating more time to memory-making experiences.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and we expect that it will continue to be a driver of growth in our net sales and gross margin. We continue to invest in initiatives that will increase traffic to our e-commerce platform, which includes our website and mobile app, and drive increased online sales conversion.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which, together with recent enhancements made to our website and omnichannel capabilities, contributed to the increase in e-commerce sales during 2021 and in the year-to-date 2022. During the year-to-date 2022,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significant investments by us.</w:t>
      </w:r>
    </w:p>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Our results of operations have been and will continue to be materially affected by the timing and number of new store openings. We are continually assessing the number of locations available that could accommodate our preferred size of stores in markets we would consider, and we expect to open at least nine new stores in 2022. Additionally, we intend to open a significant number of new stores over the next five years. Most of our stores achieve profitability within the first twelve months of opening. We believe our real estate strategy has positioned us well for further expansion.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These costs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jc w:val="both"/>
        <w:ind w:firstLine="324"/>
        <w:spacing w:after="0"/>
        <w:rPr>
          <w:sz w:val="20"/>
          <w:szCs w:val="20"/>
          <w:color w:val="auto"/>
        </w:rPr>
      </w:pPr>
      <w:r>
        <w:rPr>
          <w:rFonts w:ascii="Times New Roman" w:cs="Times New Roman" w:eastAsia="Times New Roman" w:hAnsi="Times New Roman"/>
          <w:sz w:val="18"/>
          <w:szCs w:val="18"/>
          <w:color w:val="auto"/>
        </w:rPr>
        <w:t>For the past several quarters, we have seen increased competition across the industry for resources throughout the supply chain, which has resulted in disruptions to the flow of products from our vendors, labor shortages, reduced shipping container availability, and longer delays at the port. As a result, we have begun to experience a period of decreased or delayed supply and high inflationary levels. These factors have negatively impacted transportation and inventory costs, as we continue to pay higher prices to maintain our inventory levels. Under the LIFO method, our cost of sales reflects the costs of the most recently purchased inventories. A prolonged continuation of high inflationary levels of inventory and related transportation costs could result in LIFO charges that have a negative impact on our gross margin. To help mitigate these constraints and potential disruptions to our supply chain, we continue to work with our partners by ordering merchandise earlier, securing transportation capacity, and utilizing different ports of entry.</w:t>
      </w:r>
    </w:p>
    <w:p>
      <w:pPr>
        <w:spacing w:after="0" w:line="1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As sales increase at a higher rate than our SG&amp;A, this results in sales leverage and a higher sales flow through to net income, which we have experienced in recent years with SG&amp;A expenses as a percentage of sales declining from 25.9% to 23.1% to 21.3% for the full years of 2019, 2020 and 2021, respectively. SG&amp;A expenses as a percentage of sales decreased from 21.1% in the prior year-to-date compared to 20.8% in the current year-to-date.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spacing w:after="0" w:line="121"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 In November of 2020, we refinanced our debt resulting in an approximate $630 million reduction in our overall debt outstanding. Subsequently, in May of 2021 we entered into an amendment to our Term Loan which reduced the applicable margin on our LIBOR rate by 1.25% and paid down $99 million. These actions have resulted in interest expense reductions in the full year 2021 and in the thirteen and twenty-six weeks ended July 30, 2022.</w:t>
      </w:r>
    </w:p>
    <w:p>
      <w:pPr>
        <w:spacing w:after="0" w:line="14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COVID-19 pandemic continues to affect our business, as well as our customers, team members and suppliers. Governmental authority safety recommendations and requirements such as stay at home orders and business closures aimed at mitigating the spread of the virus, both in the U.S. and internationally, have contributed to the recent supply chain disruptions. These disruptions have resulted in decreased transportation, goods and labor availability and increased inflationary levels. Additionally, the U.S. government released stimulus packages throughout 2020 and 2021 as a result of the economic situation caused by the pandemic, which had a positive impact on sales during those periods.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including whether there are additional periods of increases or spikes in the number of COVID-19 cases, further mutations or related strains of the virus (or even the threat or perception that this could occur), within the markets in which we operate and from which we and our suppliers source products and materials and the related impact on consumer confidence and spending, labor supply or product supply, all of which are highly uncertain. We continue to monitor the evolving situation. See the section of the Annual Report entitled "Risk Factors—Risks Related to Our Business—The impact of COVID-19 may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July 30, 2022 Compared to Thirteen Weeks Ended July 31, 2021</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2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4"/>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1,686,915</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1,791,530</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1,090,852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1,149,034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596,063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339,329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387,938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96.1 %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58,217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48"/>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*Percentages in table may not sum properly due to rounding.</w:t>
      </w:r>
    </w:p>
    <w:p>
      <w:pPr>
        <w:spacing w:after="0" w:line="200" w:lineRule="exact"/>
        <w:rPr>
          <w:sz w:val="20"/>
          <w:szCs w:val="20"/>
          <w:color w:val="auto"/>
        </w:rPr>
      </w:pPr>
    </w:p>
    <w:p>
      <w:pPr>
        <w:spacing w:after="0" w:line="2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$104.6 million, or 5.8%, in the 2022 second quarter over the prior year second quarter as a result of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of 6.0%, which were partially offset by increased sales from the addition of one new store during the period.</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decrease of 6.0% in comparable sales was driven by lower sales across all merchandise divisions as a result of fewer transactions partially offset by an increase in average ticket. The outdoor merchandise division had declines in shooting sports and fishing, partially offset by an increase in the camping category. The apparel division experienced declining sales largely due to athletic apparel. The footwear division decreased due to lower sales in athletic footwear, casual and seasonal footwear, and work footwear, partially offset by increases in youth footwear. The sports and recreation division sales were lower, primarily driven by fitness and recreation as these divisions were particularly impacted by increased prior year isolated recreation demands brought on by the COVID-19 pandemic, especially in categories such as fitness equipment, outdoor cooking, bikes and outdoor games. These decreases in the current year were partially offset by increased sales in team sports, including football, golf and basketball.</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increased $18.1 million, or 12.1%, in the 2022 second quarter compared to the prior year second quarter and represented 10.0% of merchandise sales for the 2022 second quarter compared to 8.4% for the prior year second quarter.</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$46.4 million, or 7.2%, to $596.1 million in the 2022 second quarter from $642.5 million in the 2021 second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decreased 0.6% from 35.9% in the 2021 second quarter to 35.3% in the 2022 second quarter. The decrease of 60 basis points in gross margin is primarily attributable to:</w:t>
      </w:r>
    </w:p>
    <w:p>
      <w:pPr>
        <w:spacing w:after="0" w:line="121" w:lineRule="exact"/>
        <w:rPr>
          <w:sz w:val="20"/>
          <w:szCs w:val="20"/>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basis points of unfavorability in inventory overhead expenditures as a result of higher expense absorption rates from lower inventory turnover rates;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points of unfavorability in e-commerce shipping costs due to increased e-commerce sales during the 2022 second quarter;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basis points of unfavorability in import freight and duties as result of increased costs of ocean freight;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basis points of favorability in merchandise margins driven by higher average unit retails.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$48.6 million to $339.3 million in the 2022 second quarter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$387.9 million in the 2021 second quarter. As a percentage of net sales, SG&amp;A expenses were down 1.6% to 20.1% in the 2022 second quarter compared to 21.7% in the 2021 second quarter. The decrease of 160 basis points in SG&amp;A is primarily attributable to:</w:t>
      </w:r>
    </w:p>
    <w:p>
      <w:pPr>
        <w:spacing w:after="0" w:line="121"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 basis point decrease in employee costs, primarily driven by increased equity compensation expense in the prior year quarter resulting from the "2021 Vesting Event" (see Note 1 to the accompanying financial statements) and lower incentive compensation expense in the current year quarter; partially offset by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basis point increase in property and facility fees as a result of a deleverage of fixed costs from decreased sales.</w:t>
      </w: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$1.0 million, or 8.2%, in the 2022 second quarter when compared with the 2021 second quarter,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 lower outstanding balance and a reduction in interest rates on our long-term debt as a result of the repricing of our Term Loan which occurred in May 2021.</w:t>
      </w:r>
    </w:p>
    <w:p>
      <w:pPr>
        <w:spacing w:after="0" w:line="19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Early Retirement of Debt. </w:t>
      </w:r>
      <w:r>
        <w:rPr>
          <w:rFonts w:ascii="Times New Roman" w:cs="Times New Roman" w:eastAsia="Times New Roman" w:hAnsi="Times New Roman"/>
          <w:sz w:val="18"/>
          <w:szCs w:val="18"/>
          <w:color w:val="auto"/>
        </w:rPr>
        <w:t>Loss on early retirement of debt decreased $2.2 million in the 2022 second quarter when compared to the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quarter. During the second quarter of 2021, we repriced our Term Loan, which resulted in a loss on early retirement of debt of $2.2 million.</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$0.7 million or 96.1% in the 2022 second quarter when compared with the 2021 second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driven by favorable interest rate movement on money market investments in the current year.</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$7.8 million to $58.2 million for the 2022 second quarter as compared to $50.4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second quarter, resulting primarily from an increase in income before income taxes in the current year combined with a higher effective tax rate. ASO, Inc.’s effective tax rate was 23.5% compared to 20.9% in the 2021 second quarter. The change in effective tax rate was primarily driven by a prior year benefit from tax deductions related to the vesting or exercise of several equity compensation awards during the 2021 second quarter.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July 30, 2022 Compared to Twenty-Six Weeks Ended July 31, 2021</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3,154,645</w:t>
            </w: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3,371,863</w:t>
            </w: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2,037,158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1,117,487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655,260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712,565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462,227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88.9 %</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442,288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103,681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*Percentages in table may not sum properly due to rounding.</w:t>
      </w:r>
    </w:p>
    <w:p>
      <w:pPr>
        <w:spacing w:after="0" w:line="21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$217.2 million, or 6.4%, for the year-to-date 2022 compared to the year-to-date 2021 as a result of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of 6.7% which were partially offset by increased sales from the addition of two new stores during the period.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decrease of 6.7% in comparable sales was driven by lower sales across all merchandise divisions as a result of fewer transactions partially offset by an increase in average ticket. The higher comparable sales in the prior year quarter were partially due to stimulus payments issued by the U.S. government during the 2021 first quarter. The outdoor merchandise division had declines in shooting sports and fishing, partially offset by an increase in the camping category. The apparel division experienced declining sales largely due to athletic apparel, youth apparel, and outdoor and seasonal apparel, which were partially offset by increased sales in licensed apparel. The sports and recreation division sales were lower, primarily driven by recreation and fitness as these divisions were particularly impacted by increased prior year isolated recreation demands brought on by the COVID-19 pandemic, especially in categories such as fitness equipment, outdoor games and bikes. These decreases in the current year were partially offset by increased sales in team sports, including basketball, football, golf and baseball. The footwear division decreased due to lower sales in the athletic category, casual and seasonal category, and work category, partially offset by increases in the youth category.</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increased $40.0 million, or 15.0%, in the year-to-date 2022 compared to the year-to-date 2021 and represented 9.8% of merchandise sales in the current year-to-date compared to 7.9% in the prior year-to-date.</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$88.7 million, or 7.4%, to $1,117.5 million for the year-to-date 2022 from $1,206.2 million for the year-to-date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As a percentage of net sales, gross margin decreased 0.4% from 35.8% in the prior year-to-date to 35.4% in the current year-to-date. The decrease of 40 basis points in gross margin is primarily attributable to:</w:t>
      </w:r>
    </w:p>
    <w:p>
      <w:pPr>
        <w:spacing w:after="0" w:line="121" w:lineRule="exact"/>
        <w:rPr>
          <w:sz w:val="20"/>
          <w:szCs w:val="20"/>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basis points of unfavorability in inventory overhead expenditures as a result of higher expense absorption rates from lower inventory turnover rates;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points of unfavorability in e-commerce shipping costs due to an increase in e-commerce sales during the 2022 year-to-date;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basis points of favorability related to merchandise margins driven by higher average unit retails.</w:t>
      </w: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$57.3 million, or 8.0%, to $655.3 million for the year-to-date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$712.6 million for the year-to-date 2021. As a percentage of net sales, SG&amp;A expenses were down 0.3% to 20.8% in the current year-to-date 2022 compared to 21.1% in the prior year-to-date. The decrease of 30 basis points in SG&amp;A is primarily attributable to:</w:t>
      </w:r>
    </w:p>
    <w:p>
      <w:pPr>
        <w:spacing w:after="0" w:line="121" w:lineRule="exact"/>
        <w:rPr>
          <w:sz w:val="20"/>
          <w:szCs w:val="20"/>
          <w:color w:val="auto"/>
        </w:rPr>
      </w:pPr>
    </w:p>
    <w:p>
      <w:pPr>
        <w:ind w:left="660" w:right="3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basis point decrease in employee costs, driven by increased equity compensation expense in the prior year resulting from the 2021 Vesting Event and lower incentive compensation expense in the current year;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basis point increase in property and facility fees as a result of a deleverage of fixed costs from decreased sales.</w:t>
      </w: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$4.6 million, or 17.3%, for the year-to-date 2022 when compared to the year-to-date 2021, resulting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lower outstanding balance and a reduction in interest rates on our long-term debt as a result of the repricing of our Term Loan which occurred in May 2021.</w:t>
      </w:r>
    </w:p>
    <w:p>
      <w:pPr>
        <w:spacing w:after="0" w:line="19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Early Retirement of Debt. </w:t>
      </w:r>
      <w:r>
        <w:rPr>
          <w:rFonts w:ascii="Times New Roman" w:cs="Times New Roman" w:eastAsia="Times New Roman" w:hAnsi="Times New Roman"/>
          <w:sz w:val="18"/>
          <w:szCs w:val="18"/>
          <w:color w:val="auto"/>
        </w:rPr>
        <w:t>Loss on early retirement of debt decreased $2.2 million for the year-to-date 2022 when compared to the year-to-date 2021. During the second quarter of 2021, we repriced our Term Loan, which resulted in a loss on early retirement of debt of $2.2 million.</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$1.0 million, or 88.9%, in the year-to-date 2022 when compared to the year-to-date 2021,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favorable interest rate movement on money market investments in the current year.</w:t>
      </w:r>
    </w:p>
    <w:p>
      <w:pPr>
        <w:spacing w:after="0" w:line="16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$6.2 million to $103.7 million for the year-to-date 2022 as compared to $97.5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year-to-date 2021, resulting primarily from an increased effective tax rate. ASO, Inc.’s effective tax rate for the year-to-date 2022 was 23.5% compared to</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20.9% in the year-to-date 2021. The change in effective tax rate was primarily driven by a prior year benefit from tax deductions related to the vesting or exercise of several equity compensation awards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We define Adjusted EBIT as net income (loss) before interest expense, net, and income tax expense, further adjusted to exclude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We describe these adjustments reconciling net income (loss) to Adjusted EBITDA and to Adjusted EBIT in the applicable table below. We define Adjusted Net Income as net income (loss), plus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5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26,706</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51,308</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expenses (b)</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taxes associated with the 2021 Vesting Event (c)</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292,471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324,416</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528,700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595,409</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(51,308)</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266,197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298,406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476,848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544,101</w:t>
            </w:r>
          </w:p>
        </w:tc>
      </w:tr>
      <w:tr>
        <w:trPr>
          <w:trHeight w:val="21"/>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40" w:right="20" w:hanging="514"/>
        <w:spacing w:after="0" w:line="237"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9" w:lineRule="exact"/>
        <w:rPr>
          <w:rFonts w:ascii="Times New Roman" w:cs="Times New Roman" w:eastAsia="Times New Roman" w:hAnsi="Times New Roman"/>
          <w:sz w:val="18"/>
          <w:szCs w:val="18"/>
          <w:color w:val="auto"/>
        </w:rPr>
      </w:pPr>
    </w:p>
    <w:p>
      <w:pPr>
        <w:ind w:left="540" w:right="20" w:hanging="514"/>
        <w:spacing w:after="0" w:line="237"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9" w:lineRule="exact"/>
        <w:rPr>
          <w:rFonts w:ascii="Times New Roman" w:cs="Times New Roman" w:eastAsia="Times New Roman" w:hAnsi="Times New Roman"/>
          <w:sz w:val="18"/>
          <w:szCs w:val="18"/>
          <w:color w:val="auto"/>
        </w:rPr>
      </w:pPr>
    </w:p>
    <w:p>
      <w:pPr>
        <w:ind w:left="540" w:hanging="51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expenses related to taxes on equity-based compensation resulting from the 2021 Vesting Event.</w:t>
      </w:r>
    </w:p>
    <w:p>
      <w:pPr>
        <w:spacing w:after="0" w:line="27" w:lineRule="exact"/>
        <w:rPr>
          <w:rFonts w:ascii="Times New Roman" w:cs="Times New Roman" w:eastAsia="Times New Roman" w:hAnsi="Times New Roman"/>
          <w:sz w:val="18"/>
          <w:szCs w:val="18"/>
          <w:color w:val="auto"/>
        </w:rPr>
      </w:pPr>
    </w:p>
    <w:p>
      <w:pPr>
        <w:jc w:val="both"/>
        <w:ind w:left="540" w:right="20" w:hanging="514"/>
        <w:spacing w:after="0" w:line="229"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EBIT)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5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368,306</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33,205</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(b)</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associated with the 2021 Vesting Event (c)</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194,936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348,163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407,081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92,357</w:t>
            </w:r>
          </w:p>
        </w:tc>
      </w:tr>
      <w:tr>
        <w:trPr>
          <w:trHeight w:val="22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96,391</w:t>
            </w:r>
          </w:p>
        </w:tc>
      </w:tr>
    </w:tbl>
    <w:p>
      <w:pPr>
        <w:spacing w:after="0" w:line="103" w:lineRule="exact"/>
        <w:rPr>
          <w:sz w:val="20"/>
          <w:szCs w:val="20"/>
          <w:color w:val="auto"/>
        </w:rPr>
      </w:pPr>
    </w:p>
    <w:p>
      <w:pPr>
        <w:ind w:left="520" w:right="40" w:hanging="494"/>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9" w:lineRule="exact"/>
        <w:rPr>
          <w:rFonts w:ascii="Times New Roman" w:cs="Times New Roman" w:eastAsia="Times New Roman" w:hAnsi="Times New Roman"/>
          <w:sz w:val="18"/>
          <w:szCs w:val="18"/>
          <w:color w:val="auto"/>
        </w:rPr>
      </w:pPr>
    </w:p>
    <w:p>
      <w:pPr>
        <w:ind w:left="520" w:right="40" w:hanging="494"/>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9" w:lineRule="exact"/>
        <w:rPr>
          <w:rFonts w:ascii="Times New Roman" w:cs="Times New Roman" w:eastAsia="Times New Roman" w:hAnsi="Times New Roman"/>
          <w:sz w:val="18"/>
          <w:szCs w:val="18"/>
          <w:color w:val="auto"/>
        </w:rPr>
      </w:pPr>
    </w:p>
    <w:p>
      <w:pPr>
        <w:ind w:left="520" w:hanging="494"/>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expenses related to taxes on equity-based compensation resulting from the 2021 Vesting Event.</w:t>
      </w:r>
    </w:p>
    <w:p>
      <w:pPr>
        <w:spacing w:after="0" w:line="27" w:lineRule="exact"/>
        <w:rPr>
          <w:rFonts w:ascii="Times New Roman" w:cs="Times New Roman" w:eastAsia="Times New Roman" w:hAnsi="Times New Roman"/>
          <w:sz w:val="18"/>
          <w:szCs w:val="18"/>
          <w:color w:val="auto"/>
        </w:rPr>
      </w:pPr>
    </w:p>
    <w:p>
      <w:pPr>
        <w:jc w:val="both"/>
        <w:ind w:left="520" w:right="40" w:hanging="494"/>
        <w:spacing w:after="0" w:line="229"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Net Income)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1" w:lineRule="exact"/>
        <w:rPr>
          <w:rFonts w:ascii="Times New Roman" w:cs="Times New Roman" w:eastAsia="Times New Roman" w:hAnsi="Times New Roman"/>
          <w:sz w:val="18"/>
          <w:szCs w:val="18"/>
          <w:color w:val="auto"/>
        </w:rPr>
      </w:pPr>
    </w:p>
    <w:p>
      <w:pPr>
        <w:ind w:left="520" w:right="60" w:hanging="494"/>
        <w:spacing w:after="0" w:line="23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thirteen and twenty-six weeks ended July 30, 2022 and July 31, 2021, this represents the estimated tax effect (by using the projected full year tax rates for the respective years) of the total adjustments made to arrive at Adjusted Net Income.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29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161,309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186,446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258,406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405,674</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(30,822)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(16,959)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(48,134)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(33,767)</w:t>
            </w:r>
          </w:p>
        </w:tc>
      </w:tr>
      <w:tr>
        <w:trPr>
          <w:trHeight w:val="248"/>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130,487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169,487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210,272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371,907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occasionally use cash to repurchase common stock. We fund these liquidity requirements through cash and cash equivalents, cash generated from operating activities, issuances of debt (such as the Notes) and borrowings under our ABL Facility. On July 30, 2022, our cash and cash equivalents totaled $399.9 million. We believe our cash and cash equivalents, as well as our availability under the ABL Facility, will be sufficient to fund our cash requirements for at least the next 12 months.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25, 2021, the Company entered into an Amendment No. 4 (the "Amendment") to the Second Amended and Restated Credit Agreement (as previously amended, the "Existing Credit Agreement") which (i) reduced the applicable margin on LIBOR borrowings under the Term Loan from 5.00% to 3.75% and (ii) utilized cash on hand to repay $99.0 million of outstanding borrowings under the Term Loan,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 (see Note 4 to the accompanying financial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current debt obligations by fiscal year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296,709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391,962</w:t>
            </w:r>
          </w:p>
        </w:tc>
      </w:tr>
      <w:tr>
        <w:trPr>
          <w:trHeight w:val="230"/>
        </w:trPr>
        <w:tc>
          <w:tcPr>
            <w:tcW w:w="3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60" w:type="dxa"/>
            <w:vAlign w:val="bottom"/>
          </w:tcPr>
          <w:p>
            <w:pPr>
              <w:spacing w:after="0"/>
              <w:rPr>
                <w:sz w:val="19"/>
                <w:szCs w:val="19"/>
                <w:color w:val="auto"/>
              </w:rPr>
            </w:pPr>
          </w:p>
        </w:tc>
        <w:tc>
          <w:tcPr>
            <w:tcW w:w="10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532,000</w:t>
            </w:r>
          </w:p>
        </w:tc>
      </w:tr>
      <w:tr>
        <w:trPr>
          <w:trHeight w:val="229"/>
        </w:trPr>
        <w:tc>
          <w:tcPr>
            <w:tcW w:w="3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r>
    </w:tbl>
    <w:p>
      <w:pPr>
        <w:spacing w:after="0" w:line="90" w:lineRule="exact"/>
        <w:rPr>
          <w:sz w:val="20"/>
          <w:szCs w:val="20"/>
          <w:color w:val="auto"/>
        </w:rPr>
      </w:pPr>
    </w:p>
    <w:p>
      <w:pPr>
        <w:ind w:left="20" w:right="120" w:firstLine="6"/>
        <w:spacing w:after="0" w:line="237" w:lineRule="auto"/>
        <w:tabs>
          <w:tab w:leader="none" w:pos="185"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Interest payments do not include amortization of discount and debt issuance costs and are approximated based on projected interest rates and assume no unscheduled principal payments.</w:t>
      </w:r>
    </w:p>
    <w:p>
      <w:pPr>
        <w:spacing w:after="0" w:line="1" w:lineRule="exact"/>
        <w:rPr>
          <w:rFonts w:ascii="Times New Roman" w:cs="Times New Roman" w:eastAsia="Times New Roman" w:hAnsi="Times New Roman"/>
          <w:sz w:val="20"/>
          <w:szCs w:val="20"/>
          <w:color w:val="auto"/>
          <w:vertAlign w:val="superscript"/>
        </w:rPr>
      </w:pPr>
    </w:p>
    <w:p>
      <w:pPr>
        <w:ind w:left="200" w:hanging="174"/>
        <w:spacing w:after="0" w:line="230" w:lineRule="auto"/>
        <w:tabs>
          <w:tab w:leader="none" w:pos="2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Assumes Notes are paid in full at maturity date.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Assumes a minimum revolving credit commitment of $1.0 billion and assumes no balances drawn on our ABL Facility.</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954,516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780,945</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0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80" w:type="dxa"/>
            <w:vAlign w:val="bottom"/>
          </w:tcPr>
          <w:p>
            <w:pPr>
              <w:spacing w:after="0"/>
              <w:rPr>
                <w:sz w:val="24"/>
                <w:szCs w:val="24"/>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store locations, distribution centers, office space and certain equipment under operating leases expiring between fiscal years 2022 and 2043. Operating lease obligations include future minimum lease payments under all of our non-cancelable operating leases at July 30, 2022. The following table summarizes our remaining operating lease obligations by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988,485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1,856,211</w:t>
            </w:r>
          </w:p>
        </w:tc>
      </w:tr>
    </w:tbl>
    <w:p>
      <w:pPr>
        <w:spacing w:after="0" w:line="71" w:lineRule="exact"/>
        <w:rPr>
          <w:sz w:val="20"/>
          <w:szCs w:val="20"/>
          <w:color w:val="auto"/>
        </w:rPr>
      </w:pPr>
    </w:p>
    <w:p>
      <w:pPr>
        <w:ind w:left="200" w:hanging="174"/>
        <w:spacing w:after="0"/>
        <w:tabs>
          <w:tab w:leader="none" w:pos="2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Minimum lease payments have not been reduced by sublease rentals of $0.8 million due in the future under non-cancelable sub-leases.</w:t>
      </w:r>
    </w:p>
    <w:p>
      <w:pPr>
        <w:spacing w:after="0" w:line="28"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balances include stores where we have an executed contract but have not taken possession of the location as of July 30, 2022.</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twenty-six weeks ended July 30, 2022, we opened two new locations. We intend to open at least nine stores in 2022.</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 As of July 30, 2022, $500.2 million remained available for share repurchases pursuant to the Share Repurchase Programs.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fiscal year ended January 29,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1"/>
        </w:trPr>
        <w:tc>
          <w:tcPr>
            <w:tcW w:w="5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4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Repurchased</w:t>
            </w: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31, 2021 to May 1, 2021)</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 Quarter (May 2, 2021 to July 31, 2021) </w:t>
            </w:r>
            <w:r>
              <w:rPr>
                <w:rFonts w:ascii="Times New Roman" w:cs="Times New Roman" w:eastAsia="Times New Roman" w:hAnsi="Times New Roman"/>
                <w:sz w:val="23"/>
                <w:szCs w:val="23"/>
                <w:color w:val="auto"/>
                <w:vertAlign w:val="superscript"/>
              </w:rPr>
              <w:t>(1)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99,999,995</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1, 2021 to October 30, 2021)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5,722,892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245,837,186</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 (October 31, 2021 to January 29, 2022)</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65,571,394</w:t>
            </w:r>
          </w:p>
        </w:tc>
      </w:tr>
      <w:tr>
        <w:trPr>
          <w:trHeight w:val="230"/>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10,566,796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411,408,575</w:t>
            </w:r>
          </w:p>
        </w:tc>
      </w:tr>
    </w:tbl>
    <w:p>
      <w:pPr>
        <w:ind w:left="200" w:hanging="174"/>
        <w:spacing w:after="0" w:line="217" w:lineRule="auto"/>
        <w:tabs>
          <w:tab w:leader="none" w:pos="2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repurchased during the 2021 second quarter were not subject to the Share Repurchase Programs.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-942340</wp:posOffset>
            </wp:positionV>
            <wp:extent cx="3651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year-to-date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7"/>
                <w:szCs w:val="17"/>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1"/>
        </w:trPr>
        <w:tc>
          <w:tcPr>
            <w:tcW w:w="5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4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Repurchased</w:t>
            </w: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30, 2022 to April 30, 2022)</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88,500,881</w:t>
            </w:r>
          </w:p>
        </w:tc>
      </w:tr>
      <w:tr>
        <w:trPr>
          <w:trHeight w:val="230"/>
        </w:trPr>
        <w:tc>
          <w:tcPr>
            <w:tcW w:w="5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 Quarter (May 1, 2022 to July 30, 2022) </w:t>
            </w:r>
            <w:r>
              <w:rPr>
                <w:rFonts w:ascii="Times New Roman" w:cs="Times New Roman" w:eastAsia="Times New Roman" w:hAnsi="Times New Roman"/>
                <w:sz w:val="23"/>
                <w:szCs w:val="23"/>
                <w:color w:val="auto"/>
                <w:vertAlign w:val="superscript"/>
              </w:rPr>
              <w:t>(1)</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5,550,892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200,110,996</w:t>
            </w:r>
          </w:p>
        </w:tc>
      </w:tr>
      <w:tr>
        <w:trPr>
          <w:trHeight w:val="230"/>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7,823,241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288,611,877</w:t>
            </w:r>
          </w:p>
        </w:tc>
      </w:tr>
    </w:tbl>
    <w:p>
      <w:pPr>
        <w:ind w:left="220" w:hanging="167"/>
        <w:spacing w:after="0" w:line="228" w:lineRule="auto"/>
        <w:tabs>
          <w:tab w:leader="none" w:pos="2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Part II, Item 2 - Unregistered Sales of Equity Securities and Use of Proceeds for further detail on the 2022 second quarter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-136525</wp:posOffset>
            </wp:positionV>
            <wp:extent cx="36518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the year-to-date 2022 (amounts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7"/>
                <w:szCs w:val="17"/>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30, 2022 to April 30,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17, 2022</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 Quarter (May 1, 2022 to July 30, 2022)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16, 2022</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 2022, the Company's Board of Directors declared a quarterly cash dividend with respect to the fiscal quarter ended July 30, 2022, of $0.075 per share of the Company's common stock, payable on October 13, 2022, to stockholders of record as of the close of business on September 15, 2022 (see Note 13 to the accompanying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fiscal year 2022 to be approximately $140.0 million. Approximately 45% of our planned cash outflow relate to investments in our corporate, e-commerce and information technology programs. Investments in new stores and relocations are expected to be 35% of our planned cash outflow and the remaining 20% of the planned cash outflow is expected to be utilized in updates for existing stores and distribution centers. We review forecasted capital expenditures throughout the year and will adjust or modify projects based on business conditions at that time.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Twenty-Six Weeks Ended July 30, 2022 and July 31, 2021</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300" w:type="dxa"/>
            <w:vAlign w:val="bottom"/>
          </w:tcPr>
          <w:p>
            <w:pPr>
              <w:spacing w:after="0"/>
              <w:rPr>
                <w:sz w:val="19"/>
                <w:szCs w:val="19"/>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31, 2021</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258,406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405,674</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(33,767)</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(195,686)</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176,221</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Cash provided by operating activities in the year-to-date 2022 decreased $147.3 million, compared to year-to-date 2021. This decrease in cash was attributable to:</w:t>
      </w:r>
    </w:p>
    <w:p>
      <w:pPr>
        <w:spacing w:after="0" w:line="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 million net decrease in cash flows provided by operating assets and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 million net decrease in non-cash charges;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 million decrease in net income.</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cash flows from operating assets and liabilities was primarily attributable to:</w:t>
      </w:r>
    </w:p>
    <w:p>
      <w:pPr>
        <w:spacing w:after="0" w:line="63" w:lineRule="exact"/>
        <w:rPr>
          <w:sz w:val="20"/>
          <w:szCs w:val="20"/>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$66.0 million decrease in cash flows from accrued expenses and other current liabilities which was largely driven by performance compensation payments made in the year-to-date 2022.</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from non-cash charges was primarily caused by:</w:t>
      </w:r>
    </w:p>
    <w:p>
      <w:pPr>
        <w:spacing w:after="0" w:line="6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 million decrease in deferred income taxes;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 million decrease in equity compensation expense as a result of the 2021 Vesting Event.</w:t>
      </w:r>
    </w:p>
    <w:p>
      <w:pPr>
        <w:spacing w:after="0" w:line="24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increased $14.4 million in the year-to-date 2022 compared to the year-to-date 2021.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cash used in investing activities is primarily due to:</w:t>
      </w:r>
    </w:p>
    <w:p>
      <w:pPr>
        <w:spacing w:after="0" w:line="10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million higher capital expenditures driven by investments in new stores and store updates in the year-to-date 2022.</w:t>
      </w:r>
    </w:p>
    <w:p>
      <w:pPr>
        <w:spacing w:after="0" w:line="24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increased $100.7 million in the year-to-date 2022, compared to the year-to-date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drivers of the increase were:</w:t>
      </w:r>
    </w:p>
    <w:p>
      <w:pPr>
        <w:spacing w:after="0" w:line="105" w:lineRule="exact"/>
        <w:rPr>
          <w:sz w:val="20"/>
          <w:szCs w:val="20"/>
          <w:color w:val="auto"/>
        </w:rPr>
      </w:pPr>
    </w:p>
    <w:p>
      <w:pPr>
        <w:ind w:left="660" w:right="28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$188.6 million increase in cash outflows related to Company's repurchase and simultaneous retirement of common stock in the current year-to-date; partially offset by</w:t>
      </w:r>
    </w:p>
    <w:p>
      <w:pPr>
        <w:spacing w:after="0" w:line="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$99.3 million decrease in cash outflows related to higher prior year-to-date principal repurchases in connection with the refinancing of our Term Loan which occurred in the second quarter of 2021.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under Part I, Item 1 of this Quarterly Report is incorporated herein by reference.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11 to our unaudited consolidated financial statements under Part I, Item 1 under the heading of this Quarterly Report entitled "Related Party Transactions"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w:t>
      </w:r>
    </w:p>
    <w:p>
      <w:pPr>
        <w:spacing w:after="0" w:line="121"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July 30, 2022, with respect to any of the matters discussed under the heading "Legal Proceedings" in the Annual Report</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In addition to the effects of the COVID-19 pandemic and resulting global disruptions on our business and operations discussed in the MD&amp;A in this Quarterly Report and in the Risk Factors section of the Annual Report, additional or unforeseen effects from the COVID-19 pandemic and the global economic climate may give rise to or amplify many of these risks. There have been no material changes to the risk factors discussed in the section of the Annual Report entitled "Risk Factors".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our common stock during the second quarter of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7"/>
                <w:szCs w:val="17"/>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 Purchased as</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29"/>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6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 (b)</w:t>
            </w:r>
          </w:p>
        </w:tc>
        <w:tc>
          <w:tcPr>
            <w:tcW w:w="160" w:type="dxa"/>
            <w:vAlign w:val="bottom"/>
          </w:tcPr>
          <w:p>
            <w:pPr>
              <w:spacing w:after="0"/>
              <w:rPr>
                <w:sz w:val="19"/>
                <w:szCs w:val="19"/>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Programs (b)</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2022 to May 28, 2022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100,192,722</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29, 2022 to July 2,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4,502,121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4,502,121</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537,328,144</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 2022 to July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500,192,744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5,550,892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5,550,892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500,192,744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60" w:hanging="252"/>
        <w:spacing w:after="0" w:line="266" w:lineRule="auto"/>
        <w:tabs>
          <w:tab w:leader="none" w:pos="2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excludes shares which were net-settled, and therefore not issued, to cover employee tax withholding related to the vesting of certain restricted stock awards.</w:t>
      </w:r>
    </w:p>
    <w:p>
      <w:pPr>
        <w:spacing w:after="0" w:line="67" w:lineRule="exact"/>
        <w:rPr>
          <w:rFonts w:ascii="Times New Roman" w:cs="Times New Roman" w:eastAsia="Times New Roman" w:hAnsi="Times New Roman"/>
          <w:sz w:val="18"/>
          <w:szCs w:val="18"/>
          <w:color w:val="auto"/>
        </w:rPr>
      </w:pPr>
    </w:p>
    <w:p>
      <w:pPr>
        <w:jc w:val="both"/>
        <w:ind w:left="260" w:hanging="252"/>
        <w:spacing w:after="0" w:line="256" w:lineRule="auto"/>
        <w:tabs>
          <w:tab w:leader="none" w:pos="2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As of July 30, 2022, approximately $500.2 million remained available for share repurchases pursuant to our combined 2021 Share Repurchase Program and 2022 Share Repurchase Program (see Note 2 to the accompanying financial statements).</w:t>
      </w:r>
    </w:p>
    <w:p>
      <w:pPr>
        <w:spacing w:after="0" w:line="7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2021 Share Repurchase Program and 2022 Share Repurchase Program do not obligate the Company to acquire any particular number of common shares, and the programs may be suspended, extended, modified or discontinued at any time.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October 6, 2020).</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Current Report on Form</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 filed on October 6, 2020).</w:t>
            </w:r>
          </w:p>
        </w:tc>
      </w:tr>
      <w:tr>
        <w:trPr>
          <w:trHeight w:val="189"/>
        </w:trPr>
        <w:tc>
          <w:tcPr>
            <w:tcW w:w="20" w:type="dxa"/>
            <w:vAlign w:val="bottom"/>
            <w:shd w:val="clear" w:color="auto" w:fill="CCEEFF"/>
          </w:tcPr>
          <w:p>
            <w:pPr>
              <w:spacing w:after="0"/>
              <w:rPr>
                <w:sz w:val="16"/>
                <w:szCs w:val="16"/>
                <w:color w:val="auto"/>
              </w:rPr>
            </w:pPr>
          </w:p>
        </w:tc>
        <w:tc>
          <w:tcPr>
            <w:tcW w:w="1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Non-Employee Director Compensation Policy.</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974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14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Non-Employee Director Time-Based Restricted Stock Unit Agreement.</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Manish Maini Employment Agreement, dated May 25, 2017.</w:t>
            </w: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0" w:type="dxa"/>
            <w:vAlign w:val="bottom"/>
            <w:tcBorders>
              <w:top w:val="single" w:sz="8" w:color="CCEEFF"/>
            </w:tcBorders>
          </w:tcPr>
          <w:p>
            <w:pPr>
              <w:spacing w:after="0"/>
              <w:rPr>
                <w:sz w:val="16"/>
                <w:szCs w:val="16"/>
                <w:color w:val="auto"/>
              </w:rPr>
            </w:pPr>
          </w:p>
        </w:tc>
        <w:tc>
          <w:tcPr>
            <w:tcW w:w="9740" w:type="dxa"/>
            <w:vAlign w:val="bottom"/>
            <w:tcBorders>
              <w:top w:val="single" w:sz="8" w:color="CCEEFF"/>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30"/>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30"/>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6"/>
        </w:trPr>
        <w:tc>
          <w:tcPr>
            <w:tcW w:w="20" w:type="dxa"/>
            <w:vAlign w:val="bottom"/>
            <w:shd w:val="clear" w:color="auto" w:fill="CCEEFF"/>
          </w:tcPr>
          <w:p>
            <w:pPr>
              <w:spacing w:after="0"/>
              <w:rPr>
                <w:sz w:val="22"/>
                <w:szCs w:val="22"/>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Compensatory agreements for director(s) and/or executive officer(s).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September 7, 2022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C. HICKS</w:t>
            </w:r>
          </w:p>
        </w:tc>
      </w:tr>
      <w:tr>
        <w:trPr>
          <w:trHeight w:val="218"/>
        </w:trPr>
        <w:tc>
          <w:tcPr>
            <w:tcW w:w="7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C. Hicks</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r>
      <w:tr>
        <w:trPr>
          <w:trHeight w:val="218"/>
        </w:trPr>
        <w:tc>
          <w:tcPr>
            <w:tcW w:w="7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08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140335</wp:posOffset>
            </wp:positionV>
            <wp:extent cx="1851660" cy="574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85166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ACADEMY SPORTS AND OUTDOORS,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DATE: June 2, 2022</w:t>
      </w:r>
    </w:p>
    <w:p>
      <w:pPr>
        <w:spacing w:after="0" w:line="6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Academy Sports and Outdoors,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who is not an employee of the Company (or any parent or subsidiary of the Company) (each, a “</w:t>
      </w:r>
      <w:r>
        <w:rPr>
          <w:rFonts w:ascii="Arial" w:cs="Arial" w:eastAsia="Arial" w:hAnsi="Arial"/>
          <w:sz w:val="20"/>
          <w:szCs w:val="20"/>
          <w:b w:val="1"/>
          <w:bCs w:val="1"/>
          <w:color w:val="auto"/>
        </w:rPr>
        <w:t>Director</w:t>
      </w:r>
      <w:r>
        <w:rPr>
          <w:rFonts w:ascii="Arial" w:cs="Arial" w:eastAsia="Arial" w:hAnsi="Arial"/>
          <w:sz w:val="20"/>
          <w:szCs w:val="20"/>
          <w:color w:val="auto"/>
        </w:rPr>
        <w:t>”) shall be eligible to receive cash and equity compensation for their service on the Board and any committee thereof in accordance with this Non-Employee Director Compensation Policy (this “</w:t>
      </w:r>
      <w:r>
        <w:rPr>
          <w:rFonts w:ascii="Arial" w:cs="Arial" w:eastAsia="Arial" w:hAnsi="Arial"/>
          <w:sz w:val="20"/>
          <w:szCs w:val="20"/>
          <w:b w:val="1"/>
          <w:bCs w:val="1"/>
          <w:color w:val="auto"/>
        </w:rPr>
        <w:t>Policy</w:t>
      </w:r>
      <w:r>
        <w:rPr>
          <w:rFonts w:ascii="Arial" w:cs="Arial" w:eastAsia="Arial" w:hAnsi="Arial"/>
          <w:sz w:val="20"/>
          <w:szCs w:val="20"/>
          <w:color w:val="auto"/>
        </w:rPr>
        <w:t>”). For the avoidance of doubt, this Policy shall not apply to members of the Board who are employees of the Company (or any parent or subsidiary of the Company). This Policy shall be reviewed annually by the Compensation Committee of the Board and remain in effect until it is amended or rescinded by further action of the Board.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II.  Cash Compensation</w:t>
      </w:r>
    </w:p>
    <w:p>
      <w:pPr>
        <w:spacing w:after="0" w:line="246" w:lineRule="exact"/>
        <w:rPr>
          <w:sz w:val="20"/>
          <w:szCs w:val="20"/>
          <w:color w:val="auto"/>
        </w:rPr>
      </w:pPr>
    </w:p>
    <w:tbl>
      <w:tblPr>
        <w:tblLayout w:type="fixed"/>
        <w:tblInd w:w="550" w:type="dxa"/>
        <w:tblCellMar>
          <w:top w:w="0" w:type="dxa"/>
          <w:left w:w="0" w:type="dxa"/>
          <w:bottom w:w="0" w:type="dxa"/>
          <w:right w:w="0" w:type="dxa"/>
        </w:tblCellMar>
      </w:tblPr>
      <w:tr>
        <w:trPr>
          <w:trHeight w:val="287"/>
        </w:trPr>
        <w:tc>
          <w:tcPr>
            <w:tcW w:w="7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Position</w:t>
            </w: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Fiscal Year</w:t>
            </w:r>
          </w:p>
        </w:tc>
      </w:tr>
      <w:tr>
        <w:trPr>
          <w:trHeight w:val="277"/>
        </w:trPr>
        <w:tc>
          <w:tcPr>
            <w:tcW w:w="772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Amount</w:t>
            </w:r>
          </w:p>
        </w:tc>
      </w:tr>
      <w:tr>
        <w:trPr>
          <w:trHeight w:val="288"/>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Board Member Annual Retainer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$100,000</w:t>
            </w:r>
          </w:p>
        </w:tc>
      </w:tr>
      <w:tr>
        <w:trPr>
          <w:trHeight w:val="290"/>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Lead (independent) Director Annual Retainer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$40,000</w:t>
            </w:r>
          </w:p>
        </w:tc>
      </w:tr>
      <w:tr>
        <w:trPr>
          <w:trHeight w:val="291"/>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Audit Committee Chair Annual Retainer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$30,000</w:t>
            </w:r>
          </w:p>
        </w:tc>
      </w:tr>
      <w:tr>
        <w:trPr>
          <w:trHeight w:val="290"/>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Compensation Committee Chair Annual Retainer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$25,000</w:t>
            </w:r>
          </w:p>
        </w:tc>
      </w:tr>
      <w:tr>
        <w:trPr>
          <w:trHeight w:val="290"/>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Nominating and Governance Committee Chair Annual Retainer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$20,000</w:t>
            </w:r>
          </w:p>
        </w:tc>
      </w:tr>
    </w:tbl>
    <w:p>
      <w:pPr>
        <w:spacing w:after="0" w:line="329" w:lineRule="exact"/>
        <w:rPr>
          <w:sz w:val="20"/>
          <w:szCs w:val="20"/>
          <w:color w:val="auto"/>
        </w:rPr>
      </w:pPr>
    </w:p>
    <w:p>
      <w:pPr>
        <w:ind w:left="660" w:right="20" w:hanging="328"/>
        <w:spacing w:after="0" w:line="300" w:lineRule="auto"/>
        <w:tabs>
          <w:tab w:leader="none" w:pos="65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cash compensation is earned on a fiscal year basis and 25% of the Fiscal Year Amount is paid in arrears at the end of each fiscal quarter for completing a full fiscal quarter of service.</w:t>
      </w:r>
    </w:p>
    <w:p>
      <w:pPr>
        <w:spacing w:after="0" w:line="140" w:lineRule="exact"/>
        <w:rPr>
          <w:rFonts w:ascii="Arial" w:cs="Arial" w:eastAsia="Arial" w:hAnsi="Arial"/>
          <w:sz w:val="20"/>
          <w:szCs w:val="20"/>
          <w:color w:val="auto"/>
        </w:rPr>
      </w:pPr>
    </w:p>
    <w:p>
      <w:pPr>
        <w:jc w:val="both"/>
        <w:ind w:left="660" w:hanging="328"/>
        <w:spacing w:after="0" w:line="313" w:lineRule="auto"/>
        <w:tabs>
          <w:tab w:leader="none" w:pos="658" w:val="left"/>
        </w:tabs>
        <w:numPr>
          <w:ilvl w:val="0"/>
          <w:numId w:val="29"/>
        </w:numPr>
        <w:rPr>
          <w:rFonts w:ascii="Arial" w:cs="Arial" w:eastAsia="Arial" w:hAnsi="Arial"/>
          <w:sz w:val="19"/>
          <w:szCs w:val="19"/>
          <w:color w:val="auto"/>
        </w:rPr>
      </w:pPr>
      <w:r>
        <w:rPr>
          <w:rFonts w:ascii="Arial" w:cs="Arial" w:eastAsia="Arial" w:hAnsi="Arial"/>
          <w:sz w:val="19"/>
          <w:szCs w:val="19"/>
          <w:color w:val="auto"/>
        </w:rPr>
        <w:t>Directors who commence, or terminate, service during the fiscal quarter will receive pro-rated retainers based on the number of calendar days of service in the fiscal quarter divided by the total number of calendar days in the fiscal quarter.</w:t>
      </w:r>
    </w:p>
    <w:p>
      <w:pPr>
        <w:spacing w:after="0" w:line="145" w:lineRule="exact"/>
        <w:rPr>
          <w:rFonts w:ascii="Arial" w:cs="Arial" w:eastAsia="Arial" w:hAnsi="Arial"/>
          <w:sz w:val="19"/>
          <w:szCs w:val="19"/>
          <w:color w:val="auto"/>
        </w:rPr>
      </w:pPr>
    </w:p>
    <w:p>
      <w:pPr>
        <w:jc w:val="both"/>
        <w:ind w:left="660" w:hanging="328"/>
        <w:spacing w:after="0" w:line="269" w:lineRule="auto"/>
        <w:tabs>
          <w:tab w:leader="none" w:pos="655"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the adoption of this policy increases the value of any Director’s current cash compensation or if the Fiscal Year Amount is subsequently increased by the Board at any time before or after an Annual Stockholders Meeting, then the increase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199" w:lineRule="auto"/>
        <w:rPr>
          <w:sz w:val="20"/>
          <w:szCs w:val="20"/>
          <w:color w:val="auto"/>
        </w:rPr>
      </w:pPr>
      <w:r>
        <w:rPr>
          <w:rFonts w:ascii="Calibri" w:cs="Calibri" w:eastAsia="Calibri" w:hAnsi="Calibri"/>
          <w:sz w:val="20"/>
          <w:szCs w:val="20"/>
          <w:color w:val="auto"/>
        </w:rPr>
        <w:t>424826</w:t>
      </w:r>
    </w:p>
    <w:p>
      <w:pPr>
        <w:sectPr>
          <w:pgSz w:w="11900" w:h="16838" w:orient="portrait"/>
          <w:cols w:equalWidth="0" w:num="1">
            <w:col w:w="11240"/>
          </w:cols>
          <w:pgMar w:left="320" w:top="104"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660"/>
        <w:spacing w:after="0" w:line="274" w:lineRule="auto"/>
        <w:rPr>
          <w:sz w:val="20"/>
          <w:szCs w:val="20"/>
          <w:color w:val="auto"/>
        </w:rPr>
      </w:pPr>
      <w:r>
        <w:rPr>
          <w:rFonts w:ascii="Arial" w:cs="Arial" w:eastAsia="Arial" w:hAnsi="Arial"/>
          <w:sz w:val="20"/>
          <w:szCs w:val="20"/>
          <w:color w:val="auto"/>
        </w:rPr>
        <w:t>compensation will be paid going forward from its adoption date. To the extent that any increase in Directors cash compensation is adopted mid-quarter, the increased amount will be pro-rated based on the number of calendar days in</w:t>
      </w:r>
    </w:p>
    <w:p>
      <w:pPr>
        <w:spacing w:after="0" w:line="1"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the fiscal quarter on and after its adoption date divided by the total number of calendar days in the fiscal quarter; the calendar days in the fiscal quarter prior to such adoption date will be compensated based on the prior Directors cash compensation.</w:t>
      </w:r>
    </w:p>
    <w:p>
      <w:pPr>
        <w:spacing w:after="0" w:line="18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Equity Compensation</w:t>
      </w:r>
    </w:p>
    <w:p>
      <w:pPr>
        <w:spacing w:after="0" w:line="229"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 New Director Equity Award</w:t>
      </w:r>
    </w:p>
    <w:p>
      <w:pPr>
        <w:spacing w:after="0" w:line="229" w:lineRule="exact"/>
        <w:rPr>
          <w:sz w:val="20"/>
          <w:szCs w:val="20"/>
          <w:color w:val="auto"/>
        </w:rPr>
      </w:pPr>
    </w:p>
    <w:p>
      <w:pPr>
        <w:ind w:left="340" w:right="20"/>
        <w:spacing w:after="0" w:line="312" w:lineRule="auto"/>
        <w:rPr>
          <w:sz w:val="20"/>
          <w:szCs w:val="20"/>
          <w:color w:val="auto"/>
        </w:rPr>
      </w:pPr>
      <w:r>
        <w:rPr>
          <w:rFonts w:ascii="Arial" w:cs="Arial" w:eastAsia="Arial" w:hAnsi="Arial"/>
          <w:sz w:val="20"/>
          <w:szCs w:val="20"/>
          <w:color w:val="auto"/>
        </w:rPr>
        <w:t>A restricted stock unit award (“</w:t>
      </w:r>
      <w:r>
        <w:rPr>
          <w:rFonts w:ascii="Arial" w:cs="Arial" w:eastAsia="Arial" w:hAnsi="Arial"/>
          <w:sz w:val="20"/>
          <w:szCs w:val="20"/>
          <w:b w:val="1"/>
          <w:bCs w:val="1"/>
          <w:color w:val="auto"/>
        </w:rPr>
        <w:t>RSU</w:t>
      </w:r>
      <w:r>
        <w:rPr>
          <w:rFonts w:ascii="Arial" w:cs="Arial" w:eastAsia="Arial" w:hAnsi="Arial"/>
          <w:sz w:val="20"/>
          <w:szCs w:val="20"/>
          <w:color w:val="auto"/>
        </w:rPr>
        <w:t>”) will be granted automatically under the 2020 Omnibus Incentive Plan or its successor (the “</w:t>
      </w:r>
      <w:r>
        <w:rPr>
          <w:rFonts w:ascii="Arial" w:cs="Arial" w:eastAsia="Arial" w:hAnsi="Arial"/>
          <w:sz w:val="20"/>
          <w:szCs w:val="20"/>
          <w:b w:val="1"/>
          <w:bCs w:val="1"/>
          <w:color w:val="auto"/>
        </w:rPr>
        <w:t>Plan</w:t>
      </w:r>
      <w:r>
        <w:rPr>
          <w:rFonts w:ascii="Arial" w:cs="Arial" w:eastAsia="Arial" w:hAnsi="Arial"/>
          <w:sz w:val="20"/>
          <w:szCs w:val="20"/>
          <w:color w:val="auto"/>
        </w:rPr>
        <w:t>”) to each new Director on the date the new Director is appointed to the Board based on the following conditions:</w:t>
      </w:r>
    </w:p>
    <w:p>
      <w:pPr>
        <w:spacing w:after="0" w:line="118" w:lineRule="exact"/>
        <w:rPr>
          <w:sz w:val="20"/>
          <w:szCs w:val="20"/>
          <w:color w:val="auto"/>
        </w:rPr>
      </w:pPr>
    </w:p>
    <w:p>
      <w:pPr>
        <w:ind w:left="1620" w:hanging="316"/>
        <w:spacing w:after="0"/>
        <w:tabs>
          <w:tab w:leader="none" w:pos="16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award will be based upon an annualized grant value of $150,000 (the “</w:t>
      </w:r>
      <w:r>
        <w:rPr>
          <w:rFonts w:ascii="Arial" w:cs="Arial" w:eastAsia="Arial" w:hAnsi="Arial"/>
          <w:sz w:val="20"/>
          <w:szCs w:val="20"/>
          <w:b w:val="1"/>
          <w:bCs w:val="1"/>
          <w:color w:val="auto"/>
        </w:rPr>
        <w:t>Maximum Value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620" w:hanging="316"/>
        <w:spacing w:after="0" w:line="269" w:lineRule="auto"/>
        <w:tabs>
          <w:tab w:leader="none" w:pos="1609"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actual target grant value (“</w:t>
      </w:r>
      <w:r>
        <w:rPr>
          <w:rFonts w:ascii="Arial" w:cs="Arial" w:eastAsia="Arial" w:hAnsi="Arial"/>
          <w:sz w:val="20"/>
          <w:szCs w:val="20"/>
          <w:b w:val="1"/>
          <w:bCs w:val="1"/>
          <w:color w:val="auto"/>
        </w:rPr>
        <w:t>Award Value</w:t>
      </w:r>
      <w:r>
        <w:rPr>
          <w:rFonts w:ascii="Arial" w:cs="Arial" w:eastAsia="Arial" w:hAnsi="Arial"/>
          <w:sz w:val="20"/>
          <w:szCs w:val="20"/>
          <w:color w:val="auto"/>
        </w:rPr>
        <w:t>”) will be calculated by pro-rating the Maximum Value based on the number of calendar days remaining before (a) the next Annual Stockholders Meeting, if scheduled, or (b) the date of the first anniversary of the last Annual Stockholders Meeting, if the next Annual Shareholder Meeting is not scheduled, divided by (x) the number of calendar days between the last and next scheduled Annual Stockholders Meeting, or (y) 365, if the next Annual Stockholders Meeting date does not exist.</w:t>
      </w:r>
    </w:p>
    <w:p>
      <w:pPr>
        <w:spacing w:after="0" w:line="171" w:lineRule="exact"/>
        <w:rPr>
          <w:rFonts w:ascii="Arial" w:cs="Arial" w:eastAsia="Arial" w:hAnsi="Arial"/>
          <w:sz w:val="20"/>
          <w:szCs w:val="20"/>
          <w:color w:val="auto"/>
        </w:rPr>
      </w:pPr>
    </w:p>
    <w:p>
      <w:pPr>
        <w:jc w:val="both"/>
        <w:ind w:left="1620" w:hanging="316"/>
        <w:spacing w:after="0" w:line="276" w:lineRule="auto"/>
        <w:tabs>
          <w:tab w:leader="none" w:pos="1609"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Award Value (as calculated directly above) will be converted into RSUs based on the prior 30 calendar days average closing stock price as of the date of appointment to the Board (rounded down to the next whole share).</w:t>
      </w:r>
    </w:p>
    <w:p>
      <w:pPr>
        <w:spacing w:after="0" w:line="165" w:lineRule="exact"/>
        <w:rPr>
          <w:rFonts w:ascii="Arial" w:cs="Arial" w:eastAsia="Arial" w:hAnsi="Arial"/>
          <w:sz w:val="20"/>
          <w:szCs w:val="20"/>
          <w:color w:val="auto"/>
        </w:rPr>
      </w:pPr>
    </w:p>
    <w:p>
      <w:pPr>
        <w:jc w:val="both"/>
        <w:ind w:left="1620" w:hanging="316"/>
        <w:spacing w:after="0" w:line="265" w:lineRule="auto"/>
        <w:tabs>
          <w:tab w:leader="none" w:pos="1609" w:val="left"/>
        </w:tabs>
        <w:numPr>
          <w:ilvl w:val="1"/>
          <w:numId w:val="31"/>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each applicable vesting date, 100% of the RSUs shall vest on the earliest of (i) the first anniversary of the date of grant, or, if earlier, the date which is the business day immediately preceding the date of the next Annual Stockholders Meeting, (ii) the Director’s termination due to death or Disability (as defined in the Plan) or (iii) a Change in Control (as defined in the Plan).</w:t>
      </w:r>
    </w:p>
    <w:p>
      <w:pPr>
        <w:spacing w:after="0" w:line="188" w:lineRule="exact"/>
        <w:rPr>
          <w:rFonts w:ascii="Arial" w:cs="Arial" w:eastAsia="Arial" w:hAnsi="Arial"/>
          <w:sz w:val="20"/>
          <w:szCs w:val="20"/>
          <w:color w:val="auto"/>
        </w:rPr>
      </w:pPr>
    </w:p>
    <w:p>
      <w:pPr>
        <w:jc w:val="both"/>
        <w:ind w:left="1620" w:hanging="316"/>
        <w:spacing w:after="0" w:line="269" w:lineRule="auto"/>
        <w:tabs>
          <w:tab w:leader="none" w:pos="1609" w:val="left"/>
        </w:tabs>
        <w:numPr>
          <w:ilvl w:val="1"/>
          <w:numId w:val="31"/>
        </w:numPr>
        <w:rPr>
          <w:rFonts w:ascii="Arial" w:cs="Arial" w:eastAsia="Arial" w:hAnsi="Arial"/>
          <w:sz w:val="20"/>
          <w:szCs w:val="20"/>
          <w:color w:val="auto"/>
        </w:rPr>
      </w:pPr>
      <w:r>
        <w:rPr>
          <w:rFonts w:ascii="Arial" w:cs="Arial" w:eastAsia="Arial" w:hAnsi="Arial"/>
          <w:sz w:val="20"/>
          <w:szCs w:val="20"/>
          <w:color w:val="auto"/>
        </w:rPr>
        <w:t>If the Director is appointed 60 days or less prior to the Annual Stockholders Meeting, and an annual equity grant will be made at such meeting, no equity award grant will be made prior to such meeting to the new Director.</w:t>
      </w:r>
    </w:p>
    <w:p>
      <w:pPr>
        <w:spacing w:after="0" w:line="183"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Annual Director Equity Award</w:t>
      </w:r>
    </w:p>
    <w:p>
      <w:pPr>
        <w:spacing w:after="0" w:line="229" w:lineRule="exact"/>
        <w:rPr>
          <w:sz w:val="20"/>
          <w:szCs w:val="20"/>
          <w:color w:val="auto"/>
        </w:rPr>
      </w:pPr>
    </w:p>
    <w:p>
      <w:pPr>
        <w:ind w:left="340" w:right="20"/>
        <w:spacing w:after="0" w:line="288" w:lineRule="auto"/>
        <w:rPr>
          <w:sz w:val="20"/>
          <w:szCs w:val="20"/>
          <w:color w:val="auto"/>
        </w:rPr>
      </w:pPr>
      <w:r>
        <w:rPr>
          <w:rFonts w:ascii="Arial" w:cs="Arial" w:eastAsia="Arial" w:hAnsi="Arial"/>
          <w:sz w:val="20"/>
          <w:szCs w:val="20"/>
          <w:color w:val="auto"/>
        </w:rPr>
        <w:t>An annual RSU award (“</w:t>
      </w:r>
      <w:r>
        <w:rPr>
          <w:rFonts w:ascii="Arial" w:cs="Arial" w:eastAsia="Arial" w:hAnsi="Arial"/>
          <w:sz w:val="20"/>
          <w:szCs w:val="20"/>
          <w:b w:val="1"/>
          <w:bCs w:val="1"/>
          <w:color w:val="auto"/>
        </w:rPr>
        <w:t>Annual Award</w:t>
      </w:r>
      <w:r>
        <w:rPr>
          <w:rFonts w:ascii="Arial" w:cs="Arial" w:eastAsia="Arial" w:hAnsi="Arial"/>
          <w:sz w:val="20"/>
          <w:szCs w:val="20"/>
          <w:color w:val="auto"/>
        </w:rPr>
        <w:t>”) will be granted automatically under the Plan to each active Director on the business day immediately following the date of the Annual Stockholders Meeting based on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88" w:hanging="316"/>
        <w:spacing w:after="0"/>
        <w:tabs>
          <w:tab w:leader="none" w:pos="1288"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Annual Award will have a target grant value equal to the Maximum Value.</w:t>
      </w:r>
    </w:p>
    <w:p>
      <w:pPr>
        <w:spacing w:after="0" w:line="229" w:lineRule="exact"/>
        <w:rPr>
          <w:rFonts w:ascii="Arial" w:cs="Arial" w:eastAsia="Arial" w:hAnsi="Arial"/>
          <w:sz w:val="20"/>
          <w:szCs w:val="20"/>
          <w:color w:val="auto"/>
        </w:rPr>
      </w:pPr>
    </w:p>
    <w:p>
      <w:pPr>
        <w:ind w:left="1288" w:hanging="316"/>
        <w:spacing w:after="0" w:line="300" w:lineRule="auto"/>
        <w:tabs>
          <w:tab w:leader="none" w:pos="1277"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Annual Award will be converted into RSUs based on the prior 30 calendar days average closing stock price as of the date of the grant (rounded down to the next whole share).</w:t>
      </w:r>
    </w:p>
    <w:p>
      <w:pPr>
        <w:spacing w:after="0" w:line="140" w:lineRule="exact"/>
        <w:rPr>
          <w:rFonts w:ascii="Arial" w:cs="Arial" w:eastAsia="Arial" w:hAnsi="Arial"/>
          <w:sz w:val="20"/>
          <w:szCs w:val="20"/>
          <w:color w:val="auto"/>
        </w:rPr>
      </w:pPr>
    </w:p>
    <w:p>
      <w:pPr>
        <w:jc w:val="both"/>
        <w:ind w:left="1288" w:hanging="316"/>
        <w:spacing w:after="0" w:line="269" w:lineRule="auto"/>
        <w:tabs>
          <w:tab w:leader="none" w:pos="1277" w:val="left"/>
        </w:tabs>
        <w:numPr>
          <w:ilvl w:val="1"/>
          <w:numId w:val="33"/>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each applicable vesting date, 100% of the RSUs shall vest on the earliest of (i) the first anniversary of the date of grant, or, if earlier, the date which is the business day immediately preceding the date of the next Annual Stockholders Meeting, (ii) the Director’s termination due to death or Disability or (iii) a Change in Control.</w:t>
      </w:r>
    </w:p>
    <w:p>
      <w:pPr>
        <w:spacing w:after="0" w:line="168" w:lineRule="exact"/>
        <w:rPr>
          <w:rFonts w:ascii="Arial" w:cs="Arial" w:eastAsia="Arial" w:hAnsi="Arial"/>
          <w:sz w:val="20"/>
          <w:szCs w:val="20"/>
          <w:color w:val="auto"/>
        </w:rPr>
      </w:pPr>
    </w:p>
    <w:p>
      <w:pPr>
        <w:ind w:left="328" w:hanging="328"/>
        <w:spacing w:after="0"/>
        <w:tabs>
          <w:tab w:leader="none" w:pos="328"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Maximum Value Outside of the Annual Stockholders Meeting</w:t>
      </w:r>
    </w:p>
    <w:p>
      <w:pPr>
        <w:spacing w:after="0" w:line="245" w:lineRule="exact"/>
        <w:rPr>
          <w:sz w:val="20"/>
          <w:szCs w:val="20"/>
          <w:color w:val="auto"/>
        </w:rPr>
      </w:pPr>
    </w:p>
    <w:p>
      <w:pPr>
        <w:ind w:left="8"/>
        <w:spacing w:after="0" w:line="286" w:lineRule="auto"/>
        <w:rPr>
          <w:sz w:val="20"/>
          <w:szCs w:val="20"/>
          <w:color w:val="auto"/>
        </w:rPr>
      </w:pPr>
      <w:r>
        <w:rPr>
          <w:rFonts w:ascii="Arial" w:cs="Arial" w:eastAsia="Arial" w:hAnsi="Arial"/>
          <w:sz w:val="20"/>
          <w:szCs w:val="20"/>
          <w:color w:val="auto"/>
        </w:rPr>
        <w:t>If the Maximum Value is subsequently increased by the Board at any time before or after an Annual Stockholders Meeting, then the increase in the Maximum Value will be prorated and granted under the Plan as follows:</w:t>
      </w:r>
    </w:p>
    <w:p>
      <w:pPr>
        <w:spacing w:after="0" w:line="152" w:lineRule="exact"/>
        <w:rPr>
          <w:sz w:val="20"/>
          <w:szCs w:val="20"/>
          <w:color w:val="auto"/>
        </w:rPr>
      </w:pPr>
    </w:p>
    <w:p>
      <w:pPr>
        <w:jc w:val="both"/>
        <w:ind w:left="1288" w:hanging="316"/>
        <w:spacing w:after="0" w:line="264" w:lineRule="auto"/>
        <w:tabs>
          <w:tab w:leader="none" w:pos="1277"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new target grant value (“</w:t>
      </w:r>
      <w:r>
        <w:rPr>
          <w:rFonts w:ascii="Arial" w:cs="Arial" w:eastAsia="Arial" w:hAnsi="Arial"/>
          <w:sz w:val="20"/>
          <w:szCs w:val="20"/>
          <w:b w:val="1"/>
          <w:bCs w:val="1"/>
          <w:color w:val="auto"/>
        </w:rPr>
        <w:t>Increased Value</w:t>
      </w:r>
      <w:r>
        <w:rPr>
          <w:rFonts w:ascii="Arial" w:cs="Arial" w:eastAsia="Arial" w:hAnsi="Arial"/>
          <w:sz w:val="20"/>
          <w:szCs w:val="20"/>
          <w:color w:val="auto"/>
        </w:rPr>
        <w:t>”) will be calculated by subtracting the new Maximum Value from the prior annual Director equity award value and multiplying the difference by the product of the number of calendar days remaining before (a) the next Annual Stockholders Meeting, if scheduled, or (b) the date of the first anniversary of the last Annual Stockholders Meeting, if the next Annual Stockholders Meeting is not scheduled, divided by (x) the number of calendar days between the last and next scheduled Annual Stockholders Meeting, or (y) 365, if either the last or the next Annual Stockholders Meeting date does not exist.</w:t>
      </w:r>
    </w:p>
    <w:p>
      <w:pPr>
        <w:spacing w:after="0" w:line="188" w:lineRule="exact"/>
        <w:rPr>
          <w:rFonts w:ascii="Arial" w:cs="Arial" w:eastAsia="Arial" w:hAnsi="Arial"/>
          <w:sz w:val="20"/>
          <w:szCs w:val="20"/>
          <w:color w:val="auto"/>
        </w:rPr>
      </w:pPr>
    </w:p>
    <w:p>
      <w:pPr>
        <w:jc w:val="both"/>
        <w:ind w:left="1288" w:hanging="316"/>
        <w:spacing w:after="0" w:line="269" w:lineRule="auto"/>
        <w:tabs>
          <w:tab w:leader="none" w:pos="1279"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Increased Value (as calculated directly above) will be converted into RSUs based on the prior 30 calendar days average closing stock price as of the date of appointment to the Board (rounded down to the next whole share).</w:t>
      </w:r>
    </w:p>
    <w:p>
      <w:pPr>
        <w:spacing w:after="0" w:line="185" w:lineRule="exact"/>
        <w:rPr>
          <w:rFonts w:ascii="Arial" w:cs="Arial" w:eastAsia="Arial" w:hAnsi="Arial"/>
          <w:sz w:val="20"/>
          <w:szCs w:val="20"/>
          <w:color w:val="auto"/>
        </w:rPr>
      </w:pPr>
    </w:p>
    <w:p>
      <w:pPr>
        <w:jc w:val="both"/>
        <w:ind w:left="1288" w:hanging="316"/>
        <w:spacing w:after="0" w:line="269" w:lineRule="auto"/>
        <w:tabs>
          <w:tab w:leader="none" w:pos="1265"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each applicable vesting date, 100% of the RSUs shall vest on the earliest of (i) the first anniversary of the date of grant, or, if earlier, the date which is the business day immediately preceding the date of the next Annual Stockholders Meeting, (ii) the Director’s termination due to death or Disability or (iii) a Change in Control.</w:t>
      </w:r>
    </w:p>
    <w:p>
      <w:pPr>
        <w:spacing w:after="0" w:line="170" w:lineRule="exact"/>
        <w:rPr>
          <w:rFonts w:ascii="Arial" w:cs="Arial" w:eastAsia="Arial" w:hAnsi="Arial"/>
          <w:sz w:val="20"/>
          <w:szCs w:val="20"/>
          <w:color w:val="auto"/>
        </w:rPr>
      </w:pPr>
    </w:p>
    <w:p>
      <w:pPr>
        <w:jc w:val="both"/>
        <w:ind w:left="1288" w:hanging="316"/>
        <w:spacing w:after="0" w:line="276" w:lineRule="auto"/>
        <w:tabs>
          <w:tab w:leader="none" w:pos="1279"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the change to the Maximum Value is adopted 60 days or less prior to the Annual Stockholders Meeting, and an annual equity grant will be made at such meeting, no additional equity award grant will be made prior to such meeting to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908"/>
          </w:cols>
          <w:pgMar w:left="652"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Stock Ownership Guidelines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All equity awards will be made and remain subject to the Company’s Stock Ownership Guidelines.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Expense Reimbursement</w:t>
      </w: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Non-Employee Directors shall be reimbursed for reasonable and documented out-of-pocket travel and lodging expenses incurred in connection with attending Board and committee meetings or such other Board service to the Company in accordance with Company’s travel policies in effect from time to time. Each Non-Employee Director shall provide the Company with such receipts and other records related to such reimbursable expenses as the Company may reasonably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20"/>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900"/>
          </w:cols>
          <w:pgMar w:left="660" w:top="144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Non-Employee Director Time-Based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ind w:left="3600"/>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ind w:left="4040"/>
        <w:spacing w:after="0" w:line="211" w:lineRule="auto"/>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19"/>
          <w:szCs w:val="19"/>
          <w:color w:val="auto"/>
        </w:rPr>
        <w:t>Academy Sports and Outdoors,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grants to the Participant set forth below the number of Restricted Stock Units set forth below pursuant to its 2020 Omnibus Incentive Plan, as it may be amended and restated from time to time (the</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The Restricted Stock Units are subject to all of the terms and conditions as set forth herein, in the Restricted Stock Unit Agreement</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First Name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Last Name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Date of Grant</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tabs>
          <w:tab w:leader="none" w:pos="2460" w:val="left"/>
        </w:tabs>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Number of Restricted Stock Units Granted</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6"/>
          <w:szCs w:val="16"/>
          <w:color w:val="auto"/>
        </w:rPr>
        <w:t>1001248.3</w:t>
      </w:r>
    </w:p>
    <w:p>
      <w:pPr>
        <w:sectPr>
          <w:pgSz w:w="11900" w:h="16838" w:orient="portrait"/>
          <w:cols w:equalWidth="0" w:num="1">
            <w:col w:w="11240"/>
          </w:cols>
          <w:pgMar w:left="320" w:top="104" w:right="339" w:bottom="1440" w:gutter="0" w:footer="0" w:header="0"/>
        </w:sectPr>
      </w:pPr>
    </w:p>
    <w:bookmarkStart w:id="45" w:name="page46"/>
    <w:bookmarkEnd w:id="45"/>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Pursuant to the Restricted Stock Unit Grant Notice (the “</w:t>
      </w:r>
      <w:r>
        <w:rPr>
          <w:rFonts w:ascii="Times New Roman" w:cs="Times New Roman" w:eastAsia="Times New Roman" w:hAnsi="Times New Roman"/>
          <w:sz w:val="19"/>
          <w:szCs w:val="19"/>
          <w:u w:val="single" w:color="auto"/>
          <w:color w:val="auto"/>
        </w:rPr>
        <w:t>Grant Notice</w:t>
      </w:r>
      <w:r>
        <w:rPr>
          <w:rFonts w:ascii="Times New Roman" w:cs="Times New Roman" w:eastAsia="Times New Roman" w:hAnsi="Times New Roman"/>
          <w:sz w:val="19"/>
          <w:szCs w:val="19"/>
          <w:color w:val="auto"/>
        </w:rPr>
        <w:t>”) delivered to the Participant (as defined in the Grant Notice), and subject to the terms of this Restricted Stock Unit Agreement (this “</w:t>
      </w:r>
      <w:r>
        <w:rPr>
          <w:rFonts w:ascii="Times New Roman" w:cs="Times New Roman" w:eastAsia="Times New Roman" w:hAnsi="Times New Roman"/>
          <w:sz w:val="19"/>
          <w:szCs w:val="19"/>
          <w:u w:val="single" w:color="auto"/>
          <w:color w:val="auto"/>
        </w:rPr>
        <w:t>Restricted Stock Unit Agreement</w:t>
      </w:r>
      <w:r>
        <w:rPr>
          <w:rFonts w:ascii="Times New Roman" w:cs="Times New Roman" w:eastAsia="Times New Roman" w:hAnsi="Times New Roman"/>
          <w:sz w:val="19"/>
          <w:szCs w:val="19"/>
          <w:color w:val="auto"/>
        </w:rPr>
        <w:t>”) and the Academy Sports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Outdoors, Inc. 2020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 as set forth in the Plan.</w:t>
      </w:r>
    </w:p>
    <w:p>
      <w:pPr>
        <w:spacing w:after="0" w:line="163" w:lineRule="exact"/>
        <w:rPr>
          <w:sz w:val="20"/>
          <w:szCs w:val="20"/>
          <w:color w:val="auto"/>
        </w:rPr>
      </w:pPr>
    </w:p>
    <w:p>
      <w:pPr>
        <w:jc w:val="both"/>
        <w:ind w:firstLine="1304"/>
        <w:spacing w:after="0" w:line="217" w:lineRule="auto"/>
        <w:tabs>
          <w:tab w:leader="none" w:pos="150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Each Restricted Stock Unit granted to the Participant pursuant to the Grant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2"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Restricted Stock Units shall vest as provided in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Grant Notice.</w:t>
      </w:r>
    </w:p>
    <w:p>
      <w:pPr>
        <w:spacing w:after="0" w:line="162" w:lineRule="exact"/>
        <w:rPr>
          <w:rFonts w:ascii="Times New Roman" w:cs="Times New Roman" w:eastAsia="Times New Roman" w:hAnsi="Times New Roman"/>
          <w:sz w:val="19"/>
          <w:szCs w:val="19"/>
          <w:color w:val="auto"/>
        </w:rPr>
      </w:pPr>
    </w:p>
    <w:p>
      <w:pPr>
        <w:jc w:val="both"/>
        <w:ind w:firstLine="1304"/>
        <w:spacing w:after="0" w:line="213" w:lineRule="auto"/>
        <w:tabs>
          <w:tab w:leader="none" w:pos="149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Upon the vesting of a Restricted Stock Unit hereunder, and subject to any election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Committee pursuant to Section 9(d)(ii) of the Plan, the Company will deliver one share of Common Stock for each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61" w:lineRule="exact"/>
        <w:rPr>
          <w:rFonts w:ascii="Times New Roman" w:cs="Times New Roman" w:eastAsia="Times New Roman" w:hAnsi="Times New Roman"/>
          <w:sz w:val="20"/>
          <w:szCs w:val="20"/>
          <w:color w:val="auto"/>
        </w:rPr>
      </w:pPr>
    </w:p>
    <w:p>
      <w:pPr>
        <w:jc w:val="both"/>
        <w:ind w:firstLine="1304"/>
        <w:spacing w:after="0" w:line="235" w:lineRule="auto"/>
        <w:tabs>
          <w:tab w:leader="none" w:pos="152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Restricted Stock Units Upon Termination</w:t>
      </w:r>
      <w:r>
        <w:rPr>
          <w:rFonts w:ascii="Times New Roman" w:cs="Times New Roman" w:eastAsia="Times New Roman" w:hAnsi="Times New Roman"/>
          <w:sz w:val="19"/>
          <w:szCs w:val="19"/>
          <w:color w:val="auto"/>
        </w:rPr>
        <w:t>. Except as otherwise provided in the Grant Notice or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43" w:lineRule="exact"/>
        <w:rPr>
          <w:rFonts w:ascii="Times New Roman" w:cs="Times New Roman" w:eastAsia="Times New Roman" w:hAnsi="Times New Roman"/>
          <w:sz w:val="19"/>
          <w:szCs w:val="19"/>
          <w:color w:val="auto"/>
        </w:rPr>
      </w:pPr>
    </w:p>
    <w:p>
      <w:pPr>
        <w:jc w:val="both"/>
        <w:ind w:firstLine="1304"/>
        <w:spacing w:after="0" w:line="216" w:lineRule="auto"/>
        <w:tabs>
          <w:tab w:leader="none" w:pos="15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Issuance of Common Stock</w:t>
      </w:r>
      <w:r>
        <w:rPr>
          <w:rFonts w:ascii="Times New Roman" w:cs="Times New Roman" w:eastAsia="Times New Roman" w:hAnsi="Times New Roman"/>
          <w:sz w:val="20"/>
          <w:szCs w:val="20"/>
          <w:color w:val="auto"/>
        </w:rPr>
        <w:t>. The Company shall not be required to record the ownership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0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w:t>
      </w:r>
      <w:r>
        <w:rPr>
          <w:rFonts w:ascii="Times New Roman" w:cs="Times New Roman" w:eastAsia="Times New Roman" w:hAnsi="Times New Roman"/>
          <w:sz w:val="20"/>
          <w:szCs w:val="20"/>
          <w:color w:val="auto"/>
        </w:rPr>
        <w:t>. Whenever the word “Participant” is used in any provision of this Restricted Stock Unit Agreement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where the provision should logically be construed to apply to the executors, the administrators, or the person or persons to whom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1001248.3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be transferred in accordance with Section 14(b) of the Plan, the word “Participant” shall be deemed to include such person or persons.</w:t>
      </w:r>
    </w:p>
    <w:p>
      <w:pPr>
        <w:spacing w:after="0" w:line="171" w:lineRule="exact"/>
        <w:rPr>
          <w:sz w:val="20"/>
          <w:szCs w:val="20"/>
          <w:color w:val="auto"/>
        </w:rPr>
      </w:pPr>
    </w:p>
    <w:p>
      <w:pPr>
        <w:jc w:val="both"/>
        <w:ind w:firstLine="1304"/>
        <w:spacing w:after="0" w:line="220" w:lineRule="auto"/>
        <w:tabs>
          <w:tab w:leader="none" w:pos="149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49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Restricted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49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The Participant is ultimately liable and responsible for all taxes owed by Participant in connection with this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makes no representation or undertaking regarding the tax treatment of the grant, vesting, or settlement of this Award or the subsequent sale of any of the shares of Common Stock. The Company does not commit and is under no obligation to structure this Award to reduce or eliminate the Participant’s tax liability.</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59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7" w:lineRule="exact"/>
        <w:rPr>
          <w:rFonts w:ascii="Times New Roman" w:cs="Times New Roman" w:eastAsia="Times New Roman" w:hAnsi="Times New Roman"/>
          <w:sz w:val="20"/>
          <w:szCs w:val="20"/>
          <w:color w:val="auto"/>
        </w:rPr>
      </w:pPr>
    </w:p>
    <w:p>
      <w:pPr>
        <w:ind w:firstLine="1304"/>
        <w:spacing w:after="0" w:line="245" w:lineRule="auto"/>
        <w:tabs>
          <w:tab w:leader="none" w:pos="158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other service provider to the Company or any of its Subsidiaries.</w:t>
      </w:r>
    </w:p>
    <w:p>
      <w:pPr>
        <w:spacing w:after="0" w:line="151" w:lineRule="exact"/>
        <w:rPr>
          <w:rFonts w:ascii="Times New Roman" w:cs="Times New Roman" w:eastAsia="Times New Roman" w:hAnsi="Times New Roman"/>
          <w:sz w:val="20"/>
          <w:szCs w:val="20"/>
          <w:color w:val="auto"/>
        </w:rPr>
      </w:pPr>
    </w:p>
    <w:p>
      <w:pPr>
        <w:ind w:firstLine="1304"/>
        <w:spacing w:after="0" w:line="235" w:lineRule="auto"/>
        <w:tabs>
          <w:tab w:leader="none" w:pos="160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5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59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60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 Forfeiture</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1001248.3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5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have received under the terms of this Restricted Stock Unit Agreement for any reason (including without limitation by reason of a financial restatement, mistake in calculations or other administrative error), then the Participant shall be required to repay any such excess amount to</w:t>
      </w:r>
    </w:p>
    <w:p>
      <w:pPr>
        <w:spacing w:after="0" w:line="212" w:lineRule="auto"/>
        <w:rPr>
          <w:sz w:val="20"/>
          <w:szCs w:val="20"/>
          <w:color w:val="auto"/>
        </w:rPr>
      </w:pPr>
      <w:r>
        <w:rPr>
          <w:rFonts w:ascii="Times New Roman" w:cs="Times New Roman" w:eastAsia="Times New Roman" w:hAnsi="Times New Roman"/>
          <w:sz w:val="20"/>
          <w:szCs w:val="20"/>
          <w:color w:val="auto"/>
        </w:rPr>
        <w:t>the Company. Without limiting the foregoing, all Restricted Stock Units shall be subject to reduction, cancellation, forfeiture or recoupment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extent necessary to comply with applicable law. “</w:t>
      </w: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w:t>
      </w:r>
    </w:p>
    <w:p>
      <w:pPr>
        <w:spacing w:after="0" w:line="211" w:lineRule="auto"/>
        <w:rPr>
          <w:sz w:val="20"/>
          <w:szCs w:val="20"/>
          <w:color w:val="auto"/>
        </w:rPr>
      </w:pPr>
      <w:r>
        <w:rPr>
          <w:rFonts w:ascii="Times New Roman" w:cs="Times New Roman" w:eastAsia="Times New Roman" w:hAnsi="Times New Roman"/>
          <w:sz w:val="20"/>
          <w:szCs w:val="20"/>
          <w:color w:val="auto"/>
        </w:rPr>
        <w:t>Participant’s employment or service with the Company for Cause; (iii) a breach by the Participant of any restrictive covenant by which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is bound, including, without limitation, any covenant not to compete or not to hire or solicit, in any agreement with any member of the Company Group; or (iv) fraud, gross negligence or conduct contributing to any financial restatements or irregularities, as determined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the Committee in its sole discretion.</w:t>
      </w:r>
    </w:p>
    <w:p>
      <w:pPr>
        <w:spacing w:after="0" w:line="163" w:lineRule="exact"/>
        <w:rPr>
          <w:sz w:val="20"/>
          <w:szCs w:val="20"/>
          <w:color w:val="auto"/>
        </w:rPr>
      </w:pPr>
    </w:p>
    <w:p>
      <w:pPr>
        <w:jc w:val="both"/>
        <w:ind w:firstLine="1304"/>
        <w:spacing w:after="0" w:line="218" w:lineRule="auto"/>
        <w:tabs>
          <w:tab w:leader="none" w:pos="160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Restricted Stock Unit Agreement shall be construed and interpreted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5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60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 The Restricted Stock Units granted hereunder, and the shares of Common Stock issued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14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pursuant to the “short-term deferral” rule applicable to such section, as set forth in the regulations or other guidance published by the Internal Revenue Service thereunder.</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63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Transmission Acknowledgement</w:t>
      </w:r>
      <w:r>
        <w:rPr>
          <w:rFonts w:ascii="Times New Roman" w:cs="Times New Roman" w:eastAsia="Times New Roman" w:hAnsi="Times New Roman"/>
          <w:sz w:val="20"/>
          <w:szCs w:val="20"/>
          <w:color w:val="auto"/>
        </w:rPr>
        <w:t>. To the extent necessary, the Participant authorizes, agrees and unambiguously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44" w:lineRule="exact"/>
        <w:rPr>
          <w:rFonts w:ascii="Times New Roman" w:cs="Times New Roman" w:eastAsia="Times New Roman" w:hAnsi="Times New Roman"/>
          <w:sz w:val="20"/>
          <w:szCs w:val="20"/>
          <w:color w:val="auto"/>
        </w:rPr>
      </w:pPr>
    </w:p>
    <w:p>
      <w:pPr>
        <w:jc w:val="both"/>
        <w:ind w:firstLine="1304"/>
        <w:spacing w:after="0" w:line="216" w:lineRule="auto"/>
        <w:tabs>
          <w:tab w:leader="none" w:pos="15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20"/>
          <w:szCs w:val="20"/>
          <w:u w:val="single" w:color="auto"/>
          <w:color w:val="auto"/>
        </w:rPr>
        <w:t>Restricted Stock Unit Governing Documents</w:t>
      </w:r>
      <w:r>
        <w:rPr>
          <w:rFonts w:ascii="Times New Roman" w:cs="Times New Roman" w:eastAsia="Times New Roman" w:hAnsi="Times New Roman"/>
          <w:sz w:val="20"/>
          <w:szCs w:val="20"/>
          <w:color w:val="auto"/>
        </w:rPr>
        <w:t>”), the Restricted Stock Unit Governing Documents shall control.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1001248.3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93" w:lineRule="exact"/>
        <w:rPr>
          <w:sz w:val="20"/>
          <w:szCs w:val="20"/>
          <w:color w:val="auto"/>
        </w:rPr>
      </w:pPr>
    </w:p>
    <w:p>
      <w:pPr>
        <w:jc w:val="both"/>
        <w:ind w:firstLine="1304"/>
        <w:spacing w:after="0" w:line="227" w:lineRule="auto"/>
        <w:tabs>
          <w:tab w:leader="none" w:pos="15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The Restricted Stock Unit Governing Documents constitute the entire agreement of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1001248.3</w:t>
      </w:r>
    </w:p>
    <w:p>
      <w:pPr>
        <w:sectPr>
          <w:pgSz w:w="11900" w:h="16838" w:orient="portrait"/>
          <w:cols w:equalWidth="0" w:num="1">
            <w:col w:w="11240"/>
          </w:cols>
          <w:pgMar w:left="320" w:top="144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ACADEMY HOLDING COMPANY, LLC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MANISH MAINI</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May 25,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318829.1</w:t>
      </w:r>
    </w:p>
    <w:p>
      <w:pPr>
        <w:sectPr>
          <w:pgSz w:w="11900" w:h="16838" w:orient="portrait"/>
          <w:cols w:equalWidth="0" w:num="1">
            <w:col w:w="11240"/>
          </w:cols>
          <w:pgMar w:left="320" w:top="104" w:right="339" w:bottom="1440" w:gutter="0" w:footer="0" w:header="0"/>
        </w:sectPr>
      </w:pPr>
    </w:p>
    <w:bookmarkStart w:id="50" w:name="page51"/>
    <w:bookmarkEnd w:id="50"/>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7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May 25, 2017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is entered into by and among Manish Maini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Academy Managing Co., L.L.C., a Texas limited liability company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New Academy Holding Company, LLC, a Delaware limited liability company (the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WHEREAS, the Company is the sole general partner of Academy, Ltd., a Texas limited partnership (“</w:t>
      </w:r>
      <w:r>
        <w:rPr>
          <w:rFonts w:ascii="Times New Roman" w:cs="Times New Roman" w:eastAsia="Times New Roman" w:hAnsi="Times New Roman"/>
          <w:sz w:val="22"/>
          <w:szCs w:val="22"/>
          <w:b w:val="1"/>
          <w:bCs w:val="1"/>
          <w:i w:val="1"/>
          <w:iCs w:val="1"/>
          <w:color w:val="auto"/>
        </w:rPr>
        <w:t>Academy</w:t>
      </w:r>
      <w:r>
        <w:rPr>
          <w:rFonts w:ascii="Times New Roman" w:cs="Times New Roman" w:eastAsia="Times New Roman" w:hAnsi="Times New Roman"/>
          <w:sz w:val="22"/>
          <w:szCs w:val="22"/>
          <w:color w:val="auto"/>
        </w:rPr>
        <w:t>”); and</w:t>
      </w:r>
    </w:p>
    <w:p>
      <w:pPr>
        <w:spacing w:after="0" w:line="185"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WHEREAS, the Company desires to employ the Executive as Senior Vice President — Chief Information Officer of the Company and to encourage the attention and dedication to the Company Group (as such term is defined below) of the Executive as a member of the Company’s management pursuant to the terms and conditions set forth in this Agreement; and</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WHEREAS, the Executive acknowledges that (i) the Executive’s employment with the Company will provide the Executive with trade secrets of, and confidential information concerning, the Company, the Parent and the entities controlled by, controlling or under common control with the Company or the Parent that conduct Academy’s business (such entities, together with Academy, the Company and the Parent, collectively,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and (ii) the covenants contained in this Agreement are essential to protect the business and goodwill of the Company Group.</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premises and the respective covenants and agreements of the parties herein contained, and intending to be legally bound hereby, the parties hereto agree as follows:</w:t>
      </w:r>
    </w:p>
    <w:p>
      <w:pPr>
        <w:spacing w:after="0" w:line="150" w:lineRule="exact"/>
        <w:rPr>
          <w:sz w:val="20"/>
          <w:szCs w:val="20"/>
          <w:color w:val="auto"/>
        </w:rPr>
      </w:pPr>
    </w:p>
    <w:p>
      <w:pPr>
        <w:jc w:val="both"/>
        <w:ind w:firstLine="656"/>
        <w:spacing w:after="0" w:line="221" w:lineRule="auto"/>
        <w:tabs>
          <w:tab w:leader="none" w:pos="129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and Term</w:t>
      </w:r>
      <w:r>
        <w:rPr>
          <w:rFonts w:ascii="Times New Roman" w:cs="Times New Roman" w:eastAsia="Times New Roman" w:hAnsi="Times New Roman"/>
          <w:sz w:val="21"/>
          <w:szCs w:val="21"/>
          <w:color w:val="auto"/>
        </w:rPr>
        <w:t>. The Company hereby agrees to employ the Executive, and the Executive hereby accepts such employment, on the terms and conditions hereinafter set forth. Subject to earlier termination of Executive’s employment pursuant to Section 6 hereof, the period of employment of the Executive by the Company hereunder (the “</w:t>
      </w:r>
      <w:r>
        <w:rPr>
          <w:rFonts w:ascii="Times New Roman" w:cs="Times New Roman" w:eastAsia="Times New Roman" w:hAnsi="Times New Roman"/>
          <w:sz w:val="21"/>
          <w:szCs w:val="21"/>
          <w:b w:val="1"/>
          <w:bCs w:val="1"/>
          <w:i w:val="1"/>
          <w:iCs w:val="1"/>
          <w:color w:val="auto"/>
        </w:rPr>
        <w:t>Employment Period</w:t>
      </w:r>
      <w:r>
        <w:rPr>
          <w:rFonts w:ascii="Times New Roman" w:cs="Times New Roman" w:eastAsia="Times New Roman" w:hAnsi="Times New Roman"/>
          <w:sz w:val="21"/>
          <w:szCs w:val="21"/>
          <w:color w:val="auto"/>
        </w:rPr>
        <w:t>”) shall commence on May 25, 2017 (the “</w:t>
      </w:r>
      <w:r>
        <w:rPr>
          <w:rFonts w:ascii="Times New Roman" w:cs="Times New Roman" w:eastAsia="Times New Roman" w:hAnsi="Times New Roman"/>
          <w:sz w:val="21"/>
          <w:szCs w:val="21"/>
          <w:b w:val="1"/>
          <w:bCs w:val="1"/>
          <w:i w:val="1"/>
          <w:iCs w:val="1"/>
          <w:color w:val="auto"/>
        </w:rPr>
        <w:t>Commencement Date</w:t>
      </w:r>
      <w:r>
        <w:rPr>
          <w:rFonts w:ascii="Times New Roman" w:cs="Times New Roman" w:eastAsia="Times New Roman" w:hAnsi="Times New Roman"/>
          <w:sz w:val="21"/>
          <w:szCs w:val="21"/>
          <w:color w:val="auto"/>
        </w:rPr>
        <w:t xml:space="preserve">”), and shall end on the first anniversary of the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Employment Period shall be automatically extended for an additional year on each anniversary of the Effective Date </w:t>
      </w:r>
      <w:r>
        <w:rPr>
          <w:rFonts w:ascii="Times New Roman" w:cs="Times New Roman" w:eastAsia="Times New Roman" w:hAnsi="Times New Roman"/>
          <w:sz w:val="21"/>
          <w:szCs w:val="21"/>
          <w:u w:val="single" w:color="auto"/>
          <w:color w:val="auto"/>
        </w:rPr>
        <w:t>unless</w:t>
      </w:r>
      <w:r>
        <w:rPr>
          <w:rFonts w:ascii="Times New Roman" w:cs="Times New Roman" w:eastAsia="Times New Roman" w:hAnsi="Times New Roman"/>
          <w:sz w:val="21"/>
          <w:szCs w:val="21"/>
          <w:color w:val="auto"/>
        </w:rPr>
        <w:t xml:space="preserve"> written Notice of Termination (as defined in Section 7(a) hereof) is given, not later than thirty (30) days prior to the end of the Employment Period (including any extension of the Employment Period), by either the Company or the Executive to the other party that the Company or the Executive, as applicable, has elected not to extend the Employment Period for an additional year, such that, subject to the second proviso in Section 6(e), the Employment Period shall expire, and the Executive’s employment with the Company shall terminate, effective as of the last day of the then-current Employment Period.</w:t>
      </w:r>
    </w:p>
    <w:p>
      <w:pPr>
        <w:spacing w:after="0" w:line="15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3"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Commencement Date, the Executive shall serve as Senior Vice President — Chief Information Officer of the Company, in which capacity the Executive shall perform the usual and customary duties of such office, which shall be those normally inherent in such capacities in companies of similar size and character as the Company Group. The Executive shall report to the President and Chief Executive Officer of the Company. The Executive shall, if requested, also serve as an officer or director of any member of the Company Group for no additional compensation. When reasonably requested by the President and Chief Executive Officer, the Executive shall also be required to perform the usual and customary duties of any executive with the title of Senior Vice President with companies of similar size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1" w:name="page52"/>
    <w:bookmarkEnd w:id="51"/>
    <w:p>
      <w:pPr>
        <w:ind w:right="20"/>
        <w:spacing w:after="0" w:line="236" w:lineRule="auto"/>
        <w:rPr>
          <w:sz w:val="20"/>
          <w:szCs w:val="20"/>
          <w:color w:val="auto"/>
        </w:rPr>
      </w:pPr>
      <w:r>
        <w:rPr>
          <w:rFonts w:ascii="Times New Roman" w:cs="Times New Roman" w:eastAsia="Times New Roman" w:hAnsi="Times New Roman"/>
          <w:sz w:val="22"/>
          <w:szCs w:val="22"/>
          <w:color w:val="auto"/>
        </w:rPr>
        <w:t>character as the Company Group, whether or not such duties are within the scope of the Executive’s duties on the Commencement Date.</w:t>
      </w:r>
    </w:p>
    <w:p>
      <w:pPr>
        <w:spacing w:after="0" w:line="150" w:lineRule="exact"/>
        <w:rPr>
          <w:sz w:val="20"/>
          <w:szCs w:val="20"/>
          <w:color w:val="auto"/>
        </w:rPr>
      </w:pPr>
    </w:p>
    <w:p>
      <w:pPr>
        <w:jc w:val="both"/>
        <w:ind w:firstLine="656"/>
        <w:spacing w:after="0" w:line="221" w:lineRule="auto"/>
        <w:tabs>
          <w:tab w:leader="none" w:pos="129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Employment Period, the Executive agrees to devote substantially the Executive’s full time, attention and energies to the Company Group’s business and agrees to faithfully and diligently endeavor to the best of the Executive’s ability to further the best interests of the Company Group. The Executive shall not engage in any other business activity, whether or not such business activity is pursued for gain, profit or other pecuniary advantage. Subject to the covenants of Section 9 hereof, this shall not be construed as preventing the Executive from investing the Executive’s own assets in such form or manner as will not require the Executive’s services in the daily operations of the affairs of the companies in which such investments are made. Further, subject to the covenants of Section 9 hereof, the Executive may serve as a director of other companies, if such service is approved by the Parent’s Board of Managers or, if and when applicable, the equivalent ultimate governing authority of the Company Group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so long as such service is not detrimental to the Company Group, does not interfere with the Executive’s service to the Company Group, and does not present the Executive with a conflict of interest.</w:t>
      </w:r>
    </w:p>
    <w:p>
      <w:pPr>
        <w:spacing w:after="0" w:line="152" w:lineRule="exact"/>
        <w:rPr>
          <w:rFonts w:ascii="Times New Roman" w:cs="Times New Roman" w:eastAsia="Times New Roman" w:hAnsi="Times New Roman"/>
          <w:sz w:val="21"/>
          <w:szCs w:val="21"/>
          <w:color w:val="auto"/>
        </w:rPr>
      </w:pPr>
    </w:p>
    <w:p>
      <w:pPr>
        <w:jc w:val="both"/>
        <w:ind w:firstLine="656"/>
        <w:spacing w:after="0" w:line="215"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and acknowledges that, in connection with the Executive’s employment relationship with the Company, the Executive owes fiduciary duties to the Company Group and will act accordingly. In keeping with the Executive’s fiduciary duties to the Company Group, the Executive agrees that the Executive shall not, directly or indirectly, become involved in any conflict of interest or, upon discovery thereof, allow such a conflict of interest to continue. The Executive agrees that the Executive shall promptly disclose to the Board any facts which might involve any reasonable possibility of a conflict of interest, or be perceived as such.</w:t>
      </w:r>
    </w:p>
    <w:p>
      <w:pPr>
        <w:spacing w:after="0" w:line="152"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Circumstances in which a conflict of interest on the part of the Executive would or might arise, and which should be reported immediately by the Executive to the Board, include, but are not limited to, the following: (i) ownership of a material interest in, acting in any capacity for, or accepting directly or indirectly any payments, services or loans from a supplier, contractor, subcontractor, customer or other entity with which the Company Group does business; (ii) misuse of information or facilities to which the Executive has access in a manner which will be detrimental to the Company Group’s interest; (iii) disclosure or other misuse of Confidential Information (as defined in Section 9(a) hereof); (iv) acquiring or trading in, directly or indirectly, other properties or interests connected with the design, manufacture or marketing of products or services designed, manufactured or marketed by the Company Group; (v) the appropriation to the Executive or the diversion to others, directly or indirectly, of any opportunity in which it is known or could reasonably be anticipated that the Company Group would be interested; (vi) the ownership, directly or indirectly, of a material interest in an enterprise in competition with the Company Group or acting as a director, officer, partner, consultant, employee or agent of any enterprise which is in competition with the Company Group; and (vii) if not otherwise listed in this provision, any other circumstances that would create a conflict of interest under the Company’s Ethics and Code of Conduct Policy and any successors thereto.</w:t>
      </w:r>
    </w:p>
    <w:p>
      <w:pPr>
        <w:spacing w:after="0" w:line="1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the Executive covenants, warrants and represents that the Executive shall:</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devote the Executive’s full and best efforts to the fulfillment of the Executive’s employment obligations</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55"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the highest degree of fiduciary loyalty and care and the highest standards of conduct in the performance of the Executive’s duties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52" w:name="page53"/>
    <w:bookmarkEnd w:id="52"/>
    <w:p>
      <w:pPr>
        <w:ind w:left="1960" w:hanging="656"/>
        <w:spacing w:after="0"/>
        <w:tabs>
          <w:tab w:leader="none" w:pos="196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endeavor to prevent any harm, in any way, to the business or reputation of the Company Group.</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Section 2, the determination of whether any matter or transaction constitutes a conflict of interest hereunder shall be made solely by the Board in its reasonable, good faith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matter or transaction that is permitted by or otherwise in compliance with the terms and conditions of all applicable ethics, conflict of interest or similar written policies of the Company Group in effect at the time of such determination shall not be a conflict of interest hereunder. The determination of whether any matter or transaction is permitted by or otherwise in compliance with the terms and conditions of such policies shall be made solely by the Board in its reasonable, good faith discretion.</w:t>
      </w:r>
    </w:p>
    <w:p>
      <w:pPr>
        <w:spacing w:after="0" w:line="152" w:lineRule="exact"/>
        <w:rPr>
          <w:sz w:val="20"/>
          <w:szCs w:val="20"/>
          <w:color w:val="auto"/>
        </w:rPr>
      </w:pPr>
    </w:p>
    <w:p>
      <w:pPr>
        <w:jc w:val="both"/>
        <w:ind w:firstLine="656"/>
        <w:spacing w:after="0" w:line="220"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In connection with the Executive’s employment by the Company, the Executive’s principal business address shall be at the Company’s current principal executive offices in Katy, Texas (the “</w:t>
      </w:r>
      <w:r>
        <w:rPr>
          <w:rFonts w:ascii="Times New Roman" w:cs="Times New Roman" w:eastAsia="Times New Roman" w:hAnsi="Times New Roman"/>
          <w:sz w:val="22"/>
          <w:szCs w:val="22"/>
          <w:b w:val="1"/>
          <w:bCs w:val="1"/>
          <w:i w:val="1"/>
          <w:iCs w:val="1"/>
          <w:color w:val="auto"/>
        </w:rPr>
        <w:t>Principal Place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Employment</w:t>
      </w:r>
      <w:r>
        <w:rPr>
          <w:rFonts w:ascii="Times New Roman" w:cs="Times New Roman" w:eastAsia="Times New Roman" w:hAnsi="Times New Roman"/>
          <w:sz w:val="22"/>
          <w:szCs w:val="22"/>
          <w:color w:val="auto"/>
        </w:rPr>
        <w:t>”). The Executive acknowledges that the Executive’s duties and responsibilities shall require the Executive to travel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 business to the extent reasonably necessary to fully perform the Executive's duties and responsibilities hereunder.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56"/>
        <w:spacing w:after="0" w:line="226" w:lineRule="auto"/>
        <w:tabs>
          <w:tab w:leader="none" w:pos="129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Base Salary. </w:t>
      </w:r>
      <w:r>
        <w:rPr>
          <w:rFonts w:ascii="Times New Roman" w:cs="Times New Roman" w:eastAsia="Times New Roman" w:hAnsi="Times New Roman"/>
          <w:sz w:val="21"/>
          <w:szCs w:val="21"/>
          <w:color w:val="auto"/>
        </w:rPr>
        <w:t>During the Employment Period, the Company shall pay, or cause Academy to pay, the Executive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annual base salary (the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in an amount that shall be established from time to time by the Board or a compensation committee thereof, payable in approximately equal installments in accordance with the Company Group’s customary payroll practices. The initial Base Salary for fiscal year 2017 shall be $440,000.00. The Board or a compensation committee thereof shall review the Base Salary at least once annually during the Employment Period. The Base Salary may, at the discretion of the Board or a compensation committee thereof, be increased but not decreased during the Employment Period.</w:t>
      </w:r>
    </w:p>
    <w:p>
      <w:pPr>
        <w:spacing w:after="0" w:line="147" w:lineRule="exact"/>
        <w:rPr>
          <w:rFonts w:ascii="Times New Roman" w:cs="Times New Roman" w:eastAsia="Times New Roman" w:hAnsi="Times New Roman"/>
          <w:sz w:val="21"/>
          <w:szCs w:val="21"/>
          <w:color w:val="auto"/>
        </w:rPr>
      </w:pPr>
    </w:p>
    <w:p>
      <w:pPr>
        <w:jc w:val="both"/>
        <w:ind w:firstLine="656"/>
        <w:spacing w:after="0" w:line="218" w:lineRule="auto"/>
        <w:tabs>
          <w:tab w:leader="none" w:pos="129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Annual Bonuses. </w:t>
      </w:r>
      <w:r>
        <w:rPr>
          <w:rFonts w:ascii="Times New Roman" w:cs="Times New Roman" w:eastAsia="Times New Roman" w:hAnsi="Times New Roman"/>
          <w:sz w:val="21"/>
          <w:szCs w:val="21"/>
          <w:color w:val="auto"/>
        </w:rPr>
        <w:t>Effective commencing with the Company’s 2017 fiscal year, the Executive shall be eligible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participate in an annual cash bonus plan maintained by the Company or Academy, as applicable (the “</w:t>
      </w:r>
      <w:r>
        <w:rPr>
          <w:rFonts w:ascii="Times New Roman" w:cs="Times New Roman" w:eastAsia="Times New Roman" w:hAnsi="Times New Roman"/>
          <w:sz w:val="21"/>
          <w:szCs w:val="21"/>
          <w:b w:val="1"/>
          <w:bCs w:val="1"/>
          <w:i w:val="1"/>
          <w:iCs w:val="1"/>
          <w:color w:val="auto"/>
        </w:rPr>
        <w:t>Annual Incentive Plan</w:t>
      </w:r>
      <w:r>
        <w:rPr>
          <w:rFonts w:ascii="Times New Roman" w:cs="Times New Roman" w:eastAsia="Times New Roman" w:hAnsi="Times New Roman"/>
          <w:sz w:val="21"/>
          <w:szCs w:val="21"/>
          <w:color w:val="auto"/>
        </w:rPr>
        <w:t>”), during the Employment Period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Except as expressly provided otherwise in this Section 4(b), the annual bonus opportunity afforded the Executive pursuant to this Section 4(b) (the “</w:t>
      </w:r>
      <w:r>
        <w:rPr>
          <w:rFonts w:ascii="Times New Roman" w:cs="Times New Roman" w:eastAsia="Times New Roman" w:hAnsi="Times New Roman"/>
          <w:sz w:val="21"/>
          <w:szCs w:val="21"/>
          <w:b w:val="1"/>
          <w:bCs w:val="1"/>
          <w:i w:val="1"/>
          <w:iCs w:val="1"/>
          <w:color w:val="auto"/>
        </w:rPr>
        <w:t>Annual Bonus</w:t>
      </w:r>
      <w:r>
        <w:rPr>
          <w:rFonts w:ascii="Times New Roman" w:cs="Times New Roman" w:eastAsia="Times New Roman" w:hAnsi="Times New Roman"/>
          <w:sz w:val="21"/>
          <w:szCs w:val="21"/>
          <w:color w:val="auto"/>
        </w:rPr>
        <w:t>”) may vary from year to year and any Annual Bonus earned thereunder shall be paid at a time and in a manner consistent with the Company’s or Academy’s, as applicable, customary practices. Effective commencing with the Company’s 2017 fiscal year, the Annual Bonus for each fiscal year will be determined in accordance with the Annual Incentive Plan established for such fiscal year, which will afford the Executive an opportunity to earn an annual bonus amount targeted at seventy-five percent (75%) of the Base Salary in effect for such fiscal year (the “</w:t>
      </w:r>
      <w:r>
        <w:rPr>
          <w:rFonts w:ascii="Times New Roman" w:cs="Times New Roman" w:eastAsia="Times New Roman" w:hAnsi="Times New Roman"/>
          <w:sz w:val="21"/>
          <w:szCs w:val="21"/>
          <w:b w:val="1"/>
          <w:bCs w:val="1"/>
          <w:i w:val="1"/>
          <w:iCs w:val="1"/>
          <w:color w:val="auto"/>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Bonus Opportunity</w:t>
      </w:r>
      <w:r>
        <w:rPr>
          <w:rFonts w:ascii="Times New Roman" w:cs="Times New Roman" w:eastAsia="Times New Roman" w:hAnsi="Times New Roman"/>
          <w:sz w:val="21"/>
          <w:szCs w:val="21"/>
          <w:color w:val="auto"/>
        </w:rPr>
        <w:t>”), with the actual Annual Bonus payable, if any, being determined based on the achievement of such pre-established performance targets for such fiscal year, with any Annual Bonus earned thereunder to be paid in the immediately following fiscal year in accordance with the Annual Incentive Plan. Notwithstanding the foregoing sentence, for the Company’s 2017 fiscal year, the Executive shall be guaranteed to receive an annual bonus in an amount equal to at least the Target Bonus Opportunity for the full fiscal year, which will be paid at the time bonuses are or would be paid under the Company’s 2017 Annual Incentive Plan. The establishment of performance targets and the determination of the achievement of those targets will in all cases be subject to the determination of the Board or a compensation committee thereof. The Annual Bonus is not an accrued right under this Agreement. Except as specifically provided in Section 8 hereof, the Executive shall not be entitled to a pro rata Annual Bonus upon a termination of employment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53" w:name="page54"/>
    <w:bookmarkEnd w:id="53"/>
    <w:p>
      <w:pPr>
        <w:jc w:val="both"/>
        <w:ind w:firstLine="656"/>
        <w:spacing w:after="0" w:line="218" w:lineRule="auto"/>
        <w:tabs>
          <w:tab w:leader="none" w:pos="12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Company shall (or shall cause Academy to) reimburse the Executive for all reasonable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entertainment and travel expenses incurred during the Employment Period by the Executive in performing services hereunder, including all travel expenses while away from home on business or at the request of and in the service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such expenses are incurred, accounted for, and reimbursed in accordance with the Company’s expense reimbursement policy.</w:t>
      </w:r>
    </w:p>
    <w:p>
      <w:pPr>
        <w:spacing w:after="0" w:line="147"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Relocation. </w:t>
      </w:r>
      <w:r>
        <w:rPr>
          <w:rFonts w:ascii="Times New Roman" w:cs="Times New Roman" w:eastAsia="Times New Roman" w:hAnsi="Times New Roman"/>
          <w:sz w:val="22"/>
          <w:szCs w:val="22"/>
          <w:color w:val="auto"/>
        </w:rPr>
        <w:t>In connection with the Executive’s relocation of the Executive’s primary residence from its current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location to the Houston, Texas area, the Company shall provide, or cause Academy to provide, the Executive with the relocation benefits set forth on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hereto, subject to the Company’s receipt of adequate documentation for expenses incurred,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employment is terminated either by the Company for Cause or by the Executive without Good Reason, in either case, prior to the first anniversary of the Commencement Date, the Executive shall repay to the Company or Academy (or, if elected by the Company or Academy and to the extent permitted under applicable law, the amount of any compensation or benefits payable to the Executive under this Agreement shall be offset by) a pro-rated portion of the aggregate gross amount paid by the Company or Academy, as applicable, in providing such relocation benefits, calculated based on the number of whole months remaining in such twelve (12)-month period from the Date of Termination (as such term is defined in Section 7(b) hereof), as soon as practicable following such Date of Termination.</w:t>
      </w:r>
    </w:p>
    <w:p>
      <w:pPr>
        <w:spacing w:after="0" w:line="151"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Sign-On Bonus. </w:t>
      </w:r>
      <w:r>
        <w:rPr>
          <w:rFonts w:ascii="Times New Roman" w:cs="Times New Roman" w:eastAsia="Times New Roman" w:hAnsi="Times New Roman"/>
          <w:sz w:val="22"/>
          <w:szCs w:val="22"/>
          <w:color w:val="auto"/>
        </w:rPr>
        <w:t>The Company will pay the Executive a sign-on bonus in the total gross amount of $50,000.00,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less all applicable withholdings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Sign-On Bonus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 later than thirty (30) days after the Commencement Date. If the Executive’s employment is terminated either by the Company for Cause or by the Executive without Good Reason, in either case, before the Executive completes one (1) year of employment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Sign-On Bonus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the Executive shall be required to repay to the Company as soon as practicable following such Date of Termination (as such term is defined herein), a pro-rated portion of the gross amount of the Sign-On Bonus paid by the Company, calculated based on the number of whole months remaining in such twelve (12) month period from the Date of Termination.</w:t>
      </w:r>
    </w:p>
    <w:p>
      <w:pPr>
        <w:spacing w:after="0" w:line="148"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Benefits. </w:t>
      </w:r>
      <w:r>
        <w:rPr>
          <w:rFonts w:ascii="Times New Roman" w:cs="Times New Roman" w:eastAsia="Times New Roman" w:hAnsi="Times New Roman"/>
          <w:sz w:val="22"/>
          <w:szCs w:val="22"/>
          <w:color w:val="auto"/>
        </w:rPr>
        <w:t>During the Employment Period, the Executive shall be entitled to participate in all of the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 plans and programs and fringe benefits and perquisites arrangements made available by the Company to its other senior executive officers, subject to and on a basis consistent with the terms, conditions and overall administration of such plans, programs and arrangements. The Company shall have the right to change, amend or discontinue any benefit plan, program, or arrangement, subject to and on a basis consistent with the terms, conditions and overall administration of such plans, programs and arrangements.</w:t>
      </w:r>
    </w:p>
    <w:p>
      <w:pPr>
        <w:spacing w:after="0" w:line="145"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Vacation. </w:t>
      </w:r>
      <w:r>
        <w:rPr>
          <w:rFonts w:ascii="Times New Roman" w:cs="Times New Roman" w:eastAsia="Times New Roman" w:hAnsi="Times New Roman"/>
          <w:sz w:val="22"/>
          <w:szCs w:val="22"/>
          <w:color w:val="auto"/>
        </w:rPr>
        <w:t>During the Employment Period, the Executive shall be entitled to paid vacations and holidays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the Company’s vacation and holiday policies in effect from time to time for the Company’s senior executive officers, but in no event shall the Executive be entitled to less than two hundred (200) paid hours of vacation during each fiscal year (prorated for 2017 from the Commencement Date).</w:t>
      </w:r>
    </w:p>
    <w:p>
      <w:pPr>
        <w:spacing w:after="0" w:line="148"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Investment Opportunity. </w:t>
      </w:r>
      <w:r>
        <w:rPr>
          <w:rFonts w:ascii="Times New Roman" w:cs="Times New Roman" w:eastAsia="Times New Roman" w:hAnsi="Times New Roman"/>
          <w:sz w:val="22"/>
          <w:szCs w:val="22"/>
          <w:color w:val="auto"/>
        </w:rPr>
        <w:t>At a time determined by the Board (and subject to the Executive’s continued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such time), the Executive will be permitted to indirectly invest in the equity of the Parent, through the purchase of Class B Units of Allstar Managers LLC, a Delaware limited liability company (“</w:t>
      </w:r>
      <w:r>
        <w:rPr>
          <w:rFonts w:ascii="Times New Roman" w:cs="Times New Roman" w:eastAsia="Times New Roman" w:hAnsi="Times New Roman"/>
          <w:sz w:val="22"/>
          <w:szCs w:val="22"/>
          <w:b w:val="1"/>
          <w:bCs w:val="1"/>
          <w:i w:val="1"/>
          <w:iCs w:val="1"/>
          <w:color w:val="auto"/>
        </w:rPr>
        <w:t>Allstar Managers</w:t>
      </w:r>
      <w:r>
        <w:rPr>
          <w:rFonts w:ascii="Times New Roman" w:cs="Times New Roman" w:eastAsia="Times New Roman" w:hAnsi="Times New Roman"/>
          <w:sz w:val="22"/>
          <w:szCs w:val="22"/>
          <w:color w:val="auto"/>
        </w:rPr>
        <w:t>”) and member of the Parent, in an amount having an aggregate value to be determined by the Board and the Executive, based on a purchase price per unit equal to the then-current fair market value per Class B Unit of Allstar Managers,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54" w:name="page55"/>
    <w:bookmarkEnd w:id="54"/>
    <w:p>
      <w:pPr>
        <w:jc w:val="both"/>
        <w:ind w:firstLine="656"/>
        <w:spacing w:after="0" w:line="208"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Equity Award Grants</w:t>
      </w:r>
      <w:r>
        <w:rPr>
          <w:rFonts w:ascii="Times New Roman" w:cs="Times New Roman" w:eastAsia="Times New Roman" w:hAnsi="Times New Roman"/>
          <w:sz w:val="22"/>
          <w:szCs w:val="22"/>
          <w:color w:val="auto"/>
        </w:rPr>
        <w:t>. Within thirty (30) days after (and subject to Executive’s continued employment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Commencement Date , the Executive shall be granted a number of options to acquire Membership Units of the Parent (such options, the “</w:t>
      </w:r>
      <w:r>
        <w:rPr>
          <w:rFonts w:ascii="Times New Roman" w:cs="Times New Roman" w:eastAsia="Times New Roman" w:hAnsi="Times New Roman"/>
          <w:sz w:val="22"/>
          <w:szCs w:val="22"/>
          <w:b w:val="1"/>
          <w:bCs w:val="1"/>
          <w:i w:val="1"/>
          <w:iCs w:val="1"/>
          <w:color w:val="auto"/>
        </w:rPr>
        <w:t>Make-Whole Options</w:t>
      </w:r>
      <w:r>
        <w:rPr>
          <w:rFonts w:ascii="Times New Roman" w:cs="Times New Roman" w:eastAsia="Times New Roman" w:hAnsi="Times New Roman"/>
          <w:sz w:val="22"/>
          <w:szCs w:val="22"/>
          <w:color w:val="auto"/>
        </w:rPr>
        <w:t>”), with an exercise price established at fair market value at the date of the grant, pursuant and subject to the New Academy Holding Company, LLC 2011 Unit Incentive Plan, as may be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terms and conditions of the form of an Option Award Agreement to be provided by the Company, which Make-Whole Options shall have an aggregate grant date fair value equal to $1,250,000.00. For purposes of this Agreement, the date on which Make-Whole Options are granted shall be referred to as the “</w:t>
      </w:r>
      <w:r>
        <w:rPr>
          <w:rFonts w:ascii="Times New Roman" w:cs="Times New Roman" w:eastAsia="Times New Roman" w:hAnsi="Times New Roman"/>
          <w:sz w:val="22"/>
          <w:szCs w:val="22"/>
          <w:b w:val="1"/>
          <w:bCs w:val="1"/>
          <w:i w:val="1"/>
          <w:iCs w:val="1"/>
          <w:color w:val="auto"/>
        </w:rPr>
        <w:t>Option Grant Date</w:t>
      </w:r>
      <w:r>
        <w:rPr>
          <w:rFonts w:ascii="Times New Roman" w:cs="Times New Roman" w:eastAsia="Times New Roman" w:hAnsi="Times New Roman"/>
          <w:sz w:val="22"/>
          <w:szCs w:val="22"/>
          <w:color w:val="auto"/>
        </w:rPr>
        <w:t>.” The Make-Whole Options will be service-based and vest 40%, 30%, 20% and 10% over a period of four years on the first, second, third and fourth anniversaries of the Option Grant Date, respectively, in accordance with the terms of such Option Award Agreement. In addition, on (and subject to Executive’s continued employment on) the Option Grant Date, the Executive will also be granted a number of options to acquire Membership Units of the Parent (the “</w:t>
      </w:r>
      <w:r>
        <w:rPr>
          <w:rFonts w:ascii="Times New Roman" w:cs="Times New Roman" w:eastAsia="Times New Roman" w:hAnsi="Times New Roman"/>
          <w:sz w:val="22"/>
          <w:szCs w:val="22"/>
          <w:b w:val="1"/>
          <w:bCs w:val="1"/>
          <w:i w:val="1"/>
          <w:iCs w:val="1"/>
          <w:color w:val="auto"/>
        </w:rPr>
        <w:t>Annual Grant Options</w:t>
      </w:r>
      <w:r>
        <w:rPr>
          <w:rFonts w:ascii="Times New Roman" w:cs="Times New Roman" w:eastAsia="Times New Roman" w:hAnsi="Times New Roman"/>
          <w:sz w:val="22"/>
          <w:szCs w:val="22"/>
          <w:color w:val="auto"/>
        </w:rPr>
        <w:t>”), with an exercise price established at fair market value at the date of the grant, pursuant and subject to the Plan and the terms and conditions of the form of an Option Award Agreement to be provided by the Company, which Annual Grant Options shall have an aggregate grant date fair value equal to $650,000.00. Sixty-six and two-thirds percent (66⅔%) of the Annual Grant Options will be service-based and vest ratably over a period of four years from the Option Grant Date based solely on the Executive’s continued employment, in accordance with the terms of such Option Award Agreement. Thirty-three and one-third percent (33⅓%) of the Annual Grant Options will be performance- and service-based and vest ratably over a period of four years from the Option Grant Date (generally) based on the Parent’s achievement of the performance goal established by the Compensation Committee of the Board for the first year only and thereafter, if the first-year performance goal was achieved, based solely on the Executive’s continued employment, in accordance with the terms of such Option Award Agreement. The Executive’s eligibility for equity awards in future fiscal years will be determined by the Board in its sole discretion.</w:t>
      </w:r>
    </w:p>
    <w:p>
      <w:pPr>
        <w:spacing w:after="0" w:line="152" w:lineRule="exact"/>
        <w:rPr>
          <w:sz w:val="20"/>
          <w:szCs w:val="20"/>
          <w:color w:val="auto"/>
        </w:rPr>
      </w:pPr>
    </w:p>
    <w:p>
      <w:pPr>
        <w:jc w:val="both"/>
        <w:ind w:firstLine="656"/>
        <w:spacing w:after="0" w:line="211"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Insurance</w:t>
      </w:r>
      <w:r>
        <w:rPr>
          <w:rFonts w:ascii="Times New Roman" w:cs="Times New Roman" w:eastAsia="Times New Roman" w:hAnsi="Times New Roman"/>
          <w:sz w:val="22"/>
          <w:szCs w:val="22"/>
          <w:color w:val="auto"/>
        </w:rPr>
        <w:t>. The Company shall indemnify, defend and hold harmless the Executive to the fullest extent permitted by the laws of the Company’s state of organization in effect at that time, or regulations of the Company, whichever affords the greater protection to the Executive, for all losses, liabilities, payments or expenses incurred or damages paid or payable by the Executive for bona fide claims against the Executive or the Company Group (including settlement amounts), where such claims are based upon the actions or failures to act by the Executive in the Executive’s capacity as a service provider to the Company Group. The Executive will be entitled to coverage under any insurance policies the Company Group may elect to maintain generally for the benefit of its officers, directors and managers against all costs, charges and expenses incurred in connection with any action, suit or proceeding to which the Executive may be made a party by reason of being an officer, director or manager of any member of the Company Group.</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Employment Period shall end and this Agreement shall terminate in the event of a termination of the Executive’s employment in accordance with any of the provisions of this Section 6 and Section 7, as applicable, on the Date of Termination.</w:t>
      </w:r>
    </w:p>
    <w:p>
      <w:pPr>
        <w:spacing w:after="0" w:line="149"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Death. </w:t>
      </w:r>
      <w:r>
        <w:rPr>
          <w:rFonts w:ascii="Times New Roman" w:cs="Times New Roman" w:eastAsia="Times New Roman" w:hAnsi="Times New Roman"/>
          <w:sz w:val="22"/>
          <w:szCs w:val="22"/>
          <w:color w:val="auto"/>
        </w:rPr>
        <w:t>The Executive’s employment hereunder and this Agreement shall terminate upon the Executive’s death.</w:t>
      </w:r>
    </w:p>
    <w:p>
      <w:pPr>
        <w:spacing w:after="0" w:line="179"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The Company may terminate the Executive’s employment and this Agreement as a result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Disability,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allows the Executive thirty (30) days following Notice of Termination to return to the performance of the essential functions of the Executive’s position, with or without reasonable accommodation. For purposes of this Agreement,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xml:space="preserve"> means a physical or mental illness, incapacity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55" w:name="page56"/>
    <w:bookmarkEnd w:id="55"/>
    <w:p>
      <w:pPr>
        <w:jc w:val="both"/>
        <w:spacing w:after="0" w:line="213" w:lineRule="auto"/>
        <w:rPr>
          <w:sz w:val="20"/>
          <w:szCs w:val="20"/>
          <w:color w:val="auto"/>
        </w:rPr>
      </w:pPr>
      <w:r>
        <w:rPr>
          <w:rFonts w:ascii="Times New Roman" w:cs="Times New Roman" w:eastAsia="Times New Roman" w:hAnsi="Times New Roman"/>
          <w:sz w:val="22"/>
          <w:szCs w:val="22"/>
          <w:color w:val="auto"/>
        </w:rPr>
        <w:t>disability which has prevented the Executive from substantially performing the Executive’s material duties for a period of one hundred eighty (180) consecutive days. During any such period that, as a result of such illness, incapacity or disability, the Executive fails to perform the essential function of the Executive’s position, with or without reasonable accommodation (the “</w:t>
      </w:r>
      <w:r>
        <w:rPr>
          <w:rFonts w:ascii="Times New Roman" w:cs="Times New Roman" w:eastAsia="Times New Roman" w:hAnsi="Times New Roman"/>
          <w:sz w:val="22"/>
          <w:szCs w:val="22"/>
          <w:b w:val="1"/>
          <w:bCs w:val="1"/>
          <w:i w:val="1"/>
          <w:iCs w:val="1"/>
          <w:color w:val="auto"/>
        </w:rPr>
        <w:t>Disability Period</w:t>
      </w:r>
      <w:r>
        <w:rPr>
          <w:rFonts w:ascii="Times New Roman" w:cs="Times New Roman" w:eastAsia="Times New Roman" w:hAnsi="Times New Roman"/>
          <w:sz w:val="22"/>
          <w:szCs w:val="22"/>
          <w:color w:val="auto"/>
        </w:rPr>
        <w:t>”), the Executive shall continue to receive the Executive’s Base Salary at the rate in effect at the beginning of such period as well as all other payments and benefits set forth in Section 4 hereof, reduced, to the extent permitted by Section 409A (as defined in Section 10 below), by any payments made to the Executive during the Disability Period under the disability benefit plans of the Company then in effect or under the Social Security disability insurance program.</w:t>
      </w:r>
    </w:p>
    <w:p>
      <w:pPr>
        <w:spacing w:after="0" w:line="152" w:lineRule="exact"/>
        <w:rPr>
          <w:sz w:val="20"/>
          <w:szCs w:val="20"/>
          <w:color w:val="auto"/>
        </w:rPr>
      </w:pPr>
    </w:p>
    <w:p>
      <w:pPr>
        <w:jc w:val="both"/>
        <w:ind w:firstLine="656"/>
        <w:spacing w:after="0" w:line="227"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The Company may terminate the Executive’s employment hereunder and this Agreement for Cause.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purposes of this Agreement, the Company shall have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to terminate the Executive’s employment hereunder upon the occurrence of any of the following events: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gross negligence or willful misconduct, an act of fraud, embezzlement, theft or other criminal act in connection with the Executive’s duties or in the course of the Executive’s employment with the Company;</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an act leading to a conviction of a felony or a misdemeanor involving moral</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turpitude;</w:t>
      </w:r>
    </w:p>
    <w:p>
      <w:pPr>
        <w:spacing w:after="0" w:line="15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a material breach of any provision of this Agreement;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Executive to perform any and all covenants contained in (A) Section 2 hereof for any reason other than the Executive’s death, Disability or following the Executive’s delivery of a Notice of Termination for Good Reason and (B) Section 9 hereof;</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reasonably capable of being cured, the Executive shall have thirty (30) days from the date on which the Executive receives the Company’s Notice of Termination for Cause under clause (iii) or (iv) above to remedy any such occurrence otherwise constituting Cause under such clause (iii) or (iv). The determination of whether there has been “Cause” for purposes of this Agreement shall be determined by the Board or any committee thereof in its sole discretion.</w:t>
      </w:r>
    </w:p>
    <w:p>
      <w:pPr>
        <w:spacing w:after="0" w:line="146" w:lineRule="exact"/>
        <w:rPr>
          <w:sz w:val="20"/>
          <w:szCs w:val="20"/>
          <w:color w:val="auto"/>
        </w:rPr>
      </w:pPr>
    </w:p>
    <w:p>
      <w:pPr>
        <w:jc w:val="both"/>
        <w:ind w:firstLine="656"/>
        <w:spacing w:after="0" w:line="238" w:lineRule="auto"/>
        <w:tabs>
          <w:tab w:leader="none" w:pos="129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Good Reason. </w:t>
      </w:r>
      <w:r>
        <w:rPr>
          <w:rFonts w:ascii="Times New Roman" w:cs="Times New Roman" w:eastAsia="Times New Roman" w:hAnsi="Times New Roman"/>
          <w:sz w:val="21"/>
          <w:szCs w:val="21"/>
          <w:color w:val="auto"/>
        </w:rPr>
        <w:t>The Executive may terminate the Executive’s employment hereunder for Good Reason. “</w:t>
      </w:r>
      <w:r>
        <w:rPr>
          <w:rFonts w:ascii="Times New Roman" w:cs="Times New Roman" w:eastAsia="Times New Roman" w:hAnsi="Times New Roman"/>
          <w:sz w:val="21"/>
          <w:szCs w:val="21"/>
          <w:b w:val="1"/>
          <w:bCs w:val="1"/>
          <w:i w:val="1"/>
          <w:iCs w:val="1"/>
          <w:color w:val="auto"/>
        </w:rPr>
        <w:t>Good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Reason</w:t>
      </w:r>
      <w:r>
        <w:rPr>
          <w:rFonts w:ascii="Times New Roman" w:cs="Times New Roman" w:eastAsia="Times New Roman" w:hAnsi="Times New Roman"/>
          <w:sz w:val="21"/>
          <w:szCs w:val="21"/>
          <w:color w:val="auto"/>
        </w:rPr>
        <w:t>” for the Executive’s termination of employment shall mean the occurrence, without the Executive’s prior written consent,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any one or more of the following that constitutes a material negative change to the Executive in the service relationship:</w:t>
      </w:r>
    </w:p>
    <w:p>
      <w:pPr>
        <w:spacing w:after="0" w:line="151" w:lineRule="exact"/>
        <w:rPr>
          <w:rFonts w:ascii="Times New Roman" w:cs="Times New Roman" w:eastAsia="Times New Roman" w:hAnsi="Times New Roman"/>
          <w:sz w:val="21"/>
          <w:szCs w:val="21"/>
          <w:color w:val="auto"/>
        </w:rPr>
      </w:pPr>
    </w:p>
    <w:p>
      <w:pPr>
        <w:ind w:left="660" w:right="20" w:firstLine="644"/>
        <w:spacing w:after="0" w:line="236" w:lineRule="auto"/>
        <w:tabs>
          <w:tab w:leader="none" w:pos="194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Executive’s position, authority, duties or other responsibilities from Executive’s position, authority, duties or other responsibilities as contemplated by Section 2 hereof;</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the Base Salary and Target Bonus Opportunity, in the aggregate, from the Base Salary and Target Bonus Opportunity, in the aggregate, as set by the Board from time to time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56" w:name="page57"/>
    <w:bookmarkEnd w:id="56"/>
    <w:p>
      <w:pPr>
        <w:ind w:left="660" w:firstLine="644"/>
        <w:spacing w:after="0" w:line="236" w:lineRule="auto"/>
        <w:tabs>
          <w:tab w:leader="none" w:pos="204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principal place of employment to a location more than fifty (50) miles from the Principal Place of Employment, if a move to such other location materially increases the Executive’s commute;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or the Parent of any applicable provision of this Agreement;</w:t>
      </w:r>
    </w:p>
    <w:p>
      <w:pPr>
        <w:spacing w:after="0" w:line="17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any case, that the Company shall have thirty (30) days from the date on which the Company receives the Executive’s Notice of Termination for Good Reason to remedy any such occurrence otherwise constituting Good Reason. Notwithstanding any provision of this Agreement to the contrary, the Executive shall not be treated as having terminated the Executive’s employment for a Good Reason event if the Executive incurs a Separation From Service (as defined in Section 10(b) hereof) more than six (6) months following the initial existence of the particular Good Reason condition or if the Executive has not given the Company written notice of the Good Reason condition within ninety (90) days after the initial existence of the Good Reason condition or if the Executive waives in writing the Executive’s right to claim Good Reason as a result of the event.</w:t>
      </w:r>
    </w:p>
    <w:p>
      <w:pPr>
        <w:spacing w:after="0" w:line="146" w:lineRule="exact"/>
        <w:rPr>
          <w:sz w:val="20"/>
          <w:szCs w:val="20"/>
          <w:color w:val="auto"/>
        </w:rPr>
      </w:pPr>
    </w:p>
    <w:p>
      <w:pPr>
        <w:jc w:val="both"/>
        <w:ind w:firstLine="656"/>
        <w:spacing w:after="0" w:line="210" w:lineRule="auto"/>
        <w:tabs>
          <w:tab w:leader="none" w:pos="128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Without Cause or Good Reason. </w:t>
      </w:r>
      <w:r>
        <w:rPr>
          <w:rFonts w:ascii="Times New Roman" w:cs="Times New Roman" w:eastAsia="Times New Roman" w:hAnsi="Times New Roman"/>
          <w:sz w:val="22"/>
          <w:szCs w:val="22"/>
          <w:color w:val="auto"/>
        </w:rPr>
        <w:t>Either party hereto may terminate the employment of the Executive and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at any time, without Cause in the case of the Company and without Good Reason in the case of the Executive, by giving the other party prior written Notice of Termination in accordance with Section 7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be required to deliver such written notice to the Board at least thirty (30) days’ prior to the Date of Termination if the Executive intends to terminate the Executive’s employment without Good Reason;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notwithstanding anything in this Agreement to the contrary, in the event Executive elects not to extend the Employment Period pursuant to Section 1, such nonrenewal shall be deemed a termination by Executive of the Executive’s employment with the Company without Good Reason effective as of the last day of the then current Employment Period, which shall constitute the Date of Termination for purposes of this Agreement,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in this Agreement to the contrary, in the event the Company elects not to extend the Employment Period pursuant to Section 1, such nonrenewal shall be deemed a termination by the Company of the Executive’s employment with the Company without Cause effective as of the last day of the then current Employment Period, which shall constitute the Date of Termination for purposes of this Agreement.</w:t>
      </w:r>
    </w:p>
    <w:p>
      <w:pPr>
        <w:spacing w:after="0" w:line="156"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Procedure</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56"/>
        <w:spacing w:after="0" w:line="213"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Termination. </w:t>
      </w:r>
      <w:r>
        <w:rPr>
          <w:rFonts w:ascii="Times New Roman" w:cs="Times New Roman" w:eastAsia="Times New Roman" w:hAnsi="Times New Roman"/>
          <w:sz w:val="22"/>
          <w:szCs w:val="22"/>
          <w:color w:val="auto"/>
        </w:rPr>
        <w:t>Any termination of the Executive’s employment by the Company or by the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than a termination pursuant to Section 6(a) hereof) shall be communicated by written Notice of Termination to the other party hereto in accordance with Section 12 hereof. For purposes of this Agreement, a “</w:t>
      </w:r>
      <w:r>
        <w:rPr>
          <w:rFonts w:ascii="Times New Roman" w:cs="Times New Roman" w:eastAsia="Times New Roman" w:hAnsi="Times New Roman"/>
          <w:sz w:val="22"/>
          <w:szCs w:val="22"/>
          <w:b w:val="1"/>
          <w:bCs w:val="1"/>
          <w:i w:val="1"/>
          <w:iCs w:val="1"/>
          <w:color w:val="auto"/>
        </w:rPr>
        <w:t>Notice of Termination</w:t>
      </w:r>
      <w:r>
        <w:rPr>
          <w:rFonts w:ascii="Times New Roman" w:cs="Times New Roman" w:eastAsia="Times New Roman" w:hAnsi="Times New Roman"/>
          <w:sz w:val="22"/>
          <w:szCs w:val="22"/>
          <w:color w:val="auto"/>
        </w:rPr>
        <w:t>” shall mean a notice that shall indicate the specific termination provision in this Agreement relied upon and, except in the case of termination pursuant to Section 6(e)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or events that the Executive believes constitutes or constitute an event of Good Reason).</w:t>
      </w:r>
    </w:p>
    <w:p>
      <w:pPr>
        <w:spacing w:after="0" w:line="145"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Date of Termination.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color w:val="auto"/>
        </w:rPr>
        <w:t>” shall mean the effective date of termination of the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for any reason, which shall be (i) if the Executive’s employment is terminated pursuant to Section 6(a) hereof, the date of the Executive’s death, or (ii) if the Executive’s employment is terminated pursuant to Section 6(b) hereof, the later of (A) the date that is thirty (30) days after the Notice of Termination is given and (B) the date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57" w:name="page58"/>
    <w:bookmarkEnd w:id="57"/>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the end of the one-hundred eighty (180) day period referenced in Section 6(b)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shall not have returned to the performance of the Executive’s duties on a full-time basis during such period, or (iii) if the Executive’s employment is terminated pursuant to Section 6(c) hereof, the date specified in the Notice of Termination, which date may be no earlier than the date the Executive is given notice in accordance with Section 12 hereof, or (iv) if the Executive’s employment is terminated pursuant to Section 6(d) hereof, the date on which a Notice of Termination is given or any later date (within thirty (30) days of the date of such Notice of Termination) set forth in such Notice of Termination, or (v) if the Executive’s employment is terminated for any other reason, the date specified in the Notice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the Executive’s employment is terminated by the Executive without Good Reason, such date shall be at least thirty (30) days following the date on which Notice of Termination is given (unless the Company accepts the Executive’s resignation prior to the expiration of such 30-day notice period). The Company may also place the Executive on “garden leave” for all or any portion of such notice period.</w:t>
      </w:r>
    </w:p>
    <w:p>
      <w:pPr>
        <w:spacing w:after="0" w:line="152"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 or During Disability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56"/>
        <w:spacing w:after="0" w:line="210" w:lineRule="auto"/>
        <w:tabs>
          <w:tab w:leader="none" w:pos="128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Accrued Salary, Prior Year Bonus and Accrued Obligation Defined.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Accrued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Salary</w:t>
      </w:r>
      <w:r>
        <w:rPr>
          <w:rFonts w:ascii="Times New Roman" w:cs="Times New Roman" w:eastAsia="Times New Roman" w:hAnsi="Times New Roman"/>
          <w:sz w:val="22"/>
          <w:szCs w:val="22"/>
          <w:color w:val="auto"/>
        </w:rPr>
        <w:t>” means a lump sum amount in cash equal to the sum of the Base Salary accrued but not paid through the Date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Termination for periods through but not following the Date of Termination, and any accrued vacation pay, in each case to the extent not theretofore paid. For purposes of this Agreement, “</w:t>
      </w:r>
      <w:r>
        <w:rPr>
          <w:rFonts w:ascii="Times New Roman" w:cs="Times New Roman" w:eastAsia="Times New Roman" w:hAnsi="Times New Roman"/>
          <w:sz w:val="22"/>
          <w:szCs w:val="22"/>
          <w:b w:val="1"/>
          <w:bCs w:val="1"/>
          <w:i w:val="1"/>
          <w:iCs w:val="1"/>
          <w:color w:val="auto"/>
        </w:rPr>
        <w:t>Prior Year Bonus</w:t>
      </w:r>
      <w:r>
        <w:rPr>
          <w:rFonts w:ascii="Times New Roman" w:cs="Times New Roman" w:eastAsia="Times New Roman" w:hAnsi="Times New Roman"/>
          <w:sz w:val="22"/>
          <w:szCs w:val="22"/>
          <w:color w:val="auto"/>
        </w:rPr>
        <w:t>” means any bonus earned by the Executive under the Annual Incentive Plan for the fiscal year of the Company immediately preceding the fiscal year of the Company in which the Date of Termination occurs but not paid as of the Date of Termination. For purposes of this Agreement, payment of the “</w:t>
      </w:r>
      <w:r>
        <w:rPr>
          <w:rFonts w:ascii="Times New Roman" w:cs="Times New Roman" w:eastAsia="Times New Roman" w:hAnsi="Times New Roman"/>
          <w:sz w:val="22"/>
          <w:szCs w:val="22"/>
          <w:b w:val="1"/>
          <w:bCs w:val="1"/>
          <w:i w:val="1"/>
          <w:iCs w:val="1"/>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Obligation</w:t>
      </w:r>
      <w:r>
        <w:rPr>
          <w:rFonts w:ascii="Times New Roman" w:cs="Times New Roman" w:eastAsia="Times New Roman" w:hAnsi="Times New Roman"/>
          <w:sz w:val="22"/>
          <w:szCs w:val="22"/>
          <w:color w:val="auto"/>
        </w:rPr>
        <w:t>” shall mean payment by the Company or Academy, as applicable, to the Executive (or the Executive’s designated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beneficiary or legal representative, as applicable), when due, of all benefits to which the Executive is entitled under the terms of the employee benefit plans and programs in which the Executive is a participant as of the Date of Termination, including, without limitation, the vesting of any equity incentive awards in accordance with the terms of the plans and award agreements evidencing such awards, any rights of the Executive as an insured, or to coverage, under any director’s and officer’s liability insurance policy and any right to indemnification under applicable corporate law, this Agreement, the governing documents of the Company Group or any benefit plan of any member of the Company Group or otherwise.</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Death. </w:t>
      </w:r>
      <w:r>
        <w:rPr>
          <w:rFonts w:ascii="Times New Roman" w:cs="Times New Roman" w:eastAsia="Times New Roman" w:hAnsi="Times New Roman"/>
          <w:sz w:val="22"/>
          <w:szCs w:val="22"/>
          <w:color w:val="auto"/>
        </w:rPr>
        <w:t>Following the termination of the Executive’s employment pursuant to Section 6(a) or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6(b) hereof, the Company shall pay, or cause Academy to pay, to the Executive (or the Executive’s designated beneficiary or legal representative, if applicable):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Salary within thirty (30) days after the Date of Termination;</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Year Bonus, if any is due, at the same time in the year of termination as such payment would be made if the Executive had otherwise continued to be employed by the Company;</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 at the times specified in and in accordance with the terms of the applicable employee benefit plans and compensation arrangements;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termination occurs after the Company’s 2017 fiscal year, a pro rata portion of the Annual Bonus for the partial fiscal year in which the Date of Termination occurs in an amount equal to the product of (x) the Annual Bonus that the Executive would otherwise have been entitled to receive if the Executive had remained employed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58" w:name="page59"/>
    <w:bookmarkEnd w:id="58"/>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the date on which such Annual Bonus is paid (but with the amount of the Annual Bonus payable calculated based solely on the level of achievement of the applicable financial performance metrics for such fiscal year and not on any personal performance goals) and (y) a fraction, the numerator of which is equal to the number of days between and including the first day of the fiscal year of the Company in which the Date of Termination occurs and the Date of Termination, and the denominator of which is equal to 365, payable in a lump sum payment on the date on which annual bonuses are paid to the Company’s other senior executive officers with respect to such fiscal year.</w:t>
      </w:r>
    </w:p>
    <w:p>
      <w:pPr>
        <w:spacing w:after="0" w:line="148" w:lineRule="exact"/>
        <w:rPr>
          <w:sz w:val="20"/>
          <w:szCs w:val="20"/>
          <w:color w:val="auto"/>
        </w:rPr>
      </w:pPr>
    </w:p>
    <w:p>
      <w:pPr>
        <w:jc w:val="both"/>
        <w:ind w:firstLine="656"/>
        <w:spacing w:after="0" w:line="222" w:lineRule="auto"/>
        <w:tabs>
          <w:tab w:leader="none" w:pos="129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By the Company for Cause or by the Executive Without Good Reason. </w:t>
      </w:r>
      <w:r>
        <w:rPr>
          <w:rFonts w:ascii="Times New Roman" w:cs="Times New Roman" w:eastAsia="Times New Roman" w:hAnsi="Times New Roman"/>
          <w:sz w:val="21"/>
          <w:szCs w:val="21"/>
          <w:color w:val="auto"/>
        </w:rPr>
        <w:t>If during the Employment Period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employment is terminated by the Company for Cause pursuant to Section 6(c) hereof or by the Executive without Good Reason pursuant to Section 6(e) hereof, the Company shall pay, or cause Academy to pay, to the Executive the Accrued Salary within thirty (30) days following the Date of Termination and the Prior Year Bonus, if any is due, at the same time in the year of termination as such payment would be made if the Executive had otherwise continued to be employed by the Company. Following such payments, the Company Group shall have no further obligations, including under the Annual Incentive Plan, to the Executive other than as may be required by law or with respect to any Accrued Obligation under the terms of an employee benefit plan of the Company Group. The Company shall pay, or cause Academy to pay, the Executive the Accrued Obligation at the times specified in and in accordance with the terms of the applicable employee benefit plans and compensation arrangements.</w:t>
      </w:r>
    </w:p>
    <w:p>
      <w:pPr>
        <w:spacing w:after="0" w:line="149" w:lineRule="exact"/>
        <w:rPr>
          <w:rFonts w:ascii="Times New Roman" w:cs="Times New Roman" w:eastAsia="Times New Roman" w:hAnsi="Times New Roman"/>
          <w:sz w:val="21"/>
          <w:szCs w:val="21"/>
          <w:color w:val="auto"/>
        </w:rPr>
      </w:pPr>
    </w:p>
    <w:p>
      <w:pPr>
        <w:jc w:val="both"/>
        <w:ind w:firstLine="656"/>
        <w:spacing w:after="0" w:line="221" w:lineRule="auto"/>
        <w:tabs>
          <w:tab w:leader="none" w:pos="1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By the Company Without Cause or by the Executive for Good Reason. </w:t>
      </w:r>
      <w:r>
        <w:rPr>
          <w:rFonts w:ascii="Times New Roman" w:cs="Times New Roman" w:eastAsia="Times New Roman" w:hAnsi="Times New Roman"/>
          <w:sz w:val="22"/>
          <w:szCs w:val="22"/>
          <w:color w:val="auto"/>
        </w:rPr>
        <w:t>If during the Employment Period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the Company without Cause (including as a result of the Company’s non-extension of the Employment Period pursuant to Section 1), other than as a result of the Executive’s death or Disability, or if the Executive terminates the Executive’s employment for Good Reason, then:</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Date of Termination the Company shall pay, or cause Academy to pay, the Executive the Accrued Salary;</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or cause Academy to pay, the Executive the Prior Year Bonus, if any is due, at the same time in the year of termination as such payment would be made if the Executive continued to be employed by the Company;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or cause Academy to pay, to the Executive a cash severance payment in an amount equal to the product of (x) 1.5 multiplied by (y) the sum of (A) the Base Salary and (B) the average Annual Bonus paid to (or earned by, to the extent not yet paid as of the Date of Termination) the Executive under the Annual Incentive Plan for the two fiscal years of the Company immediately preceding the fiscal year in which the Date of Termination occurs (or (I) if the Date of Termination occurs during the Company’s 2018 fiscal year, then the Annual Bonus paid to (or earned by, to the extent not yet paid as of the Date of Termination) the Executive for the Company’s 2017 fiscal year, or (II) if the Date of Termination occurs during the Company’s 2017 fiscal year, then the Target Bonus Opportunity). The Company shall make such payment in equal installments ratably over eighteen (18) months following the Date of Termination (the “</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color w:val="auto"/>
        </w:rPr>
        <w:t>”) in accordance with the Company’s normal payroll cycle and procedures, with the first installment to be paid on the first payroll date following the date on which the Release (as defined in Section 8(f) below) becomes irrevocable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59" w:name="page60"/>
    <w:bookmarkEnd w:id="59"/>
    <w:p>
      <w:pPr>
        <w:jc w:val="both"/>
        <w:ind w:left="4" w:firstLine="644"/>
        <w:spacing w:after="0" w:line="210" w:lineRule="auto"/>
        <w:tabs>
          <w:tab w:leader="none" w:pos="13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or cause Academy to pay, to the Executive an amount equal to the product of (x) the Annual Bonus earned by the Executive under the Annual Incentive Plan for the fiscal year of the Company immediately preceding the fiscal year of the Company in which the Date of Termination occurs, multiplied by (y) a fraction, the numerator of which is equal to the number of days between and including the first day of the fiscal year of the Company in which the Date of Termination occurs and the Date of Termination, and the denominator of which is equal to 365. Such payment is in lieu of the Annual Bonus that would have otherwise been due to the Executive under the Annual Incentive Plan for the performance period in which the Date of Termination occurs. The Company shall make such payment in equal installments ratably over twelve (12) months following the Date of Termination in accordance with the Company’s normal payroll cycle and procedures, with the first installment to be paid on the first payroll date following the Release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151" w:lineRule="exact"/>
        <w:rPr>
          <w:rFonts w:ascii="Times New Roman" w:cs="Times New Roman" w:eastAsia="Times New Roman" w:hAnsi="Times New Roman"/>
          <w:sz w:val="22"/>
          <w:szCs w:val="22"/>
          <w:color w:val="auto"/>
        </w:rPr>
      </w:pPr>
    </w:p>
    <w:p>
      <w:pPr>
        <w:jc w:val="both"/>
        <w:ind w:left="4" w:firstLine="644"/>
        <w:spacing w:after="0" w:line="209" w:lineRule="auto"/>
        <w:tabs>
          <w:tab w:leader="none" w:pos="12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Severance Period the Company shall (or shall cause Academy to) arrange to provide the Executive and the Executive’s covered dependents medical insurance benefits, contingent on the Executive electing continuation coverage under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xml:space="preserve">”), no less favorable than those provided to active senior executives of the Company and their dependents at a price equal to the COBRA rate while eligible for COBRA and thereafter at the cost of coverage (which shall be deemed to be the COBRA cost unless otherwise defined by the U.S. Treasury), and the Company shall pay, or cause Academy to pay, to the Executive each month during the Severance Period an amount equal to the excess, if any, of the monthly premium under the Company’s benefit plans under which such medical insurance benefits are provided, as in effect from time to time, over the amount of the Executive’s portion of such premiums as if the Executive was an active employee, which payment shall be paid in advance on the first payroll day of each month during the such Severance Period, commencing with the month immediately following the Date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first such payment shall be made on the Release Effective Date. Notwithstanding the foregoing, the payments provided under this clause (v) shall cease at such time as the Executive commences to receive such benefits from a subsequent employer of the Executive during the Severance Period (and the Executive shall have the obligation to notify the Company that the Executive is receiving such benefits from a subsequent employer);</w:t>
      </w:r>
    </w:p>
    <w:p>
      <w:pPr>
        <w:spacing w:after="0" w:line="138"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or cause Academy to pay, the Executive an amount equivalent to the product of</w:t>
      </w:r>
    </w:p>
    <w:p>
      <w:pPr>
        <w:jc w:val="both"/>
        <w:ind w:left="4" w:hanging="4"/>
        <w:spacing w:after="0" w:line="211" w:lineRule="auto"/>
        <w:tabs>
          <w:tab w:leader="none" w:pos="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monthly basic life insurance premium applicable to the Executive’s basic life insurance coverage immediately prior to the Date of Termination and (y) the number of full and fractional calendar months of the Severance Period. The Company shall make such payment in a lump sum in cash on the first payroll date following the Release Effective Date. If applicable, the Executive may, at the Executive’s option, convert the Executive’s basic life insurance coverage to an individual policy after the Date of Termination by completing the forms required by the Company for this purpose, and the Company will reasonably cooperate in order to assist the Executive with such conversion; and</w:t>
      </w:r>
    </w:p>
    <w:p>
      <w:pPr>
        <w:spacing w:after="0" w:line="153" w:lineRule="exact"/>
        <w:rPr>
          <w:rFonts w:ascii="Times New Roman" w:cs="Times New Roman" w:eastAsia="Times New Roman" w:hAnsi="Times New Roman"/>
          <w:sz w:val="22"/>
          <w:szCs w:val="22"/>
          <w:color w:val="auto"/>
        </w:rPr>
      </w:pPr>
    </w:p>
    <w:p>
      <w:pPr>
        <w:ind w:left="4" w:firstLine="644"/>
        <w:spacing w:after="0" w:line="236" w:lineRule="auto"/>
        <w:tabs>
          <w:tab w:leader="none" w:pos="128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or cause Academy to pay, the Executive the Accrued Obligation at the times specified in and in accordance with the terms of the applicable employee benefit plans and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4"/>
          </w:cols>
          <w:pgMar w:left="976" w:top="1395" w:right="339" w:bottom="1440" w:gutter="0" w:footer="0" w:header="0"/>
        </w:sectPr>
      </w:pPr>
    </w:p>
    <w:bookmarkStart w:id="60" w:name="page61"/>
    <w:bookmarkEnd w:id="60"/>
    <w:p>
      <w:pPr>
        <w:ind w:firstLine="656"/>
        <w:spacing w:after="0" w:line="238" w:lineRule="auto"/>
        <w:tabs>
          <w:tab w:leader="none" w:pos="129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Specify Year of Payment. </w:t>
      </w:r>
      <w:r>
        <w:rPr>
          <w:rFonts w:ascii="Times New Roman" w:cs="Times New Roman" w:eastAsia="Times New Roman" w:hAnsi="Times New Roman"/>
          <w:sz w:val="22"/>
          <w:szCs w:val="22"/>
          <w:color w:val="auto"/>
        </w:rPr>
        <w:t>The Executive shall have no right to specify the year in which any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under this Section 8 shall be made.</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(ab) </w:t>
      </w:r>
      <w:r>
        <w:rPr>
          <w:rFonts w:ascii="Times New Roman" w:cs="Times New Roman" w:eastAsia="Times New Roman" w:hAnsi="Times New Roman"/>
          <w:sz w:val="21"/>
          <w:szCs w:val="21"/>
          <w:i w:val="1"/>
          <w:iCs w:val="1"/>
          <w:color w:val="auto"/>
        </w:rPr>
        <w:t>No Duty to Mitigate; Release.</w:t>
      </w:r>
      <w:r>
        <w:rPr>
          <w:rFonts w:ascii="Times New Roman" w:cs="Times New Roman" w:eastAsia="Times New Roman" w:hAnsi="Times New Roman"/>
          <w:sz w:val="21"/>
          <w:szCs w:val="21"/>
          <w:color w:val="auto"/>
        </w:rPr>
        <w:t xml:space="preserve"> The Company agrees that, if the Executive’s employment with the Company terminates for any reason during the Employment Period, the Executive is not required to seek other employment or to attempt in any way to reduce any amounts payable to the Executive by the Company pursuant to this Section 8. Further, except to the extent set forth in Section 9(e) hereof, the amount of any payment or benefit provided for in this Agreement shall not be reduced by any compensation earned by the Executive as the result of employment by another employer, by retirement benefits, or by offset against any amount claimed to be owed by the Executive to the Company or Academy. Notwithstanding anything to the contrary contained herein, payments to the Executive under this Section 8 (other than the Accrued Salary, Prior Year Bonus, if any, and Accrued Obligations) are contingent upon (A) the Executive’s continued compliance with the provisions of Section 9 hereof and</w:t>
      </w:r>
    </w:p>
    <w:p>
      <w:pPr>
        <w:spacing w:after="0" w:line="1" w:lineRule="exact"/>
        <w:rPr>
          <w:sz w:val="20"/>
          <w:szCs w:val="20"/>
          <w:color w:val="auto"/>
        </w:rPr>
      </w:pPr>
    </w:p>
    <w:p>
      <w:pPr>
        <w:jc w:val="both"/>
        <w:ind w:firstLine="8"/>
        <w:spacing w:after="0" w:line="211" w:lineRule="auto"/>
        <w:tabs>
          <w:tab w:leader="none" w:pos="35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execution and delivery, without revocation, of a fully effective release in the form of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which Release must be executed (and not revoked) by the Executive on or prior to the sixtieth (60th) day following the Date of Termination (such sixty-day period, the “</w:t>
      </w:r>
      <w:r>
        <w:rPr>
          <w:rFonts w:ascii="Times New Roman" w:cs="Times New Roman" w:eastAsia="Times New Roman" w:hAnsi="Times New Roman"/>
          <w:sz w:val="22"/>
          <w:szCs w:val="22"/>
          <w:b w:val="1"/>
          <w:bCs w:val="1"/>
          <w:i w:val="1"/>
          <w:iCs w:val="1"/>
          <w:color w:val="auto"/>
        </w:rPr>
        <w:t>Release Period</w:t>
      </w:r>
      <w:r>
        <w:rPr>
          <w:rFonts w:ascii="Times New Roman" w:cs="Times New Roman" w:eastAsia="Times New Roman" w:hAnsi="Times New Roman"/>
          <w:sz w:val="22"/>
          <w:szCs w:val="22"/>
          <w:color w:val="auto"/>
        </w:rPr>
        <w:t>”). Notwithstanding the foregoing, to the extent required to comply with Section 409A, if the Release Period straddles the ending and beginning of two (2) consecutive calendar years, then the first installment of any installment payments of severance payable to the Executive under this Section 8 shall be paid on the first regularly scheduled payroll date that occurs in the second calendar year.</w:t>
      </w:r>
    </w:p>
    <w:p>
      <w:pPr>
        <w:spacing w:after="0" w:line="154"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(ac)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xml:space="preserve"> The Company agrees to provide the Executive certain trade secrets, confidential information and knowledge or data relating to the Company Group and its businesses during the Employment Period. The Executive shall hold in a fiduciary capacity for 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Times New Roman" w:cs="Times New Roman" w:eastAsia="Times New Roman" w:hAnsi="Times New Roman"/>
          <w:sz w:val="22"/>
          <w:szCs w:val="22"/>
          <w:b w:val="1"/>
          <w:bCs w:val="1"/>
          <w:i w:val="1"/>
          <w:i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For the avoidance of doubt, Confidential Information shall not include information that:</w:t>
      </w:r>
    </w:p>
    <w:p>
      <w:pPr>
        <w:spacing w:after="0" w:line="150" w:lineRule="exact"/>
        <w:rPr>
          <w:sz w:val="20"/>
          <w:szCs w:val="20"/>
          <w:color w:val="auto"/>
        </w:rPr>
      </w:pPr>
    </w:p>
    <w:p>
      <w:pPr>
        <w:jc w:val="both"/>
        <w:ind w:left="660" w:firstLine="644"/>
        <w:spacing w:after="0" w:line="225" w:lineRule="auto"/>
        <w:tabs>
          <w:tab w:leader="none" w:pos="19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already in the Executive’s possession;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information is not known by the Executive to be subject to another confidentiality agreement with, or otherwise subject to an obligation of secrecy to, any member of the Company Group,</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generally available to the public other than as a result of acts by the Executive or representatives of the Executive in violation of this Agreement, or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available to the Executive on a non-confidential basis from a source other than the Company Group or any of its directors, managers, officers, employees, agents or advisors;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source is not known by the Executive to be bound by a confidentiality agreement with, or otherwise bound by an obligation of secrecy to, any member of the Company Group.</w:t>
      </w:r>
    </w:p>
    <w:p>
      <w:pPr>
        <w:spacing w:after="0" w:line="15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61" w:name="page62"/>
    <w:bookmarkEnd w:id="61"/>
    <w:p>
      <w:pPr>
        <w:jc w:val="both"/>
        <w:spacing w:after="0" w:line="213" w:lineRule="auto"/>
        <w:rPr>
          <w:sz w:val="20"/>
          <w:szCs w:val="20"/>
          <w:color w:val="auto"/>
        </w:rPr>
      </w:pPr>
      <w:r>
        <w:rPr>
          <w:rFonts w:ascii="Times New Roman" w:cs="Times New Roman" w:eastAsia="Times New Roman" w:hAnsi="Times New Roman"/>
          <w:sz w:val="22"/>
          <w:szCs w:val="22"/>
          <w:color w:val="auto"/>
        </w:rPr>
        <w:t>The Executive agrees to return or destroy (as determined by the Company)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 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15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Nothing in this Agreement shall prohibit or impede the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with respect to possible violations of any U.S. federal, state or local law or regulation, or otherwise making disclosures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such communications and disclosures are consistent with applicable law. The Executive does not need the prior authorization of (or to give notice to) the Company regarding any such communication or disclosure. Notwithstanding the foregoing, under no circumstance is the Executive authorized to disclose any information covered by the Company Group’s attorney-client privilege or attorney work product or the Company Group’s trade secrets without prior written consent of the Company’s CEO &amp; President.</w:t>
      </w:r>
    </w:p>
    <w:p>
      <w:pPr>
        <w:spacing w:after="0" w:line="15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(ad) </w:t>
      </w: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If the Executive creates, invents, designs, develops, contributes to or improves any 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2"/>
          <w:szCs w:val="22"/>
          <w:b w:val="1"/>
          <w:bCs w:val="1"/>
          <w:i w:val="1"/>
          <w:iCs w:val="1"/>
          <w:color w:val="auto"/>
        </w:rPr>
        <w:t>Works</w:t>
      </w:r>
      <w:r>
        <w:rPr>
          <w:rFonts w:ascii="Times New Roman" w:cs="Times New Roman" w:eastAsia="Times New Roman" w:hAnsi="Times New Roman"/>
          <w:sz w:val="22"/>
          <w:szCs w:val="22"/>
          <w:color w:val="auto"/>
        </w:rPr>
        <w:t>”), either alone or with third parties, at any time during the Executive’s employment by the Company Group and within the scope of such employment and/or with the use of any the Company Group resources or as the result of any work performed by the Executive for the Company Group (“</w:t>
      </w:r>
      <w:r>
        <w:rPr>
          <w:rFonts w:ascii="Times New Roman" w:cs="Times New Roman" w:eastAsia="Times New Roman" w:hAnsi="Times New Roman"/>
          <w:sz w:val="22"/>
          <w:szCs w:val="22"/>
          <w:b w:val="1"/>
          <w:bCs w:val="1"/>
          <w:i w:val="1"/>
          <w:iCs w:val="1"/>
          <w:color w:val="auto"/>
        </w:rPr>
        <w:t>Company Works</w:t>
      </w:r>
      <w:r>
        <w:rPr>
          <w:rFonts w:ascii="Times New Roman" w:cs="Times New Roman" w:eastAsia="Times New Roman" w:hAnsi="Times New Roman"/>
          <w:sz w:val="22"/>
          <w:szCs w:val="22"/>
          <w:color w:val="auto"/>
        </w:rPr>
        <w:t>”),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17 U.S.C. § 101) by the Executive for the Company.</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Times New Roman" w:cs="Times New Roman" w:eastAsia="Times New Roman" w:hAnsi="Times New Roman"/>
          <w:sz w:val="22"/>
          <w:szCs w:val="22"/>
          <w:b w:val="1"/>
          <w:bCs w:val="1"/>
          <w:i w:val="1"/>
          <w:iCs w:val="1"/>
          <w:color w:val="auto"/>
        </w:rPr>
        <w:t>Preexisting Works</w:t>
      </w:r>
      <w:r>
        <w:rPr>
          <w:rFonts w:ascii="Times New Roman" w:cs="Times New Roman" w:eastAsia="Times New Roman" w:hAnsi="Times New Roman"/>
          <w:sz w:val="22"/>
          <w:szCs w:val="22"/>
          <w:color w:val="auto"/>
        </w:rPr>
        <w:t>”),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62" w:name="page63"/>
    <w:bookmarkEnd w:id="62"/>
    <w:p>
      <w:pPr>
        <w:jc w:val="both"/>
        <w:spacing w:after="0" w:line="213" w:lineRule="auto"/>
        <w:rPr>
          <w:sz w:val="20"/>
          <w:szCs w:val="20"/>
          <w:color w:val="auto"/>
        </w:rPr>
      </w:pPr>
      <w:r>
        <w:rPr>
          <w:rFonts w:ascii="Times New Roman" w:cs="Times New Roman" w:eastAsia="Times New Roman" w:hAnsi="Times New Roman"/>
          <w:sz w:val="22"/>
          <w:szCs w:val="22"/>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17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 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(ae) </w:t>
      </w:r>
      <w:r>
        <w:rPr>
          <w:rFonts w:ascii="Times New Roman" w:cs="Times New Roman" w:eastAsia="Times New Roman" w:hAnsi="Times New Roman"/>
          <w:sz w:val="21"/>
          <w:szCs w:val="21"/>
          <w:i w:val="1"/>
          <w:iCs w:val="1"/>
          <w:color w:val="auto"/>
        </w:rPr>
        <w:t>Non-Competition.</w:t>
      </w:r>
      <w:r>
        <w:rPr>
          <w:rFonts w:ascii="Times New Roman" w:cs="Times New Roman" w:eastAsia="Times New Roman" w:hAnsi="Times New Roman"/>
          <w:sz w:val="21"/>
          <w:szCs w:val="21"/>
          <w:color w:val="auto"/>
        </w:rPr>
        <w:t xml:space="preserve"> In consideration of the payments, benefits and other obligations of the Company to the Executive pursuant to this Agreement, including, without limitation, the Company’s obligation to provide the Executive with Confidential Information pursuant to Section 9(a) hereof, and in order to protect such Confidential Information and preserve the goodwill of the Company Group, the Executive hereby covenants and agrees that, during the Employment Period and for a period of eighteen (18) months following the Date of Termination (the “</w:t>
      </w:r>
      <w:r>
        <w:rPr>
          <w:rFonts w:ascii="Times New Roman" w:cs="Times New Roman" w:eastAsia="Times New Roman" w:hAnsi="Times New Roman"/>
          <w:sz w:val="21"/>
          <w:szCs w:val="21"/>
          <w:b w:val="1"/>
          <w:bCs w:val="1"/>
          <w:i w:val="1"/>
          <w:iCs w:val="1"/>
          <w:color w:val="auto"/>
        </w:rPr>
        <w:t>Restricted Period</w:t>
      </w:r>
      <w:r>
        <w:rPr>
          <w:rFonts w:ascii="Times New Roman" w:cs="Times New Roman" w:eastAsia="Times New Roman" w:hAnsi="Times New Roman"/>
          <w:sz w:val="21"/>
          <w:szCs w:val="21"/>
          <w:color w:val="auto"/>
        </w:rPr>
        <w:t>”), the Executive shall not, without the prior written consent of the Company, directly or indirectly, for the Executive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 outdoor products, including but not limited to the following companies and any of their successors, affiliates, or subsidiaries: Dick’s Sporting Goods, Inc.; Cabela’s Inc.; The Sports Authority, Inc.; Bass Pro Shops, Inc.; Gander Mountain Company; and Hibbett Sports, Inc. This restriction does not include (i) multi-purpose retailers, such as Wal-Mart Stores, Inc. and Target Corp., where the sale of sporting goods and outdoor products by such retailer is less than 50% of such retailer’s total sales; or (ii) any business engaged primarily in the retail sale of sporting goods and outdoor products with total sales from all sources (including retail stores, on-line, subsidiaries and affiliates) of less than $250 million annually.</w:t>
      </w:r>
    </w:p>
    <w:p>
      <w:pPr>
        <w:spacing w:after="0" w:line="15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(af) </w:t>
      </w:r>
      <w:r>
        <w:rPr>
          <w:rFonts w:ascii="Times New Roman" w:cs="Times New Roman" w:eastAsia="Times New Roman" w:hAnsi="Times New Roman"/>
          <w:sz w:val="22"/>
          <w:szCs w:val="22"/>
          <w:i w:val="1"/>
          <w:iCs w:val="1"/>
          <w:color w:val="auto"/>
        </w:rPr>
        <w:t>Non-Solicitation; No-Hire.</w:t>
      </w:r>
      <w:r>
        <w:rPr>
          <w:rFonts w:ascii="Times New Roman" w:cs="Times New Roman" w:eastAsia="Times New Roman" w:hAnsi="Times New Roman"/>
          <w:sz w:val="22"/>
          <w:szCs w:val="22"/>
          <w:color w:val="auto"/>
        </w:rPr>
        <w:t xml:space="preserve"> In further consideration of the payments, benefits and other obligations of the Company to the Executive pursuant to this Agreement, the Executive hereby covenants and agrees that, during the Employment Period and the Restricted Period, the Executive will not, directly or indirectly, for the Executive’s benefit or for the benefit of any other person, firm or entity, do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63" w:name="page64"/>
    <w:bookmarkEnd w:id="63"/>
    <w:p>
      <w:pPr>
        <w:jc w:val="both"/>
        <w:ind w:left="660" w:firstLine="644"/>
        <w:spacing w:after="0" w:line="220"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on the Executive’s own behalf or on behalf of another person or entity, the employment or services of any person who was known to be employed, in a salaried position, by or was a known substantially full-time consultant or substantially full-time independent contractor to any member of the Company Group upon the Date of Termination, or within six (6) months prior thereto;</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any person who was employed by the Company Group in a salaried position at any time during the six (6) month period immediately prior to the Date of Termination; or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154"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2"/>
          <w:szCs w:val="22"/>
          <w:color w:val="auto"/>
        </w:rPr>
        <w:t>Notwithstanding the foregoing, the restrictions in this Section 9(d) shall not apply with regard to general solicitations of the Executive that are not specifically directed to employees, consultants or independent contractors of any member of the Company Group.</w:t>
      </w:r>
    </w:p>
    <w:p>
      <w:pPr>
        <w:spacing w:after="0" w:line="175"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(ag) </w:t>
      </w:r>
      <w:r>
        <w:rPr>
          <w:rFonts w:ascii="Times New Roman" w:cs="Times New Roman" w:eastAsia="Times New Roman" w:hAnsi="Times New Roman"/>
          <w:sz w:val="21"/>
          <w:szCs w:val="21"/>
          <w:i w:val="1"/>
          <w:iCs w:val="1"/>
          <w:color w:val="auto"/>
        </w:rPr>
        <w:t>Enforcement.</w:t>
      </w:r>
      <w:r>
        <w:rPr>
          <w:rFonts w:ascii="Times New Roman" w:cs="Times New Roman" w:eastAsia="Times New Roman" w:hAnsi="Times New Roman"/>
          <w:sz w:val="21"/>
          <w:szCs w:val="21"/>
          <w:color w:val="auto"/>
        </w:rPr>
        <w:t xml:space="preserve"> The Executive and the Company agree and acknowledge that the Company has a substantial and legitimate interest in protecting the Company’s Confidential Information and goodwill. The Executive and the Company further agree and acknowledge that the provisions of this Section 9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9 are reasonably necessary for the protection of the Company Group’s legitimate business interests and are not oppressive or injurious to the public interest. The Executive agrees that in the event of a breach or threatened breach of any of the provisions of this Section 9 the Company shall be entitled to injunctive relief against the Executive’s activities to the extent allowed by law, and the Executive waives any requirement for the posting of any bond by the Company in connection with such action. In addition, the Company shall be entitled to immediately cease paying any amounts remaining due pursuant to Section 8 hereof (other than the Accrued Salary, Prior Year Bonus, if any, and Accrued Obligations), in the event that the Executive has violated any provision of Section 9.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9(a), (b) or (c) would cause injury to the Company for which monetary damages alone would not be a sufficient remedy.</w:t>
      </w:r>
    </w:p>
    <w:p>
      <w:pPr>
        <w:spacing w:after="0" w:line="150"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(ah) </w:t>
      </w:r>
      <w:r>
        <w:rPr>
          <w:rFonts w:ascii="Times New Roman" w:cs="Times New Roman" w:eastAsia="Times New Roman" w:hAnsi="Times New Roman"/>
          <w:sz w:val="22"/>
          <w:szCs w:val="22"/>
          <w:u w:val="single" w:color="auto"/>
          <w:color w:val="auto"/>
        </w:rPr>
        <w:t>Compliance With 409A</w:t>
      </w:r>
      <w:r>
        <w:rPr>
          <w:rFonts w:ascii="Times New Roman" w:cs="Times New Roman" w:eastAsia="Times New Roman" w:hAnsi="Times New Roman"/>
          <w:sz w:val="22"/>
          <w:szCs w:val="22"/>
          <w:color w:val="auto"/>
        </w:rPr>
        <w:t>.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64" w:name="page65"/>
    <w:bookmarkEnd w:id="64"/>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comply with or avoid application of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agrees to maintain, to the maximum extent practicable, the original intent and economic benefit to the Executive of the applicable provision without violating the provisions of Section 409A.</w:t>
      </w:r>
    </w:p>
    <w:p>
      <w:pPr>
        <w:spacing w:after="0" w:line="152"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(ai) </w:t>
      </w:r>
      <w:r>
        <w:rPr>
          <w:rFonts w:ascii="Times New Roman" w:cs="Times New Roman" w:eastAsia="Times New Roman" w:hAnsi="Times New Roman"/>
          <w:sz w:val="21"/>
          <w:szCs w:val="21"/>
          <w:u w:val="single" w:color="auto"/>
          <w:color w:val="auto"/>
        </w:rPr>
        <w:t>Six-month Wait for Specified Employees</w:t>
      </w:r>
      <w:r>
        <w:rPr>
          <w:rFonts w:ascii="Times New Roman" w:cs="Times New Roman" w:eastAsia="Times New Roman" w:hAnsi="Times New Roman"/>
          <w:sz w:val="21"/>
          <w:szCs w:val="21"/>
          <w:color w:val="auto"/>
        </w:rPr>
        <w:t>. Notwithstanding any provision to the contrary in this Agreement, if the Executive is deemed on the Date of Termination to be a Specified Employee and the Company is a public company, then with regard to any payment or the provision of any benefit that is required to be delayed in compliance with Section 409A(a)(2)(B) of the Code (as defined below), such payment or benefit shall not be made or provided (subject to the last sentence hereof) prior to the earlier of (i) the expiration of the six (6) month period measured from the date of the Executive’s Separation From Service or</w:t>
      </w:r>
    </w:p>
    <w:p>
      <w:pPr>
        <w:spacing w:after="0" w:line="2" w:lineRule="exact"/>
        <w:rPr>
          <w:sz w:val="20"/>
          <w:szCs w:val="20"/>
          <w:color w:val="auto"/>
        </w:rPr>
      </w:pPr>
    </w:p>
    <w:p>
      <w:pPr>
        <w:jc w:val="both"/>
        <w:ind w:firstLine="8"/>
        <w:spacing w:after="0" w:line="208" w:lineRule="auto"/>
        <w:tabs>
          <w:tab w:leader="none" w:pos="3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Executive’s death (such relevant period, the “</w:t>
      </w:r>
      <w:r>
        <w:rPr>
          <w:rFonts w:ascii="Times New Roman" w:cs="Times New Roman" w:eastAsia="Times New Roman" w:hAnsi="Times New Roman"/>
          <w:sz w:val="22"/>
          <w:szCs w:val="22"/>
          <w:b w:val="1"/>
          <w:bCs w:val="1"/>
          <w:i w:val="1"/>
          <w:iCs w:val="1"/>
          <w:color w:val="auto"/>
        </w:rPr>
        <w:t>Delay Period</w:t>
      </w:r>
      <w:r>
        <w:rPr>
          <w:rFonts w:ascii="Times New Roman" w:cs="Times New Roman" w:eastAsia="Times New Roman" w:hAnsi="Times New Roman"/>
          <w:sz w:val="22"/>
          <w:szCs w:val="22"/>
          <w:color w:val="auto"/>
        </w:rPr>
        <w:t>”). Upon the expiration of the Delay Period, all payments and benefits delayed pursuant to this Section 10(b)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shall pay, or shall cause Academy to pay, the Executive an amount equal to the amount of such premiums paid by the Executive during the Delay Period promptly after its conclusion. For purposes of this Agreement, the terms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color w:val="auto"/>
        </w:rPr>
        <w:t>” shall have the meanings ascribed to those terms in Section 409A, the term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the regulations issued thereunder by the Internal Revenue Service and the Department of Treasury.</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(aj) </w:t>
      </w:r>
      <w:r>
        <w:rPr>
          <w:rFonts w:ascii="Times New Roman" w:cs="Times New Roman" w:eastAsia="Times New Roman" w:hAnsi="Times New Roman"/>
          <w:sz w:val="22"/>
          <w:szCs w:val="22"/>
          <w:u w:val="single" w:color="auto"/>
          <w:color w:val="auto"/>
        </w:rPr>
        <w:t>Termination as a Separation from Service</w:t>
      </w:r>
      <w:r>
        <w:rPr>
          <w:rFonts w:ascii="Times New Roman" w:cs="Times New Roman" w:eastAsia="Times New Roman" w:hAnsi="Times New Roman"/>
          <w:sz w:val="22"/>
          <w:szCs w:val="22"/>
          <w:color w:val="auto"/>
        </w:rPr>
        <w:t>. A termination of employment shall not be deemed to have occurred for purposes of Sections 1 and 8 hereof and any other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(ak) </w:t>
      </w:r>
      <w:r>
        <w:rPr>
          <w:rFonts w:ascii="Times New Roman" w:cs="Times New Roman" w:eastAsia="Times New Roman" w:hAnsi="Times New Roman"/>
          <w:sz w:val="22"/>
          <w:szCs w:val="22"/>
          <w:u w:val="single" w:color="auto"/>
          <w:color w:val="auto"/>
        </w:rPr>
        <w:t>Payment Period for Reimbursements, In-Kind Benefits and Tax Gross-Up Payments</w:t>
      </w:r>
      <w:r>
        <w:rPr>
          <w:rFonts w:ascii="Times New Roman" w:cs="Times New Roman" w:eastAsia="Times New Roman" w:hAnsi="Times New Roman"/>
          <w:sz w:val="22"/>
          <w:szCs w:val="22"/>
          <w:color w:val="auto"/>
        </w:rPr>
        <w:t xml:space="preserve">.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(al) </w:t>
      </w:r>
      <w:r>
        <w:rPr>
          <w:rFonts w:ascii="Times New Roman" w:cs="Times New Roman" w:eastAsia="Times New Roman" w:hAnsi="Times New Roman"/>
          <w:sz w:val="22"/>
          <w:szCs w:val="22"/>
          <w:u w:val="single" w:color="auto"/>
          <w:color w:val="auto"/>
        </w:rPr>
        <w:t>Payments Within Specified Number of Days</w:t>
      </w:r>
      <w:r>
        <w:rPr>
          <w:rFonts w:ascii="Times New Roman" w:cs="Times New Roman" w:eastAsia="Times New Roman" w:hAnsi="Times New Roman"/>
          <w:sz w:val="22"/>
          <w:szCs w:val="22"/>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65" w:name="page66"/>
    <w:bookmarkEnd w:id="65"/>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(am) </w:t>
      </w:r>
      <w:r>
        <w:rPr>
          <w:rFonts w:ascii="Times New Roman" w:cs="Times New Roman" w:eastAsia="Times New Roman" w:hAnsi="Times New Roman"/>
          <w:sz w:val="22"/>
          <w:szCs w:val="22"/>
          <w:u w:val="single" w:color="auto"/>
          <w:color w:val="auto"/>
        </w:rPr>
        <w:t>Installments as Separate Payment</w:t>
      </w:r>
      <w:r>
        <w:rPr>
          <w:rFonts w:ascii="Times New Roman" w:cs="Times New Roman" w:eastAsia="Times New Roman" w:hAnsi="Times New Roman"/>
          <w:sz w:val="22"/>
          <w:szCs w:val="22"/>
          <w:color w:val="auto"/>
        </w:rPr>
        <w:t>. If under this Agreement, an amount is to be paid in two or more installments, for purposes of Section 409A, each installment shall be treated as a separate payment.</w:t>
      </w:r>
    </w:p>
    <w:p>
      <w:pPr>
        <w:spacing w:after="0" w:line="150"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Binding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(an) </w:t>
      </w:r>
      <w:r>
        <w:rPr>
          <w:rFonts w:ascii="Times New Roman" w:cs="Times New Roman" w:eastAsia="Times New Roman" w:hAnsi="Times New Roman"/>
          <w:sz w:val="22"/>
          <w:szCs w:val="22"/>
          <w:i w:val="1"/>
          <w:iCs w:val="1"/>
          <w:color w:val="auto"/>
        </w:rPr>
        <w:t>Company’s Successors.</w:t>
      </w:r>
      <w:r>
        <w:rPr>
          <w:rFonts w:ascii="Times New Roman" w:cs="Times New Roman" w:eastAsia="Times New Roman" w:hAnsi="Times New Roman"/>
          <w:sz w:val="22"/>
          <w:szCs w:val="22"/>
          <w:color w:val="auto"/>
        </w:rPr>
        <w:t xml:space="preserve"> The Company and the Parent will require any successor (whether direct or indirect, by 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 Executive’s employment for Good Reason, except that for purposes of implementing the foregoing, the date on which any such succession becomes effective shall be deemed the Date of Termination. As used in this Section 11(a),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11 or which otherwise becomes bound by all the terms and provisions of this Agreement by operation of law or otherwise.</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(ao) </w:t>
      </w:r>
      <w:r>
        <w:rPr>
          <w:rFonts w:ascii="Times New Roman" w:cs="Times New Roman" w:eastAsia="Times New Roman" w:hAnsi="Times New Roman"/>
          <w:sz w:val="22"/>
          <w:szCs w:val="22"/>
          <w:i w:val="1"/>
          <w:iCs w:val="1"/>
          <w:color w:val="auto"/>
        </w:rPr>
        <w:t>Executive’s Successors.</w:t>
      </w:r>
      <w:r>
        <w:rPr>
          <w:rFonts w:ascii="Times New Roman" w:cs="Times New Roman" w:eastAsia="Times New Roman" w:hAnsi="Times New Roman"/>
          <w:sz w:val="22"/>
          <w:szCs w:val="22"/>
          <w:color w:val="auto"/>
        </w:rPr>
        <w:t xml:space="preserve"> This Agreement and all rights of the Executive hereunder shall inure to the benefit 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 of the Executive’s death, all such amounts unless otherwise provided herein shall be paid in accordance with the terms of this Agreement to the Executive’s devisee, legatee or other designee or, if there is no such designee, to the Executive’s estate.</w:t>
      </w:r>
    </w:p>
    <w:p>
      <w:pPr>
        <w:spacing w:after="0" w:line="150" w:lineRule="exact"/>
        <w:rPr>
          <w:sz w:val="20"/>
          <w:szCs w:val="20"/>
          <w:color w:val="auto"/>
        </w:rPr>
      </w:pPr>
    </w:p>
    <w:p>
      <w:pPr>
        <w:jc w:val="both"/>
        <w:ind w:firstLine="656"/>
        <w:spacing w:after="0" w:line="225"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purposes of this Agreement, notices, demands and all other communications provided for in this Agreement shall be in writing and shall be deemed to have been duly given when delivered or (unless otherwise specified) mailed by United States certified or registered mail, return receipt requested, postage prepaid, addressed as follows: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Executive, to the last address shown on records of the Company;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the Parent: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Academy Managing Co., L.L.C.</w:t>
      </w:r>
    </w:p>
    <w:p>
      <w:pPr>
        <w:ind w:left="1300"/>
        <w:spacing w:after="0" w:line="204" w:lineRule="auto"/>
        <w:rPr>
          <w:sz w:val="20"/>
          <w:szCs w:val="20"/>
          <w:color w:val="auto"/>
        </w:rPr>
      </w:pPr>
      <w:r>
        <w:rPr>
          <w:rFonts w:ascii="Times New Roman" w:cs="Times New Roman" w:eastAsia="Times New Roman" w:hAnsi="Times New Roman"/>
          <w:sz w:val="22"/>
          <w:szCs w:val="22"/>
          <w:color w:val="auto"/>
        </w:rPr>
        <w:t>1800 North Mason Road</w:t>
      </w:r>
    </w:p>
    <w:p>
      <w:pPr>
        <w:ind w:left="1300"/>
        <w:spacing w:after="0" w:line="205" w:lineRule="auto"/>
        <w:rPr>
          <w:sz w:val="20"/>
          <w:szCs w:val="20"/>
          <w:color w:val="auto"/>
        </w:rPr>
      </w:pPr>
      <w:r>
        <w:rPr>
          <w:rFonts w:ascii="Times New Roman" w:cs="Times New Roman" w:eastAsia="Times New Roman" w:hAnsi="Times New Roman"/>
          <w:sz w:val="22"/>
          <w:szCs w:val="22"/>
          <w:color w:val="auto"/>
        </w:rPr>
        <w:t>Katy, Texas 77449</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5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50" w:lineRule="exact"/>
        <w:rPr>
          <w:sz w:val="20"/>
          <w:szCs w:val="20"/>
          <w:color w:val="auto"/>
        </w:rPr>
      </w:pPr>
    </w:p>
    <w:p>
      <w:pPr>
        <w:jc w:val="both"/>
        <w:ind w:firstLine="656"/>
        <w:spacing w:after="0" w:line="225"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Modification; Waiver</w:t>
      </w:r>
      <w:r>
        <w:rPr>
          <w:rFonts w:ascii="Times New Roman" w:cs="Times New Roman" w:eastAsia="Times New Roman" w:hAnsi="Times New Roman"/>
          <w:sz w:val="22"/>
          <w:szCs w:val="22"/>
          <w:color w:val="auto"/>
        </w:rPr>
        <w:t>. No provisions of this Agreement may be modified, waived or discharged unless such waiver, modification or discharge is agreed to in writing signed by the Executive and such officer of the Company as may be specifically designated by the Board or a compensation committee thereof. No waiver by either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66" w:name="page67"/>
    <w:bookmarkEnd w:id="66"/>
    <w:p>
      <w:pPr>
        <w:jc w:val="both"/>
        <w:spacing w:after="0" w:line="220" w:lineRule="auto"/>
        <w:rPr>
          <w:sz w:val="20"/>
          <w:szCs w:val="20"/>
          <w:color w:val="auto"/>
        </w:rPr>
      </w:pPr>
      <w:r>
        <w:rPr>
          <w:rFonts w:ascii="Times New Roman" w:cs="Times New Roman" w:eastAsia="Times New Roman" w:hAnsi="Times New Roman"/>
          <w:sz w:val="22"/>
          <w:szCs w:val="22"/>
          <w:color w:val="auto"/>
        </w:rPr>
        <w:t>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52"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(ap) </w:t>
      </w:r>
      <w:r>
        <w:rPr>
          <w:rFonts w:ascii="Times New Roman" w:cs="Times New Roman" w:eastAsia="Times New Roman" w:hAnsi="Times New Roman"/>
          <w:sz w:val="22"/>
          <w:szCs w:val="22"/>
          <w:b w:val="1"/>
          <w:bCs w:val="1"/>
          <w:color w:val="auto"/>
        </w:rPr>
        <w:t>THE PARTIES AGREE TO SUBMIT ALL DISPUTES AND/OR ACTIONS REGARDING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 TO THE EXCLUSIVE JURISDICTION OF THE STATE OR FEDERAL COURTS IN HARRIS COUNTY, TEXAS. EACH OF THE PARTIES WAIVES ANY RIGHTS TO A TRIAL BY JURY.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(aq) </w:t>
      </w:r>
      <w:r>
        <w:rPr>
          <w:rFonts w:ascii="Times New Roman" w:cs="Times New Roman" w:eastAsia="Times New Roman" w:hAnsi="Times New Roman"/>
          <w:sz w:val="22"/>
          <w:szCs w:val="22"/>
          <w:b w:val="1"/>
          <w:bCs w:val="1"/>
          <w:color w:val="auto"/>
        </w:rPr>
        <w:t>EXCEPT WHERE INJUNCTIVE OR OTHER EMERGENCY RELIEF IS SOUGHT, THE PARTIES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 THAT, AS A CONDITION PRECEDENT TO ANY ACTION REGARDING DISPUTES ARISING UNDER THIS AGREEMENT, SUCH DISPUTES SHALL FIRST BE SUBMITTED TO MEDIATION BEFORE A PROFESSIONAL MEDIATOR SELECTED BY THE PARTIES, AT A MUTUALLY AGREED TIME AND PLACE, AND WITH THE MEDIATOR’S FEES SPLIT EQUALLY BETWEEN THE PARTIES.</w:t>
      </w:r>
    </w:p>
    <w:p>
      <w:pPr>
        <w:spacing w:after="0" w:line="151" w:lineRule="exact"/>
        <w:rPr>
          <w:sz w:val="20"/>
          <w:szCs w:val="20"/>
          <w:color w:val="auto"/>
        </w:rPr>
      </w:pPr>
    </w:p>
    <w:p>
      <w:pPr>
        <w:ind w:right="20" w:firstLine="656"/>
        <w:spacing w:after="0" w:line="236"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Agreement shall be governed by the laws of the State of Texas without regard to its conflicts of law principles.</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All references to sections of any statute shall be deemed also to refer to any successor provisions to such sections. The obligations of the parties under Sections 5, 8, 9, 10, 11, 12 and 14 hereof shall survive the expiration of the Employment Period and the termination of this Agreement. The compensation and benefits payable to the Executive or the Executive’s beneficiary under Section 8 of this Agreement shall be in lieu of any other severance benefits, if any, to which the Executive may otherwise be entitled upon the Executive’s termination of employment under any severance plan, program, policy or arrangement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158"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Effectiveness of Agreement</w:t>
      </w:r>
      <w:r>
        <w:rPr>
          <w:rFonts w:ascii="Times New Roman" w:cs="Times New Roman" w:eastAsia="Times New Roman" w:hAnsi="Times New Roman"/>
          <w:sz w:val="22"/>
          <w:szCs w:val="22"/>
          <w:color w:val="auto"/>
        </w:rPr>
        <w:t xml:space="preserve">. This Agreement, including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attached hereto, sets forth the entire 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67" w:name="page68"/>
    <w:bookmarkEnd w:id="67"/>
    <w:p>
      <w:pPr>
        <w:jc w:val="both"/>
        <w:ind w:firstLine="656"/>
        <w:spacing w:after="0" w:line="220"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or Academy, as applicable, may withhold from any payments or benefits made or provided pursuant to this Agreement all federal, state, local, foreign and other taxes as may be required to be withheld under applicable law and all other employee deductions made with respect to employees or other senior executive officers of the Company or Academy generally, as applicable.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The Company agrees to reimburse Executive for the reasonable attorneys’ fees incurred by Executive in connection with the negotiation and execution of this Agreement and any amendment or restatement of this Agreement, in an amount not to exceed $10,000.</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as of the date first written above.</w:t>
      </w:r>
    </w:p>
    <w:p>
      <w:pPr>
        <w:sectPr>
          <w:pgSz w:w="11900" w:h="16838" w:orient="portrait"/>
          <w:cols w:equalWidth="0" w:num="1">
            <w:col w:w="9660"/>
          </w:cols>
          <w:pgMar w:left="980" w:top="1395" w:right="1259" w:bottom="1440" w:gutter="0" w:footer="0" w:header="0"/>
        </w:sectPr>
      </w:pPr>
    </w:p>
    <w:p>
      <w:pPr>
        <w:spacing w:after="0" w:line="19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ACADEMY MANAGING CO., L.L.C.</w:t>
      </w:r>
    </w:p>
    <w:p>
      <w:pPr>
        <w:spacing w:after="0" w:line="200" w:lineRule="exact"/>
        <w:rPr>
          <w:sz w:val="20"/>
          <w:szCs w:val="20"/>
          <w:color w:val="auto"/>
        </w:rPr>
      </w:pPr>
    </w:p>
    <w:p>
      <w:pPr>
        <w:spacing w:after="0" w:line="398" w:lineRule="exact"/>
        <w:rPr>
          <w:sz w:val="20"/>
          <w:szCs w:val="20"/>
          <w:color w:val="auto"/>
        </w:rPr>
      </w:pPr>
    </w:p>
    <w:p>
      <w:pPr>
        <w:ind w:left="3880"/>
        <w:spacing w:after="0"/>
        <w:tabs>
          <w:tab w:leader="none" w:pos="4440" w:val="left"/>
        </w:tabs>
        <w:rPr>
          <w:sz w:val="20"/>
          <w:szCs w:val="20"/>
          <w:color w:val="auto"/>
        </w:rPr>
      </w:pPr>
      <w:r>
        <w:rPr>
          <w:rFonts w:ascii="Times New Roman" w:cs="Times New Roman" w:eastAsia="Times New Roman" w:hAnsi="Times New Roman"/>
          <w:sz w:val="22"/>
          <w:szCs w:val="22"/>
          <w:color w:val="auto"/>
        </w:rPr>
        <w:t>By:</w:t>
        <w:tab/>
        <w:t>/s/ J.K. Symancyk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-5715</wp:posOffset>
            </wp:positionV>
            <wp:extent cx="13068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ind w:left="4100"/>
        <w:spacing w:after="0" w:line="204" w:lineRule="auto"/>
        <w:rPr>
          <w:sz w:val="20"/>
          <w:szCs w:val="20"/>
          <w:color w:val="auto"/>
        </w:rPr>
      </w:pPr>
      <w:r>
        <w:rPr>
          <w:rFonts w:ascii="Times New Roman" w:cs="Times New Roman" w:eastAsia="Times New Roman" w:hAnsi="Times New Roman"/>
          <w:sz w:val="22"/>
          <w:szCs w:val="22"/>
          <w:color w:val="auto"/>
        </w:rPr>
        <w:t>Name: James Kevin (J.K.) Symancyk</w:t>
      </w:r>
    </w:p>
    <w:p>
      <w:pPr>
        <w:ind w:left="4100"/>
        <w:spacing w:after="0" w:line="215" w:lineRule="auto"/>
        <w:tabs>
          <w:tab w:leader="none" w:pos="6040" w:val="left"/>
        </w:tabs>
        <w:rPr>
          <w:sz w:val="20"/>
          <w:szCs w:val="20"/>
          <w:color w:val="auto"/>
        </w:rPr>
      </w:pPr>
      <w:r>
        <w:rPr>
          <w:rFonts w:ascii="Times New Roman" w:cs="Times New Roman" w:eastAsia="Times New Roman" w:hAnsi="Times New Roman"/>
          <w:sz w:val="22"/>
          <w:szCs w:val="22"/>
          <w:color w:val="auto"/>
        </w:rPr>
        <w:t>Title: President and</w:t>
      </w:r>
      <w:r>
        <w:rPr>
          <w:sz w:val="20"/>
          <w:szCs w:val="20"/>
          <w:color w:val="auto"/>
        </w:rPr>
        <w:tab/>
      </w:r>
      <w:r>
        <w:rPr>
          <w:rFonts w:ascii="Times New Roman" w:cs="Times New Roman" w:eastAsia="Times New Roman" w:hAnsi="Times New Roman"/>
          <w:sz w:val="21"/>
          <w:szCs w:val="21"/>
          <w:color w:val="auto"/>
        </w:rPr>
        <w:t>Chief Executive</w:t>
      </w:r>
    </w:p>
    <w:p>
      <w:pPr>
        <w:ind w:left="4160"/>
        <w:spacing w:after="0" w:line="205" w:lineRule="auto"/>
        <w:rPr>
          <w:sz w:val="20"/>
          <w:szCs w:val="20"/>
          <w:color w:val="auto"/>
        </w:rPr>
      </w:pPr>
      <w:r>
        <w:rPr>
          <w:rFonts w:ascii="Times New Roman" w:cs="Times New Roman" w:eastAsia="Times New Roman" w:hAnsi="Times New Roman"/>
          <w:sz w:val="22"/>
          <w:szCs w:val="22"/>
          <w:color w:val="auto"/>
        </w:rPr>
        <w:t>Officer</w:t>
      </w:r>
    </w:p>
    <w:p>
      <w:pPr>
        <w:spacing w:after="0" w:line="1"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22"/>
          <w:szCs w:val="22"/>
          <w:color w:val="auto"/>
        </w:rPr>
        <w:t>NEW ACADEMY HOLDING COMPANY, LLC</w:t>
      </w:r>
    </w:p>
    <w:p>
      <w:pPr>
        <w:spacing w:after="0" w:line="200" w:lineRule="exact"/>
        <w:rPr>
          <w:sz w:val="20"/>
          <w:szCs w:val="20"/>
          <w:color w:val="auto"/>
        </w:rPr>
      </w:pPr>
    </w:p>
    <w:p>
      <w:pPr>
        <w:spacing w:after="0" w:line="37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 /s/ J.K. Symancyk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-5715</wp:posOffset>
            </wp:positionV>
            <wp:extent cx="1135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4100"/>
        <w:spacing w:after="0" w:line="204" w:lineRule="auto"/>
        <w:rPr>
          <w:sz w:val="20"/>
          <w:szCs w:val="20"/>
          <w:color w:val="auto"/>
        </w:rPr>
      </w:pPr>
      <w:r>
        <w:rPr>
          <w:rFonts w:ascii="Times New Roman" w:cs="Times New Roman" w:eastAsia="Times New Roman" w:hAnsi="Times New Roman"/>
          <w:sz w:val="22"/>
          <w:szCs w:val="22"/>
          <w:color w:val="auto"/>
        </w:rPr>
        <w:t>Name: James Kevin (J.K.) Symancyk</w:t>
      </w:r>
    </w:p>
    <w:p>
      <w:pPr>
        <w:ind w:left="4100"/>
        <w:spacing w:after="0" w:line="215" w:lineRule="auto"/>
        <w:tabs>
          <w:tab w:leader="none" w:pos="6040" w:val="left"/>
        </w:tabs>
        <w:rPr>
          <w:sz w:val="20"/>
          <w:szCs w:val="20"/>
          <w:color w:val="auto"/>
        </w:rPr>
      </w:pPr>
      <w:r>
        <w:rPr>
          <w:rFonts w:ascii="Times New Roman" w:cs="Times New Roman" w:eastAsia="Times New Roman" w:hAnsi="Times New Roman"/>
          <w:sz w:val="22"/>
          <w:szCs w:val="22"/>
          <w:color w:val="auto"/>
        </w:rPr>
        <w:t>Title: President and</w:t>
      </w:r>
      <w:r>
        <w:rPr>
          <w:sz w:val="20"/>
          <w:szCs w:val="20"/>
          <w:color w:val="auto"/>
        </w:rPr>
        <w:tab/>
      </w:r>
      <w:r>
        <w:rPr>
          <w:rFonts w:ascii="Times New Roman" w:cs="Times New Roman" w:eastAsia="Times New Roman" w:hAnsi="Times New Roman"/>
          <w:sz w:val="21"/>
          <w:szCs w:val="21"/>
          <w:color w:val="auto"/>
        </w:rPr>
        <w:t>Chief Executive</w:t>
      </w:r>
    </w:p>
    <w:p>
      <w:pPr>
        <w:spacing w:after="0" w:line="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Officer</w:t>
      </w:r>
    </w:p>
    <w:p>
      <w:pPr>
        <w:spacing w:after="0" w:line="15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9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 /s/ Manish Maini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-5715</wp:posOffset>
            </wp:positionV>
            <wp:extent cx="1074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ind w:left="3880"/>
        <w:spacing w:after="0"/>
        <w:rPr>
          <w:sz w:val="20"/>
          <w:szCs w:val="20"/>
          <w:color w:val="auto"/>
        </w:rPr>
      </w:pPr>
      <w:r>
        <w:rPr>
          <w:rFonts w:ascii="Times New Roman" w:cs="Times New Roman" w:eastAsia="Times New Roman" w:hAnsi="Times New Roman"/>
          <w:sz w:val="22"/>
          <w:szCs w:val="22"/>
          <w:color w:val="auto"/>
        </w:rPr>
        <w:t>Name: Manish Maini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i w:val="1"/>
          <w:iCs w:val="1"/>
          <w:color w:val="auto"/>
        </w:rPr>
        <w:t>Signature page to Employment Agreement</w:t>
      </w:r>
    </w:p>
    <w:p>
      <w:pPr>
        <w:sectPr>
          <w:pgSz w:w="11900" w:h="16838" w:orient="portrait"/>
          <w:cols w:equalWidth="0" w:num="1">
            <w:col w:w="9660"/>
          </w:cols>
          <w:pgMar w:left="980" w:top="1395" w:right="125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RELEASE</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Capitalized terms used but not defined in this Release (this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shall have the same meanings as such terms are defined in the Employment Agreement by and between Academy Managing Co., L.L.C. and Manish Maini, dated [INSERT DATE]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Release, and Discharge of all Claims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07" w:lineRule="auto"/>
        <w:tabs>
          <w:tab w:leader="none" w:pos="195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the Separation Consideration from Academy, the undersigned Executive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xml:space="preserve">”) hereby irrevocably and unconditionally waives, releases, acquits and forever discharges Academy, its parent, subsidiary, predecessor, successor and affiliated companies, in such capacities and their respective directors, managers, officers, employees, representatives, agents and equity holders (collectively, the </w:t>
      </w:r>
      <w:r>
        <w:rPr>
          <w:rFonts w:ascii="Times New Roman" w:cs="Times New Roman" w:eastAsia="Times New Roman" w:hAnsi="Times New Roman"/>
          <w:sz w:val="22"/>
          <w:szCs w:val="22"/>
          <w:b w:val="1"/>
          <w:bCs w:val="1"/>
          <w:color w:val="auto"/>
        </w:rPr>
        <w:t>“Releasees”)</w:t>
      </w:r>
      <w:r>
        <w:rPr>
          <w:rFonts w:ascii="Times New Roman" w:cs="Times New Roman" w:eastAsia="Times New Roman" w:hAnsi="Times New Roman"/>
          <w:sz w:val="22"/>
          <w:szCs w:val="22"/>
          <w:color w:val="auto"/>
        </w:rPr>
        <w:t>, from any and all claims, liabilities, obligations, damages, causes of action, demands, costs, losses and/or expenses (including attorneys’ fees) of any nature whatsoever, whether known or unknown, fixed or contingent, which Executive may have or claim to have against any of the Releasees as a result of Executive’s employment and/or termination from employment and/or as a result of any other matter, in any way arising on or before the date of Executive’s signing of this Release, including, but not limited to, rights arising out of alleged violations of any contracts, express or implied, verbal or written, quantum meruit, any covenant of good faith and fair dealing, express or implied, or any tort or claim for personal injury or invasion of privacy, any claims regarding the enforceability of the restrictive covenants or the resulting effects of any Restrictive Covenant Violations, or any legal restrictions on Academy’s right to terminate employees, or any federal, state or other governmental statute, regulation or ordinance under which the Executive has any claim against any of the Releasees, including, without limitation, Title VII of the Civil Rights Act of 1964, as amended, and the Age Discrimination in Employment Act of 1967, as amended, Chapters 21, 61, and 451 of the Texas Labor Code, the Equal Pay Act, the Fair Labor Standards Act, the Consolidated Omnibus Budget Reconciliation Act, the Employee Retirement Income Security Act of 1974, as amended, the Civil Rights Act of 1991, the Family and Medical Leave Act of 1993, and the Americans with Disabilities Act of 1990, the Genetic Information Nondiscrimination Act, the Occupational Safety &amp; Health Act, the National Labor Relations Act, Section 1981 of the Civil Rights Act of 1866, the Fair Labor Standards Act, and the Sarbanes Oxley Act of 2002, claims for workers’ compensation, wages or any other compensation other than any pending workers’ compensation benefits claims, or claims for benefits including, without limitation, those arising under the Employee Retirement Income Security Act (other than any claims for vested benefits). In addition, to the extent permitted by law, the Executive waives all rights and benefits afforded by any laws which provide in substance that a general release does not extend to claims which a person does not know or suspect to exist in Executive’s favor at the time of executing the release which, if known by Executive’s, must have materially affected the Executive’s settlement with the other person.</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exceptions to the foregoing release are (i) claims and rights that may first arise after the date of Executive’s signing of this Release, (ii) any existing right to indemnification under applicable laws, plans, organizational documents, or agreements (which is hereby ratified and confirmed), (iii) any rights of Executive as an insured, or to coverage, under any director’s and officer’s liability insurance policy of Academy or its parent entities or Affiliates, and (iv) any claims, rights or obligations of Executive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9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applicable law which cannot be waived or released pursuant to an agreement as a matter of law.</w:t>
      </w:r>
    </w:p>
    <w:p>
      <w:pPr>
        <w:spacing w:after="0" w:line="179" w:lineRule="exact"/>
        <w:rPr>
          <w:sz w:val="20"/>
          <w:szCs w:val="20"/>
          <w:color w:val="auto"/>
        </w:rPr>
      </w:pPr>
    </w:p>
    <w:p>
      <w:pPr>
        <w:jc w:val="both"/>
        <w:ind w:firstLine="644"/>
        <w:spacing w:after="0" w:line="211"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Executive has not previously filed, and to the maximum extent permitted by law, agrees not to file, a claim against any Releasee regarding any of the claims respectively released herein. If, notwithstanding this representation and warranty, Executive has filed or files such a claim, Executive agrees to cause such claim to be dismissed with prejudice and shall pay any and all costs required in obtaining dismissal of such claim, including without limitation the attorneys’ fees and expenses of any of the parties against whom such a claim has been filed. Executive has not previously assigned or transferred any such claim, agrees not to file a lawsuit asserting any such released claims, and Executive agrees not to accept any monetary (money) damages or other personal relief (including legal or equitable relief) in connection with any administrative claim or lawsuit filed by any person or entity against any of the Releasees.</w:t>
      </w:r>
    </w:p>
    <w:p>
      <w:pPr>
        <w:spacing w:after="0" w:line="154" w:lineRule="exact"/>
        <w:rPr>
          <w:sz w:val="20"/>
          <w:szCs w:val="20"/>
          <w:color w:val="auto"/>
        </w:rPr>
      </w:pPr>
    </w:p>
    <w:p>
      <w:pPr>
        <w:ind w:firstLine="644"/>
        <w:spacing w:after="0" w:line="238"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Release, and Discharge of Age Discrimination Claims</w:t>
      </w:r>
      <w:r>
        <w:rPr>
          <w:rFonts w:ascii="Times New Roman" w:cs="Times New Roman" w:eastAsia="Times New Roman" w:hAnsi="Times New Roman"/>
          <w:sz w:val="22"/>
          <w:szCs w:val="22"/>
          <w:color w:val="auto"/>
        </w:rPr>
        <w:t>. In addition to Executive’s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and discharge of all claims, Executive acknowledges the following:</w:t>
      </w:r>
    </w:p>
    <w:p>
      <w:pPr>
        <w:spacing w:after="0" w:line="150" w:lineRule="exact"/>
        <w:rPr>
          <w:sz w:val="20"/>
          <w:szCs w:val="20"/>
          <w:color w:val="auto"/>
        </w:rPr>
      </w:pPr>
    </w:p>
    <w:p>
      <w:pPr>
        <w:ind w:firstLine="644"/>
        <w:spacing w:after="0" w:line="236"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is written in a manner understood by Executive and that Executive in fact understands the terms, conditions, and effect of this Release.</w:t>
      </w:r>
    </w:p>
    <w:p>
      <w:pPr>
        <w:spacing w:after="0" w:line="150" w:lineRule="exact"/>
        <w:rPr>
          <w:rFonts w:ascii="Times New Roman" w:cs="Times New Roman" w:eastAsia="Times New Roman" w:hAnsi="Times New Roman"/>
          <w:sz w:val="22"/>
          <w:szCs w:val="22"/>
          <w:color w:val="auto"/>
        </w:rPr>
      </w:pPr>
    </w:p>
    <w:p>
      <w:pPr>
        <w:ind w:right="20" w:firstLine="644"/>
        <w:spacing w:after="0" w:line="236" w:lineRule="auto"/>
        <w:tabs>
          <w:tab w:leader="none" w:pos="1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by Executive in this Release refers to rights or claims arising under the Age Discrimination in Employment Act and Older Workers’ Benefit Protection Act.</w:t>
      </w:r>
    </w:p>
    <w:p>
      <w:pPr>
        <w:spacing w:after="0" w:line="15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does not waive rights or claims that may arise after the date Executive signs this Release.</w:t>
      </w:r>
    </w:p>
    <w:p>
      <w:pPr>
        <w:spacing w:after="0" w:line="179" w:lineRule="exact"/>
        <w:rPr>
          <w:rFonts w:ascii="Times New Roman" w:cs="Times New Roman" w:eastAsia="Times New Roman" w:hAnsi="Times New Roman"/>
          <w:sz w:val="22"/>
          <w:szCs w:val="22"/>
          <w:color w:val="auto"/>
        </w:rPr>
      </w:pPr>
    </w:p>
    <w:p>
      <w:pPr>
        <w:ind w:firstLine="644"/>
        <w:spacing w:after="0" w:line="236" w:lineRule="auto"/>
        <w:tabs>
          <w:tab w:leader="none" w:pos="1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waives rights or claims only in exchange for consideration in addition to anything of value to which Executive is already entitled.</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advised in writing to consult with an attorney prior to executing this Release, and Executive has done so to the extent Executive so desired.</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fully understands all of the terms of this Release and knowingly and voluntarily enters into this Release, including Executive’s waiver, release, and discharge of age discrimination claims.</w:t>
      </w:r>
    </w:p>
    <w:p>
      <w:pPr>
        <w:spacing w:after="0" w:line="146" w:lineRule="exact"/>
        <w:rPr>
          <w:rFonts w:ascii="Times New Roman" w:cs="Times New Roman" w:eastAsia="Times New Roman" w:hAnsi="Times New Roman"/>
          <w:sz w:val="22"/>
          <w:szCs w:val="22"/>
          <w:color w:val="auto"/>
        </w:rPr>
      </w:pPr>
    </w:p>
    <w:p>
      <w:pPr>
        <w:jc w:val="both"/>
        <w:ind w:firstLine="644"/>
        <w:spacing w:after="0" w:line="259" w:lineRule="auto"/>
        <w:tabs>
          <w:tab w:leader="none" w:pos="129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Academy has delivered this Release to Executive to consider on [DATE], (the “</w:t>
      </w:r>
      <w:r>
        <w:rPr>
          <w:rFonts w:ascii="Times New Roman" w:cs="Times New Roman" w:eastAsia="Times New Roman" w:hAnsi="Times New Roman"/>
          <w:sz w:val="21"/>
          <w:szCs w:val="21"/>
          <w:b w:val="1"/>
          <w:bCs w:val="1"/>
          <w:color w:val="auto"/>
        </w:rPr>
        <w:t>Delivery Date</w:t>
      </w:r>
      <w:r>
        <w:rPr>
          <w:rFonts w:ascii="Times New Roman" w:cs="Times New Roman" w:eastAsia="Times New Roman" w:hAnsi="Times New Roman"/>
          <w:sz w:val="21"/>
          <w:szCs w:val="21"/>
          <w:color w:val="auto"/>
        </w:rPr>
        <w:t>”). Executive has had more than twenty-one (21) days following the Delivery Date in which to consider this Release before executing it.</w:t>
      </w:r>
    </w:p>
    <w:p>
      <w:pPr>
        <w:spacing w:after="0" w:line="130" w:lineRule="exact"/>
        <w:rPr>
          <w:rFonts w:ascii="Times New Roman" w:cs="Times New Roman" w:eastAsia="Times New Roman" w:hAnsi="Times New Roman"/>
          <w:sz w:val="21"/>
          <w:szCs w:val="21"/>
          <w:color w:val="auto"/>
        </w:rPr>
      </w:pPr>
    </w:p>
    <w:p>
      <w:pPr>
        <w:jc w:val="both"/>
        <w:ind w:firstLine="644"/>
        <w:spacing w:after="0" w:line="220" w:lineRule="auto"/>
        <w:tabs>
          <w:tab w:leader="none" w:pos="1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must execute and return this Release to Academy on or within five (5) days after the Termination Date. If Executive does not execute and return this Release to Academy on or within five (5) days after the Termination Date, this Release shall be considered rejected and Academy shall not be obligated to deliver any portion of the Separation Consideration to Executive.</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has seven (7) days following Executive’s signing of this Release to revoke the waiver of any age discrimination claims and Section 2 of this Release or Executive’s representations made in Section 2 of this Release (the </w:t>
      </w:r>
      <w:r>
        <w:rPr>
          <w:rFonts w:ascii="Times New Roman" w:cs="Times New Roman" w:eastAsia="Times New Roman" w:hAnsi="Times New Roman"/>
          <w:sz w:val="22"/>
          <w:szCs w:val="22"/>
          <w:b w:val="1"/>
          <w:bCs w:val="1"/>
          <w:color w:val="auto"/>
        </w:rPr>
        <w:t>“Revocation Period”</w:t>
      </w:r>
      <w:r>
        <w:rPr>
          <w:rFonts w:ascii="Times New Roman" w:cs="Times New Roman" w:eastAsia="Times New Roman" w:hAnsi="Times New Roman"/>
          <w:sz w:val="22"/>
          <w:szCs w:val="22"/>
          <w:color w:val="auto"/>
        </w:rPr>
        <w:t>). If Executive decides to revoke this waiver of age discrimination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Appendix A-2</w:t>
      </w:r>
    </w:p>
    <w:p>
      <w:pPr>
        <w:sectPr>
          <w:pgSz w:w="11900" w:h="16838" w:orient="portrait"/>
          <w:cols w:equalWidth="0" w:num="1">
            <w:col w:w="10580"/>
          </w:cols>
          <w:pgMar w:left="980" w:top="1395" w:right="339" w:bottom="1440" w:gutter="0" w:footer="0" w:header="0"/>
        </w:sectPr>
      </w:pPr>
    </w:p>
    <w:bookmarkStart w:id="71" w:name="page72"/>
    <w:bookmarkEnd w:id="71"/>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claims and representations made under Section 2 of this Release, Executive must send written notice of revocation to Academy within the Revocation Period and this Release shall be deemed revoked by Executive and Academy shall not be obligated to deliver any portion of the Separation Consideration to Executive.</w:t>
      </w:r>
    </w:p>
    <w:p>
      <w:pPr>
        <w:spacing w:after="0" w:line="148" w:lineRule="exact"/>
        <w:rPr>
          <w:sz w:val="20"/>
          <w:szCs w:val="20"/>
          <w:color w:val="auto"/>
        </w:rPr>
      </w:pPr>
    </w:p>
    <w:p>
      <w:pPr>
        <w:jc w:val="both"/>
        <w:ind w:firstLine="644"/>
        <w:spacing w:after="0" w:line="219" w:lineRule="auto"/>
        <w:tabs>
          <w:tab w:leader="none" w:pos="129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Administrative Complaint</w:t>
      </w:r>
      <w:r>
        <w:rPr>
          <w:rFonts w:ascii="Times New Roman" w:cs="Times New Roman" w:eastAsia="Times New Roman" w:hAnsi="Times New Roman"/>
          <w:sz w:val="21"/>
          <w:szCs w:val="21"/>
          <w:color w:val="auto"/>
        </w:rPr>
        <w:t>. Nothing in this Release shall prevent Executive from filing a charge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complaint, including a challenge to the validity of this Release, or making a disclosure or report of possible unlawful activity with any governmental agency, including but not limited to the Equal Employment Opportunity Commission (</w:t>
      </w:r>
      <w:r>
        <w:rPr>
          <w:rFonts w:ascii="Times New Roman" w:cs="Times New Roman" w:eastAsia="Times New Roman" w:hAnsi="Times New Roman"/>
          <w:sz w:val="21"/>
          <w:szCs w:val="21"/>
          <w:b w:val="1"/>
          <w:bCs w:val="1"/>
          <w:color w:val="auto"/>
        </w:rPr>
        <w:t>“EEOC”</w:t>
      </w:r>
      <w:r>
        <w:rPr>
          <w:rFonts w:ascii="Times New Roman" w:cs="Times New Roman" w:eastAsia="Times New Roman" w:hAnsi="Times New Roman"/>
          <w:sz w:val="21"/>
          <w:szCs w:val="21"/>
          <w:color w:val="auto"/>
        </w:rPr>
        <w:t>) or the National Labor Relations Board (“</w:t>
      </w:r>
      <w:r>
        <w:rPr>
          <w:rFonts w:ascii="Times New Roman" w:cs="Times New Roman" w:eastAsia="Times New Roman" w:hAnsi="Times New Roman"/>
          <w:sz w:val="21"/>
          <w:szCs w:val="21"/>
          <w:b w:val="1"/>
          <w:bCs w:val="1"/>
          <w:color w:val="auto"/>
        </w:rPr>
        <w:t>NLRB</w:t>
      </w:r>
      <w:r>
        <w:rPr>
          <w:rFonts w:ascii="Times New Roman" w:cs="Times New Roman" w:eastAsia="Times New Roman" w:hAnsi="Times New Roman"/>
          <w:sz w:val="21"/>
          <w:szCs w:val="21"/>
          <w:color w:val="auto"/>
        </w:rPr>
        <w:t>”), or the Securities and Exchange Commission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xml:space="preserve">”) or comparable federal, state or local agency, or to an attorney, solely for the purpose of reporting or investigating a suspected violation of law, or from participating in any investigation or proceeding conducted by the EEOC, NLRB, SEC or comparable federal, state or local agency, or other actions protected as whistleblower activity under applicable law. Further, a disclosure of trade secrets is not a prohibited disclosure if made in a complaint or other document filed in a lawsuit or other proceeding, if such filing is made under seal. This Release does not impose any condition precedent (such as prior disclosure to Academy), any penalty, or any other restriction or limitation adversely affecting Executive’s rights regarding any EEOC, NLRB, SEC, or comparable federal, state or local agency claim or investigation or proceeding conducted by any such administrative agency. Executive understands and recognizes that if a charge is filed by Executive or on Executive’s behalf with an administrative agency other than the SEC, or if Executive participates in any investigation or proceeding with any such agency, </w:t>
      </w:r>
      <w:r>
        <w:rPr>
          <w:rFonts w:ascii="Times New Roman" w:cs="Times New Roman" w:eastAsia="Times New Roman" w:hAnsi="Times New Roman"/>
          <w:sz w:val="21"/>
          <w:szCs w:val="21"/>
          <w:b w:val="1"/>
          <w:bCs w:val="1"/>
          <w:u w:val="single" w:color="auto"/>
          <w:color w:val="auto"/>
        </w:rPr>
        <w:t>Executive will not be entitled to any damages or payment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money relating to any event which occurred prior to Executive’s execution of this Release.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Appendix A-3</w:t>
      </w:r>
    </w:p>
    <w:p>
      <w:pPr>
        <w:sectPr>
          <w:pgSz w:w="11900" w:h="16838" w:orient="portrait"/>
          <w:cols w:equalWidth="0" w:num="1">
            <w:col w:w="10580"/>
          </w:cols>
          <w:pgMar w:left="980" w:top="1395" w:right="339" w:bottom="1440" w:gutter="0" w:footer="0" w:header="0"/>
        </w:sectPr>
      </w:pPr>
    </w:p>
    <w:bookmarkStart w:id="72" w:name="page73"/>
    <w:bookmarkEnd w:id="72"/>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AND ACCEPTED, on this ________ day of _________________, _______.</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EXECUTIVE</w:t>
      </w:r>
    </w:p>
    <w:p>
      <w:pPr>
        <w:spacing w:after="0" w:line="3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-13970</wp:posOffset>
            </wp:positionV>
            <wp:extent cx="171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5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Name: Manish Maini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Appendix A-4</w:t>
      </w:r>
    </w:p>
    <w:p>
      <w:pPr>
        <w:sectPr>
          <w:pgSz w:w="11900" w:h="16838" w:orient="portrait"/>
          <w:cols w:equalWidth="0" w:num="1">
            <w:col w:w="9479"/>
          </w:cols>
          <w:pgMar w:left="980" w:top="1440" w:right="1440"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Relocation Benefits</w:t>
      </w:r>
    </w:p>
    <w:p>
      <w:pPr>
        <w:spacing w:after="0" w:line="20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Company shall provide, or cause Academy to provide, the Executive with the following relocation benefits pursuant to the terms and conditions set forth in Section 4(d) of the Employment Agreement:</w:t>
      </w:r>
    </w:p>
    <w:p>
      <w:pPr>
        <w:spacing w:after="0" w:line="177" w:lineRule="exact"/>
        <w:rPr>
          <w:sz w:val="20"/>
          <w:szCs w:val="20"/>
          <w:color w:val="auto"/>
        </w:rPr>
      </w:pPr>
    </w:p>
    <w:p>
      <w:pPr>
        <w:ind w:left="660" w:right="20" w:hanging="328"/>
        <w:spacing w:after="0" w:line="236" w:lineRule="auto"/>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allowance of $50,000.00 (gross), payable no later than the Company’s first regular payroll date following the Commencement Date;</w:t>
      </w:r>
    </w:p>
    <w:p>
      <w:pPr>
        <w:spacing w:after="0" w:line="42" w:lineRule="exact"/>
        <w:rPr>
          <w:rFonts w:ascii="Times New Roman" w:cs="Times New Roman" w:eastAsia="Times New Roman" w:hAnsi="Times New Roman"/>
          <w:sz w:val="22"/>
          <w:szCs w:val="22"/>
          <w:color w:val="auto"/>
        </w:rPr>
      </w:pPr>
    </w:p>
    <w:p>
      <w:pPr>
        <w:jc w:val="both"/>
        <w:ind w:left="660" w:hanging="328"/>
        <w:spacing w:after="0" w:line="225" w:lineRule="auto"/>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by the Company for reasonable travel and lodging expenses incurred for one (1), three-day, two-night house-hunting trip to the Houston area for the Executive and a guest, to be reserved by the Company’s relocation department.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Company-paid temporary housing for up to 90 days, as needed, including per diem;</w:t>
      </w:r>
    </w:p>
    <w:p>
      <w:pPr>
        <w:spacing w:after="0" w:line="71" w:lineRule="exact"/>
        <w:rPr>
          <w:rFonts w:ascii="Times New Roman" w:cs="Times New Roman" w:eastAsia="Times New Roman" w:hAnsi="Times New Roman"/>
          <w:sz w:val="22"/>
          <w:szCs w:val="22"/>
          <w:color w:val="auto"/>
        </w:rPr>
      </w:pPr>
    </w:p>
    <w:p>
      <w:pPr>
        <w:ind w:left="660" w:hanging="328"/>
        <w:spacing w:after="0" w:line="236" w:lineRule="auto"/>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Company-paid professional moving service by an Academy designated move partner (including coverage for all standard household goods, two (2) vehicles and packing and unpacking);</w:t>
      </w:r>
    </w:p>
    <w:p>
      <w:pPr>
        <w:spacing w:after="0" w:line="4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Storage of standard household goods for the duration of, the period of temporary housing used (if needed)</w:t>
      </w:r>
    </w:p>
    <w:p>
      <w:pPr>
        <w:spacing w:after="0" w:line="71" w:lineRule="exact"/>
        <w:rPr>
          <w:rFonts w:ascii="Times New Roman" w:cs="Times New Roman" w:eastAsia="Times New Roman" w:hAnsi="Times New Roman"/>
          <w:sz w:val="22"/>
          <w:szCs w:val="22"/>
          <w:color w:val="auto"/>
        </w:rPr>
      </w:pPr>
    </w:p>
    <w:p>
      <w:pPr>
        <w:jc w:val="both"/>
        <w:ind w:left="660" w:hanging="328"/>
        <w:spacing w:after="0" w:line="225" w:lineRule="auto"/>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by the Company for reasonable travel and lodging expenses incurred for one (1), two-day, one-night house-sale closing trip for former residence, for the Executive only, to be reserved by the Company’s relocation department.</w:t>
      </w:r>
    </w:p>
    <w:p>
      <w:pPr>
        <w:spacing w:after="0" w:line="44" w:lineRule="exact"/>
        <w:rPr>
          <w:rFonts w:ascii="Times New Roman" w:cs="Times New Roman" w:eastAsia="Times New Roman" w:hAnsi="Times New Roman"/>
          <w:sz w:val="22"/>
          <w:szCs w:val="22"/>
          <w:color w:val="auto"/>
        </w:rPr>
      </w:pPr>
    </w:p>
    <w:p>
      <w:pPr>
        <w:ind w:left="660" w:hanging="328"/>
        <w:spacing w:after="0" w:line="236" w:lineRule="auto"/>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the Company of 6% of the sales price of the Executive’s existing primary residence for realtor fees and up to $3,500 in customary closing costs for the sale of the Executive’s existing primary residence;</w:t>
      </w:r>
    </w:p>
    <w:p>
      <w:pPr>
        <w:spacing w:after="0" w:line="4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full family one-way final trip from New Jersey to Houston Texas;</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 to five (5) days off with pay for relocation related needs (up to 8 hours per day); and</w:t>
      </w:r>
    </w:p>
    <w:p>
      <w:pPr>
        <w:spacing w:after="0" w:line="71" w:lineRule="exact"/>
        <w:rPr>
          <w:rFonts w:ascii="Times New Roman" w:cs="Times New Roman" w:eastAsia="Times New Roman" w:hAnsi="Times New Roman"/>
          <w:sz w:val="22"/>
          <w:szCs w:val="22"/>
          <w:color w:val="auto"/>
        </w:rPr>
      </w:pPr>
    </w:p>
    <w:p>
      <w:pPr>
        <w:ind w:left="660" w:hanging="328"/>
        <w:spacing w:after="0" w:line="236" w:lineRule="auto"/>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reasonable travel &amp; lodging expenses and/or temporary housing expenses relating to relocation that may be requested by the Executive and pre-approved by the Company.</w:t>
      </w:r>
    </w:p>
    <w:p>
      <w:pPr>
        <w:sectPr>
          <w:pgSz w:w="11900" w:h="16838" w:orient="portrait"/>
          <w:cols w:equalWidth="0" w:num="1">
            <w:col w:w="11240"/>
          </w:cols>
          <w:pgMar w:left="320" w:top="139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C. Hicks, certify that:</w:t>
      </w:r>
    </w:p>
    <w:p>
      <w:pPr>
        <w:spacing w:after="0" w:line="117" w:lineRule="exact"/>
        <w:rPr>
          <w:sz w:val="20"/>
          <w:szCs w:val="20"/>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July 30, 2022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C. HICKS</w:t>
            </w:r>
          </w:p>
        </w:tc>
        <w:tc>
          <w:tcPr>
            <w:tcW w:w="6180" w:type="dxa"/>
            <w:vAlign w:val="bottom"/>
          </w:tcPr>
          <w:p>
            <w:pPr>
              <w:ind w:left="4400"/>
              <w:spacing w:after="0"/>
              <w:rPr>
                <w:sz w:val="20"/>
                <w:szCs w:val="20"/>
                <w:color w:val="auto"/>
              </w:rPr>
            </w:pPr>
            <w:r>
              <w:rPr>
                <w:rFonts w:ascii="Times New Roman" w:cs="Times New Roman" w:eastAsia="Times New Roman" w:hAnsi="Times New Roman"/>
                <w:sz w:val="18"/>
                <w:szCs w:val="18"/>
                <w:color w:val="auto"/>
                <w:w w:val="98"/>
              </w:rPr>
              <w:t>Date: September 7, 2022</w:t>
            </w:r>
          </w:p>
        </w:tc>
      </w:tr>
      <w:tr>
        <w:trPr>
          <w:trHeight w:val="21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C. Hicks</w:t>
            </w:r>
          </w:p>
        </w:tc>
        <w:tc>
          <w:tcPr>
            <w:tcW w:w="6180" w:type="dxa"/>
            <w:vAlign w:val="bottom"/>
          </w:tcPr>
          <w:p>
            <w:pPr>
              <w:spacing w:after="0"/>
              <w:rPr>
                <w:sz w:val="18"/>
                <w:szCs w:val="18"/>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6180" w:type="dxa"/>
            <w:vAlign w:val="bottom"/>
          </w:tcPr>
          <w:p>
            <w:pPr>
              <w:spacing w:after="0"/>
              <w:rPr>
                <w:sz w:val="19"/>
                <w:szCs w:val="19"/>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18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Mullican, certify that:</w:t>
      </w:r>
    </w:p>
    <w:p>
      <w:pPr>
        <w:spacing w:after="0" w:line="117" w:lineRule="exact"/>
        <w:rPr>
          <w:sz w:val="20"/>
          <w:szCs w:val="20"/>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July 30, 2022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c>
          <w:tcPr>
            <w:tcW w:w="6180" w:type="dxa"/>
            <w:vAlign w:val="bottom"/>
          </w:tcPr>
          <w:p>
            <w:pPr>
              <w:ind w:left="4400"/>
              <w:spacing w:after="0"/>
              <w:rPr>
                <w:sz w:val="20"/>
                <w:szCs w:val="20"/>
                <w:color w:val="auto"/>
              </w:rPr>
            </w:pPr>
            <w:r>
              <w:rPr>
                <w:rFonts w:ascii="Times New Roman" w:cs="Times New Roman" w:eastAsia="Times New Roman" w:hAnsi="Times New Roman"/>
                <w:sz w:val="18"/>
                <w:szCs w:val="18"/>
                <w:color w:val="auto"/>
                <w:w w:val="98"/>
              </w:rPr>
              <w:t>Date: September 7, 2022</w:t>
            </w:r>
          </w:p>
        </w:tc>
      </w:tr>
      <w:tr>
        <w:trPr>
          <w:trHeight w:val="21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c>
          <w:tcPr>
            <w:tcW w:w="6180" w:type="dxa"/>
            <w:vAlign w:val="bottom"/>
          </w:tcPr>
          <w:p>
            <w:pPr>
              <w:spacing w:after="0"/>
              <w:rPr>
                <w:sz w:val="18"/>
                <w:szCs w:val="18"/>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180" w:type="dxa"/>
            <w:vAlign w:val="bottom"/>
          </w:tcPr>
          <w:p>
            <w:pPr>
              <w:spacing w:after="0"/>
              <w:rPr>
                <w:sz w:val="19"/>
                <w:szCs w:val="19"/>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18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July 30, 2022, as filed with the Securities and Exchange Commission on the date hereof (the “Report”), I, Ken C. Hicks, Chairman, President and Chief Executive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KEN C. HICKS</w:t>
            </w:r>
          </w:p>
        </w:tc>
        <w:tc>
          <w:tcPr>
            <w:tcW w:w="44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w w:val="98"/>
              </w:rPr>
              <w:t>Date: September 7, 2022</w:t>
            </w:r>
          </w:p>
        </w:tc>
      </w:tr>
      <w:tr>
        <w:trPr>
          <w:trHeight w:val="218"/>
        </w:trPr>
        <w:tc>
          <w:tcPr>
            <w:tcW w:w="6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 C. Hicks</w:t>
            </w:r>
          </w:p>
        </w:tc>
        <w:tc>
          <w:tcPr>
            <w:tcW w:w="310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3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July 30, 2022, as filed with the Securities and Exchange Commission on the date hereof (the “Report”), I, Michael P. Mullican,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c>
          <w:tcPr>
            <w:tcW w:w="43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w w:val="98"/>
              </w:rPr>
              <w:t>Date: September 7, 2022</w:t>
            </w:r>
          </w:p>
        </w:tc>
      </w:tr>
      <w:tr>
        <w:trPr>
          <w:trHeight w:val="218"/>
        </w:trPr>
        <w:tc>
          <w:tcPr>
            <w:tcW w:w="6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c>
          <w:tcPr>
            <w:tcW w:w="296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90"/>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1)"/>
      <w:numFmt w:val="lowerLetter"/>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1)"/>
      <w:numFmt w:val="lowerLetter"/>
      <w:start w:val="1"/>
    </w:lvl>
  </w:abstractNum>
  <w:abstractNum w:abstractNumId="27">
    <w:nsid w:val="275AC794"/>
    <w:multiLevelType w:val="hybridMultilevel"/>
    <w:lvl w:ilvl="0">
      <w:lvlJc w:val="left"/>
      <w:lvlText w:val="%1."/>
      <w:numFmt w:val="upperLetter"/>
      <w:start w:val="9"/>
    </w:lvl>
  </w:abstractNum>
  <w:abstractNum w:abstractNumId="28">
    <w:nsid w:val="39386575"/>
    <w:multiLevelType w:val="hybridMultilevel"/>
    <w:lvl w:ilvl="0">
      <w:lvlJc w:val="left"/>
      <w:lvlText w:val="%1."/>
      <w:numFmt w:val="upperLetter"/>
      <w:start w:val="1"/>
    </w:lvl>
  </w:abstractNum>
  <w:abstractNum w:abstractNumId="29">
    <w:nsid w:val="1CF10FD8"/>
    <w:multiLevelType w:val="hybridMultilevel"/>
    <w:lvl w:ilvl="0">
      <w:lvlJc w:val="left"/>
      <w:lvlText w:val="%1."/>
      <w:numFmt w:val="upperLetter"/>
      <w:start w:val="61"/>
    </w:lvl>
  </w:abstractNum>
  <w:abstractNum w:abstractNumId="30">
    <w:nsid w:val="180115BE"/>
    <w:multiLevelType w:val="hybridMultilevel"/>
    <w:lvl w:ilvl="0">
      <w:lvlJc w:val="left"/>
      <w:lvlText w:val="%1"/>
      <w:numFmt w:val="upperLetter"/>
      <w:start w:val="1"/>
    </w:lvl>
    <w:lvl w:ilvl="1">
      <w:lvlJc w:val="left"/>
      <w:lvlText w:val="%2."/>
      <w:numFmt w:val="decimal"/>
      <w:start w:val="1"/>
    </w:lvl>
  </w:abstractNum>
  <w:abstractNum w:abstractNumId="31">
    <w:nsid w:val="235BA861"/>
    <w:multiLevelType w:val="hybridMultilevel"/>
    <w:lvl w:ilvl="0">
      <w:lvlJc w:val="left"/>
      <w:lvlText w:val="%1."/>
      <w:numFmt w:val="upperLetter"/>
      <w:start w:val="2"/>
    </w:lvl>
    <w:lvl w:ilvl="1">
      <w:lvlJc w:val="left"/>
      <w:lvlText w:val="%2"/>
      <w:numFmt w:val="decimal"/>
      <w:start w:val="1"/>
    </w:lvl>
  </w:abstractNum>
  <w:abstractNum w:abstractNumId="32">
    <w:nsid w:val="47398C89"/>
    <w:multiLevelType w:val="hybridMultilevel"/>
    <w:lvl w:ilvl="0">
      <w:lvlJc w:val="left"/>
      <w:lvlText w:val="%1"/>
      <w:numFmt w:val="upperLetter"/>
      <w:start w:val="1"/>
    </w:lvl>
    <w:lvl w:ilvl="1">
      <w:lvlJc w:val="left"/>
      <w:lvlText w:val="%2."/>
      <w:numFmt w:val="decimal"/>
      <w:start w:val="6"/>
    </w:lvl>
  </w:abstractNum>
  <w:abstractNum w:abstractNumId="33">
    <w:nsid w:val="354FE9F9"/>
    <w:multiLevelType w:val="hybridMultilevel"/>
    <w:lvl w:ilvl="0">
      <w:lvlJc w:val="left"/>
      <w:lvlText w:val="%1."/>
      <w:numFmt w:val="upperLetter"/>
      <w:start w:val="3"/>
    </w:lvl>
    <w:lvl w:ilvl="1">
      <w:lvlJc w:val="left"/>
      <w:lvlText w:val="%2"/>
      <w:numFmt w:val="decimal"/>
      <w:start w:val="1"/>
    </w:lvl>
  </w:abstractNum>
  <w:abstractNum w:abstractNumId="34">
    <w:nsid w:val="15B5AF5C"/>
    <w:multiLevelType w:val="hybridMultilevel"/>
    <w:lvl w:ilvl="0">
      <w:lvlJc w:val="left"/>
      <w:lvlText w:val="%1."/>
      <w:numFmt w:val="decimal"/>
      <w:start w:val="9"/>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7"/>
    </w:lvl>
  </w:abstractNum>
  <w:abstractNum w:abstractNumId="37">
    <w:nsid w:val="10233C99"/>
    <w:multiLevelType w:val="hybridMultilevel"/>
    <w:lvl w:ilvl="0">
      <w:lvlJc w:val="left"/>
      <w:lvlText w:val="%1."/>
      <w:numFmt w:val="decimal"/>
      <w:start w:val="15"/>
    </w:lvl>
  </w:abstractNum>
  <w:abstractNum w:abstractNumId="38">
    <w:nsid w:val="3F6AB60F"/>
    <w:multiLevelType w:val="hybridMultilevel"/>
    <w:lvl w:ilvl="0">
      <w:lvlJc w:val="left"/>
      <w:lvlText w:val="%1."/>
      <w:numFmt w:val="decimal"/>
      <w:start w:val="2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lowerLetter"/>
      <w:start w:val="1"/>
    </w:lvl>
  </w:abstractNum>
  <w:abstractNum w:abstractNumId="41">
    <w:nsid w:val="77AE35EB"/>
    <w:multiLevelType w:val="hybridMultilevel"/>
    <w:lvl w:ilvl="0">
      <w:lvlJc w:val="left"/>
      <w:lvlText w:val="(%1)"/>
      <w:numFmt w:val="lowerLetter"/>
      <w:start w:val="2"/>
    </w:lvl>
    <w:lvl w:ilvl="1">
      <w:lvlJc w:val="left"/>
      <w:lvlText w:val="(%2)"/>
      <w:numFmt w:val="lowerRoman"/>
      <w:start w:val="1"/>
    </w:lvl>
  </w:abstractNum>
  <w:abstractNum w:abstractNumId="42">
    <w:nsid w:val="579BE4F1"/>
    <w:multiLevelType w:val="hybridMultilevel"/>
    <w:lvl w:ilvl="0">
      <w:lvlJc w:val="left"/>
      <w:lvlText w:val="%1"/>
      <w:numFmt w:val="lowerLetter"/>
      <w:start w:val="1"/>
    </w:lvl>
    <w:lvl w:ilvl="1">
      <w:lvlJc w:val="left"/>
      <w:lvlText w:val="(%2)"/>
      <w:numFmt w:val="lowerLetter"/>
      <w:start w:val="61"/>
    </w:lvl>
  </w:abstractNum>
  <w:abstractNum w:abstractNumId="43">
    <w:nsid w:val="310C50B3"/>
    <w:multiLevelType w:val="hybridMultilevel"/>
    <w:lvl w:ilvl="0">
      <w:lvlJc w:val="left"/>
      <w:lvlText w:val="(%1)"/>
      <w:numFmt w:val="lowerLetter"/>
      <w:start w:val="6"/>
    </w:lvl>
    <w:lvl w:ilvl="1">
      <w:lvlJc w:val="left"/>
      <w:lvlText w:val="%2"/>
      <w:numFmt w:val="lowerLetter"/>
      <w:start w:val="1"/>
    </w:lvl>
  </w:abstractNum>
  <w:abstractNum w:abstractNumId="44">
    <w:nsid w:val="5FF87E05"/>
    <w:multiLevelType w:val="hybridMultilevel"/>
    <w:lvl w:ilvl="0">
      <w:lvlJc w:val="left"/>
      <w:lvlText w:val="%1."/>
      <w:numFmt w:val="decimal"/>
      <w:start w:val="3"/>
    </w:lvl>
  </w:abstractNum>
  <w:abstractNum w:abstractNumId="45">
    <w:nsid w:val="2F305DEF"/>
    <w:multiLevelType w:val="hybridMultilevel"/>
    <w:lvl w:ilvl="0">
      <w:lvlJc w:val="left"/>
      <w:lvlText w:val="(%1)"/>
      <w:numFmt w:val="lowerLetter"/>
      <w:start w:val="7"/>
    </w:lvl>
  </w:abstractNum>
  <w:abstractNum w:abstractNumId="46">
    <w:nsid w:val="25A70BF7"/>
    <w:multiLevelType w:val="hybridMultilevel"/>
    <w:lvl w:ilvl="0">
      <w:lvlJc w:val="left"/>
      <w:lvlText w:val="(%1)"/>
      <w:numFmt w:val="lowerLetter"/>
      <w:start w:val="9"/>
    </w:lvl>
  </w:abstractNum>
  <w:abstractNum w:abstractNumId="47">
    <w:nsid w:val="1DBABF00"/>
    <w:multiLevelType w:val="hybridMultilevel"/>
    <w:lvl w:ilvl="0">
      <w:lvlJc w:val="left"/>
      <w:lvlText w:val="(%1)"/>
      <w:numFmt w:val="lowerLetter"/>
      <w:start w:val="15"/>
    </w:lvl>
  </w:abstractNum>
  <w:abstractNum w:abstractNumId="48">
    <w:nsid w:val="4AD084E9"/>
    <w:multiLevelType w:val="hybridMultilevel"/>
    <w:lvl w:ilvl="0">
      <w:lvlJc w:val="left"/>
      <w:lvlText w:val="%1."/>
      <w:numFmt w:val="decimal"/>
      <w:start w:val="5"/>
    </w:lvl>
  </w:abstractNum>
  <w:abstractNum w:abstractNumId="49">
    <w:nsid w:val="1F48EAA1"/>
    <w:multiLevelType w:val="hybridMultilevel"/>
    <w:lvl w:ilvl="0">
      <w:lvlJc w:val="left"/>
      <w:lvlText w:val="(%1)"/>
      <w:numFmt w:val="lowerLetter"/>
      <w:start w:val="16"/>
    </w:lvl>
  </w:abstractNum>
  <w:abstractNum w:abstractNumId="50">
    <w:nsid w:val="1381823A"/>
    <w:multiLevelType w:val="hybridMultilevel"/>
    <w:lvl w:ilvl="0">
      <w:lvlJc w:val="left"/>
      <w:lvlText w:val="(%1)"/>
      <w:numFmt w:val="lowerLetter"/>
      <w:start w:val="18"/>
    </w:lvl>
    <w:lvl w:ilvl="1">
      <w:lvlJc w:val="left"/>
      <w:lvlText w:val="(%2)"/>
      <w:numFmt w:val="lowerRoman"/>
      <w:start w:val="1"/>
    </w:lvl>
  </w:abstractNum>
  <w:abstractNum w:abstractNumId="51">
    <w:nsid w:val="5DB70AE5"/>
    <w:multiLevelType w:val="hybridMultilevel"/>
    <w:lvl w:ilvl="0">
      <w:lvlJc w:val="left"/>
      <w:lvlText w:val="(%1)"/>
      <w:numFmt w:val="lowerLetter"/>
      <w:start w:val="19"/>
    </w:lvl>
    <w:lvl w:ilvl="1">
      <w:lvlJc w:val="left"/>
      <w:lvlText w:val="(%2)"/>
      <w:numFmt w:val="lowerRoman"/>
      <w:start w:val="1"/>
    </w:lvl>
  </w:abstractNum>
  <w:abstractNum w:abstractNumId="52">
    <w:nsid w:val="100F8FCA"/>
    <w:multiLevelType w:val="hybridMultilevel"/>
    <w:lvl w:ilvl="0">
      <w:lvlJc w:val="left"/>
      <w:lvlText w:val="(%1)"/>
      <w:numFmt w:val="lowerRoman"/>
      <w:start w:val="3"/>
    </w:lvl>
  </w:abstractNum>
  <w:abstractNum w:abstractNumId="53">
    <w:nsid w:val="6590700B"/>
    <w:multiLevelType w:val="hybridMultilevel"/>
    <w:lvl w:ilvl="0">
      <w:lvlJc w:val="left"/>
      <w:lvlText w:val="(%1)"/>
      <w:numFmt w:val="lowerLetter"/>
      <w:start w:val="20"/>
    </w:lvl>
  </w:abstractNum>
  <w:abstractNum w:abstractNumId="54">
    <w:nsid w:val="15014ACB"/>
    <w:multiLevelType w:val="hybridMultilevel"/>
    <w:lvl w:ilvl="0">
      <w:lvlJc w:val="left"/>
      <w:lvlText w:val="%1."/>
      <w:numFmt w:val="decimal"/>
      <w:start w:val="7"/>
    </w:lvl>
  </w:abstractNum>
  <w:abstractNum w:abstractNumId="55">
    <w:nsid w:val="5F5E7FD0"/>
    <w:multiLevelType w:val="hybridMultilevel"/>
    <w:lvl w:ilvl="0">
      <w:lvlJc w:val="left"/>
      <w:lvlText w:val="(%1)"/>
      <w:numFmt w:val="lowerLetter"/>
      <w:start w:val="21"/>
    </w:lvl>
  </w:abstractNum>
  <w:abstractNum w:abstractNumId="56">
    <w:nsid w:val="98A3148"/>
    <w:multiLevelType w:val="hybridMultilevel"/>
    <w:lvl w:ilvl="0">
      <w:lvlJc w:val="left"/>
      <w:lvlText w:val="%1."/>
      <w:numFmt w:val="decimal"/>
      <w:start w:val="8"/>
    </w:lvl>
  </w:abstractNum>
  <w:abstractNum w:abstractNumId="57">
    <w:nsid w:val="799D0247"/>
    <w:multiLevelType w:val="hybridMultilevel"/>
    <w:lvl w:ilvl="0">
      <w:lvlJc w:val="left"/>
      <w:lvlText w:val="(%1)"/>
      <w:numFmt w:val="lowerLetter"/>
      <w:start w:val="23"/>
    </w:lvl>
    <w:lvl w:ilvl="1">
      <w:lvlJc w:val="left"/>
      <w:lvlText w:val="(%2)"/>
      <w:numFmt w:val="lowerRoman"/>
      <w:start w:val="1"/>
    </w:lvl>
  </w:abstractNum>
  <w:abstractNum w:abstractNumId="58">
    <w:nsid w:val="6B94764"/>
    <w:multiLevelType w:val="hybridMultilevel"/>
    <w:lvl w:ilvl="0">
      <w:lvlJc w:val="left"/>
      <w:lvlText w:val="(%1)"/>
      <w:numFmt w:val="lowerLetter"/>
      <w:start w:val="25"/>
    </w:lvl>
    <w:lvl w:ilvl="1">
      <w:lvlJc w:val="left"/>
      <w:lvlText w:val="(%2)"/>
      <w:numFmt w:val="lowerRoman"/>
      <w:start w:val="5"/>
    </w:lvl>
  </w:abstractNum>
  <w:abstractNum w:abstractNumId="59">
    <w:nsid w:val="42C296BD"/>
    <w:multiLevelType w:val="hybridMultilevel"/>
    <w:lvl w:ilvl="0">
      <w:lvlJc w:val="left"/>
      <w:lvlText w:val="%1"/>
      <w:numFmt w:val="lowerRoman"/>
      <w:start w:val="1"/>
    </w:lvl>
    <w:lvl w:ilvl="1">
      <w:lvlJc w:val="left"/>
      <w:lvlText w:val="(%2)"/>
      <w:numFmt w:val="lowerRoman"/>
      <w:start w:val="8"/>
    </w:lvl>
  </w:abstractNum>
  <w:abstractNum w:abstractNumId="60">
    <w:nsid w:val="168E121F"/>
    <w:multiLevelType w:val="hybridMultilevel"/>
    <w:lvl w:ilvl="0">
      <w:lvlJc w:val="left"/>
      <w:lvlText w:val="(%1)"/>
      <w:numFmt w:val="lowerRoman"/>
      <w:start w:val="10"/>
    </w:lvl>
    <w:lvl w:ilvl="1">
      <w:lvlJc w:val="left"/>
      <w:lvlText w:val="(%2)"/>
      <w:numFmt w:val="lowerRoman"/>
      <w:start w:val="11"/>
    </w:lvl>
  </w:abstractNum>
  <w:abstractNum w:abstractNumId="61">
    <w:nsid w:val="1EBA5D23"/>
    <w:multiLevelType w:val="hybridMultilevel"/>
    <w:lvl w:ilvl="0">
      <w:lvlJc w:val="left"/>
      <w:lvlText w:val="(%1)"/>
      <w:numFmt w:val="lowerLetter"/>
      <w:start w:val="27"/>
    </w:lvl>
  </w:abstractNum>
  <w:abstractNum w:abstractNumId="62">
    <w:nsid w:val="661E3F1E"/>
    <w:multiLevelType w:val="hybridMultilevel"/>
    <w:lvl w:ilvl="0">
      <w:lvlJc w:val="left"/>
      <w:lvlText w:val="(%1)"/>
      <w:numFmt w:val="upperLetter"/>
      <w:start w:val="2"/>
    </w:lvl>
  </w:abstractNum>
  <w:abstractNum w:abstractNumId="63">
    <w:nsid w:val="5DC79EA8"/>
    <w:multiLevelType w:val="hybridMultilevel"/>
    <w:lvl w:ilvl="0">
      <w:lvlJc w:val="left"/>
      <w:lvlText w:val="%1."/>
      <w:numFmt w:val="decimal"/>
      <w:start w:val="9"/>
    </w:lvl>
  </w:abstractNum>
  <w:abstractNum w:abstractNumId="64">
    <w:nsid w:val="540A471C"/>
    <w:multiLevelType w:val="hybridMultilevel"/>
    <w:lvl w:ilvl="0">
      <w:lvlJc w:val="left"/>
      <w:lvlText w:val="(%1)"/>
      <w:numFmt w:val="lowerRoman"/>
      <w:start w:val="1"/>
    </w:lvl>
  </w:abstractNum>
  <w:abstractNum w:abstractNumId="65">
    <w:nsid w:val="7BD3EE7B"/>
    <w:multiLevelType w:val="hybridMultilevel"/>
    <w:lvl w:ilvl="0">
      <w:lvlJc w:val="left"/>
      <w:lvlText w:val="(%1)"/>
      <w:numFmt w:val="lowerRoman"/>
      <w:start w:val="1"/>
    </w:lvl>
  </w:abstractNum>
  <w:abstractNum w:abstractNumId="66">
    <w:nsid w:val="51D9C564"/>
    <w:multiLevelType w:val="hybridMultilevel"/>
    <w:lvl w:ilvl="0">
      <w:lvlJc w:val="left"/>
      <w:lvlText w:val="%1."/>
      <w:numFmt w:val="decimal"/>
      <w:start w:val="10"/>
    </w:lvl>
  </w:abstractNum>
  <w:abstractNum w:abstractNumId="67">
    <w:nsid w:val="613EFDC5"/>
    <w:multiLevelType w:val="hybridMultilevel"/>
    <w:lvl w:ilvl="0">
      <w:lvlJc w:val="left"/>
      <w:lvlText w:val="(%1)"/>
      <w:numFmt w:val="lowerRoman"/>
      <w:start w:val="2"/>
    </w:lvl>
  </w:abstractNum>
  <w:abstractNum w:abstractNumId="68">
    <w:nsid w:val="BF72B14"/>
    <w:multiLevelType w:val="hybridMultilevel"/>
    <w:lvl w:ilvl="0">
      <w:lvlJc w:val="left"/>
      <w:lvlText w:val="%1."/>
      <w:numFmt w:val="decimal"/>
      <w:start w:val="11"/>
    </w:lvl>
  </w:abstractNum>
  <w:abstractNum w:abstractNumId="69">
    <w:nsid w:val="11447B73"/>
    <w:multiLevelType w:val="hybridMultilevel"/>
    <w:lvl w:ilvl="0">
      <w:lvlJc w:val="left"/>
      <w:lvlText w:val="%1."/>
      <w:numFmt w:val="decimal"/>
      <w:start w:val="12"/>
    </w:lvl>
  </w:abstractNum>
  <w:abstractNum w:abstractNumId="70">
    <w:nsid w:val="42963E5A"/>
    <w:multiLevelType w:val="hybridMultilevel"/>
    <w:lvl w:ilvl="0">
      <w:lvlJc w:val="left"/>
      <w:lvlText w:val="%1."/>
      <w:numFmt w:val="decimal"/>
      <w:start w:val="13"/>
    </w:lvl>
  </w:abstractNum>
  <w:abstractNum w:abstractNumId="71">
    <w:nsid w:val="A0382C5"/>
    <w:multiLevelType w:val="hybridMultilevel"/>
    <w:lvl w:ilvl="0">
      <w:lvlJc w:val="left"/>
      <w:lvlText w:val="%1."/>
      <w:numFmt w:val="decimal"/>
      <w:start w:val="14"/>
    </w:lvl>
  </w:abstractNum>
  <w:abstractNum w:abstractNumId="72">
    <w:nsid w:val="8F2B15E"/>
    <w:multiLevelType w:val="hybridMultilevel"/>
    <w:lvl w:ilvl="0">
      <w:lvlJc w:val="left"/>
      <w:lvlText w:val="%1."/>
      <w:numFmt w:val="decimal"/>
      <w:start w:val="15"/>
    </w:lvl>
  </w:abstractNum>
  <w:abstractNum w:abstractNumId="73">
    <w:nsid w:val="1A32234B"/>
    <w:multiLevelType w:val="hybridMultilevel"/>
    <w:lvl w:ilvl="0">
      <w:lvlJc w:val="left"/>
      <w:lvlText w:val="%1."/>
      <w:numFmt w:val="decimal"/>
      <w:start w:val="19"/>
    </w:lvl>
  </w:abstractNum>
  <w:abstractNum w:abstractNumId="74">
    <w:nsid w:val="3B0FD379"/>
    <w:multiLevelType w:val="hybridMultilevel"/>
    <w:lvl w:ilvl="0">
      <w:lvlJc w:val="left"/>
      <w:lvlText w:val="%1."/>
      <w:numFmt w:val="decimal"/>
      <w:start w:val="1"/>
    </w:lvl>
    <w:lvl w:ilvl="1">
      <w:lvlJc w:val="left"/>
      <w:lvlText w:val="(%2)"/>
      <w:numFmt w:val="lowerLetter"/>
      <w:start w:val="1"/>
    </w:lvl>
  </w:abstractNum>
  <w:abstractNum w:abstractNumId="75">
    <w:nsid w:val="68EB2F63"/>
    <w:multiLevelType w:val="hybridMultilevel"/>
    <w:lvl w:ilvl="0">
      <w:lvlJc w:val="left"/>
      <w:lvlText w:val="(%1)"/>
      <w:numFmt w:val="lowerLetter"/>
      <w:start w:val="3"/>
    </w:lvl>
  </w:abstractNum>
  <w:abstractNum w:abstractNumId="76">
    <w:nsid w:val="4962813B"/>
    <w:multiLevelType w:val="hybridMultilevel"/>
    <w:lvl w:ilvl="0">
      <w:lvlJc w:val="left"/>
      <w:lvlText w:val="%1."/>
      <w:numFmt w:val="decimal"/>
      <w:start w:val="2"/>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decimal"/>
      <w:start w:val="3"/>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1" Type="http://schemas.openxmlformats.org/officeDocument/2006/relationships/hyperlink" Target="http://www.sec.gov/Archives/edgar/data/0001817358/000119312520264744/d910645dex31.htm" TargetMode="External"/><Relationship Id="rId52" Type="http://schemas.openxmlformats.org/officeDocument/2006/relationships/hyperlink" Target="http://www.sec.gov/Archives/edgar/data/0001817358/000119312520264744/d91064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2022-09-07T15:13:42Z</dcterms:created>
  <dcterms:modified xsi:type="dcterms:W3CDTF">2022-09-07T15:13:42Z</dcterms:modified>
</cp:coreProperties>
</file>