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137160</wp:posOffset>
            </wp:positionV>
            <wp:extent cx="16973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2"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140335</wp:posOffset>
            </wp:positionV>
            <wp:extent cx="16973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368"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CURRENT REPORT</w:t>
      </w:r>
    </w:p>
    <w:p>
      <w:pPr>
        <w:spacing w:after="0" w:line="5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4"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Date of report (Date of earliest event reported): March 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133985</wp:posOffset>
            </wp:positionV>
            <wp:extent cx="1697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97355" cy="8255"/>
                    </a:xfrm>
                    <a:prstGeom prst="rect">
                      <a:avLst/>
                    </a:prstGeom>
                    <a:noFill/>
                  </pic:spPr>
                </pic:pic>
              </a:graphicData>
            </a:graphic>
          </wp:anchor>
        </w:drawing>
        <w:drawing>
          <wp:anchor simplePos="0" relativeHeight="251657728" behindDoc="1" locked="0" layoutInCell="0" allowOverlap="1">
            <wp:simplePos x="0" y="0"/>
            <wp:positionH relativeFrom="column">
              <wp:posOffset>2640965</wp:posOffset>
            </wp:positionH>
            <wp:positionV relativeFrom="paragraph">
              <wp:posOffset>254000</wp:posOffset>
            </wp:positionV>
            <wp:extent cx="1825625"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5625"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Academy Sports and Outdoors, Inc.</w:t>
      </w:r>
    </w:p>
    <w:p>
      <w:pPr>
        <w:spacing w:after="0" w:line="95"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129540</wp:posOffset>
            </wp:positionV>
            <wp:extent cx="169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sectPr>
      </w:pPr>
    </w:p>
    <w:p>
      <w:pPr>
        <w:spacing w:after="0" w:line="397"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359"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001-39589</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85-1800912</w:t>
      </w:r>
    </w:p>
    <w:p>
      <w:pPr>
        <w:spacing w:after="0" w:line="158" w:lineRule="exact"/>
        <w:rPr>
          <w:sz w:val="24"/>
          <w:szCs w:val="24"/>
          <w:color w:val="auto"/>
        </w:rPr>
      </w:pPr>
    </w:p>
    <w:p>
      <w:pPr>
        <w:sectPr>
          <w:pgSz w:w="11900" w:h="16838" w:orient="portrait"/>
          <w:cols w:equalWidth="0" w:num="3">
            <w:col w:w="4500" w:space="720"/>
            <w:col w:w="2820" w:space="720"/>
            <w:col w:w="2400"/>
          </w:cols>
          <w:pgMar w:left="340" w:top="747" w:right="399" w:bottom="1440" w:gutter="0" w:footer="0" w:header="0"/>
          <w:type w:val="continuous"/>
        </w:sectPr>
      </w:pPr>
    </w:p>
    <w:p>
      <w:pPr>
        <w:ind w:left="1180"/>
        <w:spacing w:after="0"/>
        <w:rPr>
          <w:sz w:val="20"/>
          <w:szCs w:val="20"/>
          <w:color w:val="auto"/>
        </w:rPr>
      </w:pPr>
      <w:r>
        <w:rPr>
          <w:rFonts w:ascii="Arial" w:cs="Arial" w:eastAsia="Arial" w:hAnsi="Arial"/>
          <w:sz w:val="15"/>
          <w:szCs w:val="15"/>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w:t>
      </w:r>
    </w:p>
    <w:p>
      <w:pPr>
        <w:spacing w:after="0" w:line="138" w:lineRule="exact"/>
        <w:rPr>
          <w:sz w:val="24"/>
          <w:szCs w:val="24"/>
          <w:color w:val="auto"/>
        </w:rPr>
      </w:pPr>
    </w:p>
    <w:p>
      <w:pPr>
        <w:sectPr>
          <w:pgSz w:w="11900" w:h="16838" w:orient="portrait"/>
          <w:cols w:equalWidth="0" w:num="3">
            <w:col w:w="4420" w:space="720"/>
            <w:col w:w="2640" w:space="720"/>
            <w:col w:w="2660"/>
          </w:cols>
          <w:pgMar w:left="340" w:top="747" w:right="399" w:bottom="1440" w:gutter="0" w:footer="0" w:header="0"/>
          <w:type w:val="continuous"/>
        </w:sectPr>
      </w:pPr>
    </w:p>
    <w:p>
      <w:pPr>
        <w:ind w:left="1640"/>
        <w:spacing w:after="0"/>
        <w:rPr>
          <w:sz w:val="20"/>
          <w:szCs w:val="20"/>
          <w:color w:val="auto"/>
        </w:rPr>
      </w:pPr>
      <w:r>
        <w:rPr>
          <w:rFonts w:ascii="Arial" w:cs="Arial" w:eastAsia="Arial" w:hAnsi="Arial"/>
          <w:sz w:val="15"/>
          <w:szCs w:val="15"/>
          <w:color w:val="auto"/>
        </w:rPr>
        <w:t>incorporation )</w:t>
      </w:r>
    </w:p>
    <w:p>
      <w:pPr>
        <w:spacing w:after="0" w:line="20" w:lineRule="exact"/>
        <w:rPr>
          <w:sz w:val="24"/>
          <w:szCs w:val="24"/>
          <w:color w:val="auto"/>
        </w:rPr>
      </w:pPr>
      <w:r>
        <w:rPr>
          <w:sz w:val="24"/>
          <w:szCs w:val="24"/>
          <w:color w:val="auto"/>
        </w:rPr>
        <w:br w:type="column"/>
      </w:r>
    </w:p>
    <w:p>
      <w:pPr>
        <w:jc w:val="center"/>
        <w:ind w:right="1880"/>
        <w:spacing w:after="0"/>
        <w:rPr>
          <w:sz w:val="20"/>
          <w:szCs w:val="20"/>
          <w:color w:val="auto"/>
        </w:rPr>
      </w:pPr>
      <w:r>
        <w:rPr>
          <w:rFonts w:ascii="Arial" w:cs="Arial" w:eastAsia="Arial" w:hAnsi="Arial"/>
          <w:sz w:val="15"/>
          <w:szCs w:val="15"/>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Identification No.)</w:t>
      </w:r>
    </w:p>
    <w:p>
      <w:pPr>
        <w:spacing w:after="0" w:line="161" w:lineRule="exact"/>
        <w:rPr>
          <w:sz w:val="24"/>
          <w:szCs w:val="24"/>
          <w:color w:val="auto"/>
        </w:rPr>
      </w:pPr>
    </w:p>
    <w:p>
      <w:pPr>
        <w:sectPr>
          <w:pgSz w:w="11900" w:h="16838" w:orient="portrait"/>
          <w:cols w:equalWidth="0" w:num="3">
            <w:col w:w="4560" w:space="720"/>
            <w:col w:w="2460" w:space="720"/>
            <w:col w:w="2700"/>
          </w:cols>
          <w:pgMar w:left="340" w:top="747" w:right="399" w:bottom="1440" w:gutter="0" w:footer="0" w:header="0"/>
          <w:type w:val="continuous"/>
        </w:sectPr>
      </w:pPr>
    </w:p>
    <w:p>
      <w:pPr>
        <w:ind w:left="4740"/>
        <w:spacing w:after="0"/>
        <w:rPr>
          <w:sz w:val="20"/>
          <w:szCs w:val="20"/>
          <w:color w:val="auto"/>
        </w:rPr>
      </w:pPr>
      <w:r>
        <w:rPr>
          <w:rFonts w:ascii="Arial" w:cs="Arial" w:eastAsia="Arial" w:hAnsi="Arial"/>
          <w:sz w:val="16"/>
          <w:szCs w:val="16"/>
          <w:b w:val="1"/>
          <w:bCs w:val="1"/>
          <w:color w:val="auto"/>
        </w:rPr>
        <w:t>1800 North Mason Road</w:t>
      </w:r>
    </w:p>
    <w:p>
      <w:pPr>
        <w:spacing w:after="0" w:line="59" w:lineRule="exact"/>
        <w:rPr>
          <w:sz w:val="24"/>
          <w:szCs w:val="24"/>
          <w:color w:val="auto"/>
        </w:rPr>
      </w:pPr>
    </w:p>
    <w:p>
      <w:pPr>
        <w:ind w:left="4960"/>
        <w:spacing w:after="0"/>
        <w:rPr>
          <w:sz w:val="20"/>
          <w:szCs w:val="20"/>
          <w:color w:val="auto"/>
        </w:rPr>
      </w:pPr>
      <w:r>
        <w:rPr>
          <w:rFonts w:ascii="Arial" w:cs="Arial" w:eastAsia="Arial" w:hAnsi="Arial"/>
          <w:sz w:val="16"/>
          <w:szCs w:val="16"/>
          <w:b w:val="1"/>
          <w:bCs w:val="1"/>
          <w:color w:val="auto"/>
        </w:rPr>
        <w:t>Katy, Texas 77449</w:t>
      </w:r>
    </w:p>
    <w:p>
      <w:pPr>
        <w:spacing w:after="0" w:line="63" w:lineRule="exact"/>
        <w:rPr>
          <w:sz w:val="24"/>
          <w:szCs w:val="24"/>
          <w:color w:val="auto"/>
        </w:rPr>
      </w:pPr>
    </w:p>
    <w:p>
      <w:pPr>
        <w:ind w:left="3760"/>
        <w:spacing w:after="0"/>
        <w:rPr>
          <w:sz w:val="20"/>
          <w:szCs w:val="20"/>
          <w:color w:val="auto"/>
        </w:rPr>
      </w:pPr>
      <w:r>
        <w:rPr>
          <w:rFonts w:ascii="Arial" w:cs="Arial" w:eastAsia="Arial" w:hAnsi="Arial"/>
          <w:sz w:val="14"/>
          <w:szCs w:val="14"/>
          <w:i w:val="1"/>
          <w:iCs w:val="1"/>
          <w:color w:val="auto"/>
        </w:rPr>
        <w:t>(Address of principal executive offices including Zip Code)</w:t>
      </w:r>
    </w:p>
    <w:p>
      <w:pPr>
        <w:spacing w:after="0" w:line="17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(281) 646-5200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27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2692400</wp:posOffset>
            </wp:positionH>
            <wp:positionV relativeFrom="paragraph">
              <wp:posOffset>144145</wp:posOffset>
            </wp:positionV>
            <wp:extent cx="16973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15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1" w:lineRule="exact"/>
        <w:rPr>
          <w:sz w:val="24"/>
          <w:szCs w:val="24"/>
          <w:color w:val="auto"/>
        </w:rPr>
      </w:pPr>
    </w:p>
    <w:tbl>
      <w:tblPr>
        <w:tblLayout w:type="fixed"/>
        <w:tblInd w:w="66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3440" w:type="dxa"/>
            <w:vAlign w:val="bottom"/>
            <w:gridSpan w:val="2"/>
          </w:tcPr>
          <w:p>
            <w:pPr>
              <w:jc w:val="center"/>
              <w:ind w:right="2220"/>
              <w:spacing w:after="0"/>
              <w:rPr>
                <w:sz w:val="20"/>
                <w:szCs w:val="20"/>
                <w:color w:val="auto"/>
              </w:rPr>
            </w:pPr>
            <w:r>
              <w:rPr>
                <w:rFonts w:ascii="Arial" w:cs="Arial" w:eastAsia="Arial" w:hAnsi="Arial"/>
                <w:sz w:val="16"/>
                <w:szCs w:val="16"/>
                <w:b w:val="1"/>
                <w:bCs w:val="1"/>
                <w:color w:val="auto"/>
                <w:w w:val="88"/>
              </w:rPr>
              <w:t>Title of each class</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1"/>
              </w:rPr>
              <w:t>Trading Symbol(s)</w:t>
            </w:r>
          </w:p>
        </w:tc>
        <w:tc>
          <w:tcPr>
            <w:tcW w:w="4340" w:type="dxa"/>
            <w:vAlign w:val="bottom"/>
            <w:gridSpan w:val="2"/>
          </w:tcPr>
          <w:p>
            <w:pPr>
              <w:jc w:val="center"/>
              <w:ind w:left="1259"/>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0" w:type="dxa"/>
            <w:vAlign w:val="bottom"/>
            <w:shd w:val="clear" w:color="auto" w:fill="000000"/>
          </w:tcPr>
          <w:p>
            <w:pPr>
              <w:spacing w:after="0" w:line="20" w:lineRule="exact"/>
              <w:rPr>
                <w:sz w:val="1"/>
                <w:szCs w:val="1"/>
                <w:color w:val="auto"/>
              </w:rPr>
            </w:pPr>
          </w:p>
        </w:tc>
      </w:tr>
      <w:tr>
        <w:trPr>
          <w:trHeight w:val="257"/>
        </w:trPr>
        <w:tc>
          <w:tcPr>
            <w:tcW w:w="4280" w:type="dxa"/>
            <w:vAlign w:val="bottom"/>
            <w:gridSpan w:val="3"/>
          </w:tcPr>
          <w:p>
            <w:pPr>
              <w:jc w:val="center"/>
              <w:ind w:right="1380"/>
              <w:spacing w:after="0"/>
              <w:rPr>
                <w:sz w:val="20"/>
                <w:szCs w:val="20"/>
                <w:color w:val="auto"/>
              </w:rPr>
            </w:pPr>
            <w:r>
              <w:rPr>
                <w:rFonts w:ascii="Arial" w:cs="Arial" w:eastAsia="Arial" w:hAnsi="Arial"/>
                <w:sz w:val="16"/>
                <w:szCs w:val="16"/>
                <w:b w:val="1"/>
                <w:bCs w:val="1"/>
                <w:color w:val="auto"/>
                <w:w w:val="91"/>
              </w:rPr>
              <w:t>Common Stock, $0.01 par value per share</w:t>
            </w:r>
          </w:p>
        </w:tc>
        <w:tc>
          <w:tcPr>
            <w:tcW w:w="1280" w:type="dxa"/>
            <w:vAlign w:val="bottom"/>
          </w:tcPr>
          <w:p>
            <w:pPr>
              <w:jc w:val="center"/>
              <w:spacing w:after="0"/>
              <w:rPr>
                <w:sz w:val="20"/>
                <w:szCs w:val="20"/>
                <w:color w:val="auto"/>
              </w:rPr>
            </w:pPr>
            <w:r>
              <w:rPr>
                <w:rFonts w:ascii="Arial" w:cs="Arial" w:eastAsia="Arial" w:hAnsi="Arial"/>
                <w:sz w:val="16"/>
                <w:szCs w:val="16"/>
                <w:b w:val="1"/>
                <w:bCs w:val="1"/>
                <w:color w:val="auto"/>
                <w:w w:val="92"/>
              </w:rPr>
              <w:t>ASO</w:t>
            </w:r>
          </w:p>
        </w:tc>
        <w:tc>
          <w:tcPr>
            <w:tcW w:w="1340" w:type="dxa"/>
            <w:vAlign w:val="bottom"/>
          </w:tcPr>
          <w:p>
            <w:pPr>
              <w:spacing w:after="0"/>
              <w:rPr>
                <w:sz w:val="22"/>
                <w:szCs w:val="22"/>
                <w:color w:val="auto"/>
              </w:rPr>
            </w:pPr>
          </w:p>
        </w:tc>
        <w:tc>
          <w:tcPr>
            <w:tcW w:w="3000" w:type="dxa"/>
            <w:vAlign w:val="bottom"/>
          </w:tcPr>
          <w:p>
            <w:pPr>
              <w:jc w:val="center"/>
              <w:spacing w:after="0"/>
              <w:rPr>
                <w:sz w:val="20"/>
                <w:szCs w:val="20"/>
                <w:color w:val="auto"/>
              </w:rPr>
            </w:pPr>
            <w:r>
              <w:rPr>
                <w:rFonts w:ascii="Arial" w:cs="Arial" w:eastAsia="Arial" w:hAnsi="Arial"/>
                <w:sz w:val="16"/>
                <w:szCs w:val="16"/>
                <w:b w:val="1"/>
                <w:bCs w:val="1"/>
                <w:color w:val="auto"/>
                <w:w w:val="95"/>
              </w:rPr>
              <w:t>The Nasdaq Stock Market LLC</w:t>
            </w:r>
          </w:p>
        </w:tc>
      </w:tr>
    </w:tbl>
    <w:p>
      <w:pPr>
        <w:spacing w:after="0" w:line="199" w:lineRule="exact"/>
        <w:rPr>
          <w:sz w:val="24"/>
          <w:szCs w:val="24"/>
          <w:color w:val="auto"/>
        </w:rPr>
      </w:pPr>
    </w:p>
    <w:p>
      <w:pPr>
        <w:spacing w:after="0" w:line="262"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184" w:lineRule="exact"/>
        <w:rPr>
          <w:sz w:val="24"/>
          <w:szCs w:val="24"/>
          <w:color w:val="auto"/>
        </w:rPr>
      </w:pPr>
    </w:p>
    <w:p>
      <w:pPr>
        <w:ind w:right="50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391795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86995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113030</wp:posOffset>
            </wp:positionV>
            <wp:extent cx="71234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6"/>
          <w:szCs w:val="16"/>
          <w:b w:val="1"/>
          <w:bCs w:val="1"/>
          <w:color w:val="auto"/>
        </w:rPr>
        <w:t>Other Events.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Inaugural Quarterly Cash Dividend</w:t>
      </w:r>
    </w:p>
    <w:p>
      <w:pPr>
        <w:spacing w:after="0" w:line="225" w:lineRule="exact"/>
        <w:rPr>
          <w:sz w:val="20"/>
          <w:szCs w:val="20"/>
          <w:color w:val="auto"/>
        </w:rPr>
      </w:pPr>
    </w:p>
    <w:p>
      <w:pPr>
        <w:ind w:firstLine="648"/>
        <w:spacing w:after="0" w:line="225" w:lineRule="auto"/>
        <w:rPr>
          <w:sz w:val="20"/>
          <w:szCs w:val="20"/>
          <w:color w:val="auto"/>
        </w:rPr>
      </w:pPr>
      <w:r>
        <w:rPr>
          <w:rFonts w:ascii="Arial" w:cs="Arial" w:eastAsia="Arial" w:hAnsi="Arial"/>
          <w:sz w:val="18"/>
          <w:szCs w:val="18"/>
          <w:color w:val="auto"/>
        </w:rPr>
        <w:t>On March 3, 2022, Academy Sports and Outdoors, Inc., a Delaware corporation (the “Company”), issued a press release announcing that the Company’s Board of Directors (the “Board”) approved the initiation of a quarterly cash dividend and declared a cash dividend with respect to the quarter ended January 29, 2022 of $0.075 per share of common stock, $0.01 par value per share (the “Common Stock”), of the Company (the “Dividend”). The Dividend is payable on April 14, 2022, to stockholders of record as of the close of business on March 17, 2022. The Company intends to announce quarterly cash dividends, the declaration, timing, amount, and payment of which will be subject to the discretion and approval of the Board, taking into account such considerations as the Board may deem relevant at the time, including, among others, the Company’s results, financial condition and capital allocation plans.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1039495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1431" w:right="55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20" w:type="dxa"/>
            <w:vAlign w:val="bottom"/>
            <w:gridSpan w:val="2"/>
          </w:tcPr>
          <w:p>
            <w:pPr>
              <w:jc w:val="right"/>
              <w:ind w:right="860"/>
              <w:spacing w:after="0"/>
              <w:rPr>
                <w:sz w:val="20"/>
                <w:szCs w:val="20"/>
                <w:color w:val="auto"/>
              </w:rPr>
            </w:pPr>
            <w:r>
              <w:rPr>
                <w:rFonts w:ascii="Arial" w:cs="Arial" w:eastAsia="Arial" w:hAnsi="Arial"/>
                <w:sz w:val="18"/>
                <w:szCs w:val="18"/>
                <w:b w:val="1"/>
                <w:bCs w:val="1"/>
                <w:color w:val="auto"/>
                <w:w w:val="91"/>
              </w:rPr>
              <w:t>(d) Exhibits.</w:t>
            </w:r>
          </w:p>
        </w:tc>
        <w:tc>
          <w:tcPr>
            <w:tcW w:w="3320" w:type="dxa"/>
            <w:vAlign w:val="bottom"/>
          </w:tcPr>
          <w:p>
            <w:pPr>
              <w:spacing w:after="0"/>
              <w:rPr>
                <w:sz w:val="20"/>
                <w:szCs w:val="20"/>
                <w:color w:val="auto"/>
              </w:rPr>
            </w:pPr>
          </w:p>
        </w:tc>
      </w:tr>
      <w:tr>
        <w:trPr>
          <w:trHeight w:val="540"/>
        </w:trPr>
        <w:tc>
          <w:tcPr>
            <w:tcW w:w="18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Exhibit No.</w:t>
            </w:r>
          </w:p>
        </w:tc>
        <w:tc>
          <w:tcPr>
            <w:tcW w:w="3320" w:type="dxa"/>
            <w:vAlign w:val="bottom"/>
          </w:tcPr>
          <w:p>
            <w:pPr>
              <w:ind w:left="760"/>
              <w:spacing w:after="0"/>
              <w:rPr>
                <w:sz w:val="20"/>
                <w:szCs w:val="20"/>
                <w:color w:val="auto"/>
              </w:rPr>
            </w:pPr>
            <w:r>
              <w:rPr>
                <w:rFonts w:ascii="Arial" w:cs="Arial" w:eastAsia="Arial" w:hAnsi="Arial"/>
                <w:sz w:val="18"/>
                <w:szCs w:val="18"/>
                <w:b w:val="1"/>
                <w:bCs w:val="1"/>
                <w:color w:val="auto"/>
              </w:rPr>
              <w:t>Description of Exhibit</w:t>
            </w:r>
          </w:p>
        </w:tc>
      </w:tr>
      <w:tr>
        <w:trPr>
          <w:trHeight w:val="243"/>
        </w:trPr>
        <w:tc>
          <w:tcPr>
            <w:tcW w:w="1820" w:type="dxa"/>
            <w:vAlign w:val="bottom"/>
            <w:gridSpan w:val="2"/>
          </w:tcPr>
          <w:p>
            <w:pPr>
              <w:jc w:val="right"/>
              <w:spacing w:after="0"/>
              <w:rPr>
                <w:rFonts w:ascii="Arial" w:cs="Arial" w:eastAsia="Arial" w:hAnsi="Arial"/>
                <w:sz w:val="20"/>
                <w:szCs w:val="20"/>
                <w:color w:val="0000FF"/>
              </w:rPr>
            </w:pPr>
            <w:hyperlink w:anchor="page5">
              <w:r>
                <w:rPr>
                  <w:rFonts w:ascii="Arial" w:cs="Arial" w:eastAsia="Arial" w:hAnsi="Arial"/>
                  <w:sz w:val="20"/>
                  <w:szCs w:val="20"/>
                  <w:color w:val="0000FF"/>
                </w:rPr>
                <w:t>99.</w:t>
              </w:r>
              <w:r>
                <w:rPr>
                  <w:rFonts w:ascii="Arial" w:cs="Arial" w:eastAsia="Arial" w:hAnsi="Arial"/>
                  <w:sz w:val="20"/>
                  <w:szCs w:val="20"/>
                  <w:u w:val="single" w:color="auto"/>
                  <w:color w:val="0000FF"/>
                </w:rPr>
                <w:t>1</w:t>
              </w:r>
            </w:hyperlink>
          </w:p>
        </w:tc>
        <w:tc>
          <w:tcPr>
            <w:tcW w:w="3320" w:type="dxa"/>
            <w:vAlign w:val="bottom"/>
          </w:tcPr>
          <w:p>
            <w:pPr>
              <w:ind w:left="760"/>
              <w:spacing w:after="0"/>
              <w:rPr>
                <w:sz w:val="20"/>
                <w:szCs w:val="20"/>
                <w:color w:val="auto"/>
              </w:rPr>
            </w:pPr>
            <w:r>
              <w:rPr>
                <w:rFonts w:ascii="Arial" w:cs="Arial" w:eastAsia="Arial" w:hAnsi="Arial"/>
                <w:sz w:val="18"/>
                <w:szCs w:val="18"/>
                <w:color w:val="auto"/>
                <w:w w:val="86"/>
              </w:rPr>
              <w:t>Press Release dated March 3, 2022.</w:t>
            </w:r>
          </w:p>
        </w:tc>
      </w:tr>
      <w:tr>
        <w:trPr>
          <w:trHeight w:val="20"/>
        </w:trPr>
        <w:tc>
          <w:tcPr>
            <w:tcW w:w="148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r>
    </w:tbl>
    <w:p>
      <w:pPr>
        <w:spacing w:after="0" w:line="80" w:lineRule="exact"/>
        <w:rPr>
          <w:sz w:val="20"/>
          <w:szCs w:val="20"/>
          <w:color w:val="auto"/>
        </w:rPr>
      </w:pPr>
    </w:p>
    <w:p>
      <w:pPr>
        <w:ind w:left="2580" w:hanging="1060"/>
        <w:spacing w:after="0"/>
        <w:tabs>
          <w:tab w:leader="none" w:pos="2580" w:val="left"/>
        </w:tabs>
        <w:numPr>
          <w:ilvl w:val="0"/>
          <w:numId w:val="2"/>
        </w:numPr>
        <w:rPr>
          <w:rFonts w:ascii="Arial" w:cs="Arial" w:eastAsia="Arial" w:hAnsi="Arial"/>
          <w:sz w:val="18"/>
          <w:szCs w:val="18"/>
          <w:color w:val="auto"/>
        </w:rPr>
      </w:pPr>
      <w:r>
        <w:rPr>
          <w:rFonts w:ascii="Arial" w:cs="Arial" w:eastAsia="Arial" w:hAnsi="Arial"/>
          <w:sz w:val="16"/>
          <w:szCs w:val="16"/>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970915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7" w:right="1440" w:bottom="1440" w:gutter="0" w:footer="0" w:header="0"/>
        </w:sectPr>
      </w:pPr>
    </w:p>
    <w:bookmarkStart w:id="3" w:name="page4"/>
    <w:bookmarkEnd w:id="3"/>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94"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31750</wp:posOffset>
            </wp:positionV>
            <wp:extent cx="27260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7"/>
          <w:szCs w:val="17"/>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694690</wp:posOffset>
            </wp:positionV>
            <wp:extent cx="2322830" cy="574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22830" cy="574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660"/>
        <w:spacing w:after="0"/>
        <w:rPr>
          <w:sz w:val="20"/>
          <w:szCs w:val="20"/>
          <w:color w:val="auto"/>
        </w:rPr>
      </w:pPr>
      <w:r>
        <w:rPr>
          <w:rFonts w:ascii="Arial" w:cs="Arial" w:eastAsia="Arial" w:hAnsi="Arial"/>
          <w:sz w:val="41"/>
          <w:szCs w:val="41"/>
          <w:b w:val="1"/>
          <w:bCs w:val="1"/>
          <w:color w:val="auto"/>
        </w:rPr>
        <w:t>PRESS RELEASE</w:t>
      </w:r>
    </w:p>
    <w:p>
      <w:pPr>
        <w:spacing w:after="0" w:line="8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FOR IMMEDIATE RELEASE</w:t>
      </w:r>
    </w:p>
    <w:p>
      <w:pPr>
        <w:spacing w:after="0" w:line="239" w:lineRule="exact"/>
        <w:rPr>
          <w:sz w:val="20"/>
          <w:szCs w:val="20"/>
          <w:color w:val="auto"/>
        </w:rPr>
      </w:pPr>
    </w:p>
    <w:p>
      <w:pPr>
        <w:ind w:left="1100"/>
        <w:spacing w:after="0"/>
        <w:rPr>
          <w:sz w:val="20"/>
          <w:szCs w:val="20"/>
          <w:color w:val="auto"/>
        </w:rPr>
      </w:pPr>
      <w:r>
        <w:rPr>
          <w:rFonts w:ascii="Arial" w:cs="Arial" w:eastAsia="Arial" w:hAnsi="Arial"/>
          <w:sz w:val="25"/>
          <w:szCs w:val="25"/>
          <w:b w:val="1"/>
          <w:bCs w:val="1"/>
          <w:color w:val="auto"/>
        </w:rPr>
        <w:t>Academy Sports + Outdoors Announces Inaugural Quarterly Cash Dividend</w:t>
      </w:r>
    </w:p>
    <w:p>
      <w:pPr>
        <w:spacing w:after="0" w:line="235" w:lineRule="exact"/>
        <w:rPr>
          <w:sz w:val="20"/>
          <w:szCs w:val="20"/>
          <w:color w:val="auto"/>
        </w:rPr>
      </w:pPr>
    </w:p>
    <w:p>
      <w:pPr>
        <w:ind w:right="60"/>
        <w:spacing w:after="0" w:line="272" w:lineRule="auto"/>
        <w:rPr>
          <w:sz w:val="20"/>
          <w:szCs w:val="20"/>
          <w:color w:val="auto"/>
        </w:rPr>
      </w:pPr>
      <w:r>
        <w:rPr>
          <w:rFonts w:ascii="Arial" w:cs="Arial" w:eastAsia="Arial" w:hAnsi="Arial"/>
          <w:sz w:val="19"/>
          <w:szCs w:val="19"/>
          <w:color w:val="auto"/>
        </w:rPr>
        <w:t>KATY, Texas, March 3, 2022 /PRNewswire -- Academy Sports and Outdoors, Inc. (the “Company” or “Academy”) (Nasdaq: ASO) announced today that its Board of Directors (the “Board”) approved the initiation of a quarterly cash dividend. The Board declared an inaugural quarterly cash dividend with respect to the quarter ended January 29, 2022, of $0.075 per share of common stock. The dividend is payable on April 14, 2022, to stockholders of record as of the close of business on March 17, 2022.</w:t>
      </w:r>
    </w:p>
    <w:p>
      <w:pPr>
        <w:spacing w:after="0" w:line="171" w:lineRule="exact"/>
        <w:rPr>
          <w:sz w:val="20"/>
          <w:szCs w:val="20"/>
          <w:color w:val="auto"/>
        </w:rPr>
      </w:pPr>
    </w:p>
    <w:p>
      <w:pPr>
        <w:ind w:right="140"/>
        <w:spacing w:after="0" w:line="226" w:lineRule="auto"/>
        <w:rPr>
          <w:sz w:val="20"/>
          <w:szCs w:val="20"/>
          <w:color w:val="auto"/>
        </w:rPr>
      </w:pPr>
      <w:r>
        <w:rPr>
          <w:rFonts w:ascii="Arial" w:cs="Arial" w:eastAsia="Arial" w:hAnsi="Arial"/>
          <w:sz w:val="22"/>
          <w:szCs w:val="22"/>
          <w:color w:val="auto"/>
        </w:rPr>
        <w:t>“Today’s announcement of a quarterly cash dividend marks a milestone for Academy resulting from our efforts to strengthen the balance sheet and the Company’s ability to generate sustainable cash flow. This dividend and our existing stock repurchase program demonstrate the confidence that our Board and management team have in our growth initiatives and the future performance of our business, as well as our commitment to increasing total shareholder value,” said Ken Hicks, Chairman, President and Chief Executive Officer.</w:t>
      </w:r>
    </w:p>
    <w:p>
      <w:pPr>
        <w:spacing w:after="0" w:line="199" w:lineRule="exact"/>
        <w:rPr>
          <w:sz w:val="20"/>
          <w:szCs w:val="20"/>
          <w:color w:val="auto"/>
        </w:rPr>
      </w:pPr>
    </w:p>
    <w:p>
      <w:pPr>
        <w:ind w:right="300"/>
        <w:spacing w:after="0" w:line="282" w:lineRule="auto"/>
        <w:rPr>
          <w:sz w:val="20"/>
          <w:szCs w:val="20"/>
          <w:color w:val="auto"/>
        </w:rPr>
      </w:pPr>
      <w:r>
        <w:rPr>
          <w:rFonts w:ascii="Arial" w:cs="Arial" w:eastAsia="Arial" w:hAnsi="Arial"/>
          <w:sz w:val="19"/>
          <w:szCs w:val="19"/>
          <w:color w:val="auto"/>
        </w:rPr>
        <w:t>The Company intends to announce quarterly cash dividends, the declaration, timing, amount, and payment of which will be subject to the discretion and approval of the Board, taking into account such considerations as the Board may deem relevant at the time, including, among others, the Company’s results, financial condition and capital allocation plans.</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Academy Sports + Outdoors</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Academy is a leading full-line sporting goods and outdoor recreation retailer in the United States. Originally founded in 1938 as a family business in Texas, Academy has grown to 259 stores across 16 contiguous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20 private label brands, which go well beyond traditional sporting goods and apparel offerings. For more information, visit academy.com.</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22"/>
          <w:szCs w:val="22"/>
          <w:color w:val="auto"/>
        </w:rPr>
        <w:t>SOURCE: Academy Sports and Outdoors, Inc.</w:t>
      </w:r>
    </w:p>
    <w:p>
      <w:pPr>
        <w:spacing w:after="0" w:line="217" w:lineRule="auto"/>
        <w:rPr>
          <w:sz w:val="20"/>
          <w:szCs w:val="20"/>
          <w:color w:val="auto"/>
        </w:rPr>
      </w:pPr>
      <w:r>
        <w:rPr>
          <w:rFonts w:ascii="Arial" w:cs="Arial" w:eastAsia="Arial" w:hAnsi="Arial"/>
          <w:sz w:val="22"/>
          <w:szCs w:val="22"/>
          <w:color w:val="auto"/>
        </w:rPr>
        <w:t>Media inquiries:</w:t>
      </w:r>
    </w:p>
    <w:p>
      <w:pPr>
        <w:spacing w:after="0" w:line="218" w:lineRule="auto"/>
        <w:rPr>
          <w:sz w:val="20"/>
          <w:szCs w:val="20"/>
          <w:color w:val="auto"/>
        </w:rPr>
      </w:pPr>
      <w:r>
        <w:rPr>
          <w:rFonts w:ascii="Arial" w:cs="Arial" w:eastAsia="Arial" w:hAnsi="Arial"/>
          <w:sz w:val="22"/>
          <w:szCs w:val="22"/>
          <w:color w:val="auto"/>
        </w:rPr>
        <w:t>Elise Hasbrook, Vice President Communications</w:t>
      </w:r>
    </w:p>
    <w:p>
      <w:pPr>
        <w:spacing w:after="0" w:line="218" w:lineRule="auto"/>
        <w:rPr>
          <w:sz w:val="20"/>
          <w:szCs w:val="20"/>
          <w:color w:val="auto"/>
        </w:rPr>
      </w:pPr>
      <w:r>
        <w:rPr>
          <w:rFonts w:ascii="Arial" w:cs="Arial" w:eastAsia="Arial" w:hAnsi="Arial"/>
          <w:sz w:val="22"/>
          <w:szCs w:val="22"/>
          <w:color w:val="auto"/>
        </w:rPr>
        <w:t>281.253.8200</w:t>
      </w:r>
    </w:p>
    <w:p>
      <w:pPr>
        <w:spacing w:after="0"/>
        <w:rPr>
          <w:sz w:val="20"/>
          <w:szCs w:val="20"/>
          <w:color w:val="auto"/>
        </w:rPr>
      </w:pPr>
      <w:r>
        <w:rPr>
          <w:rFonts w:ascii="Arial" w:cs="Arial" w:eastAsia="Arial" w:hAnsi="Arial"/>
          <w:sz w:val="22"/>
          <w:szCs w:val="22"/>
          <w:color w:val="auto"/>
        </w:rPr>
        <w:t>elise.hasbrook@academy.com</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Investor inquiries:</w:t>
      </w:r>
    </w:p>
    <w:p>
      <w:pPr>
        <w:spacing w:after="0" w:line="217" w:lineRule="auto"/>
        <w:rPr>
          <w:sz w:val="20"/>
          <w:szCs w:val="20"/>
          <w:color w:val="auto"/>
        </w:rPr>
      </w:pPr>
      <w:r>
        <w:rPr>
          <w:rFonts w:ascii="Arial" w:cs="Arial" w:eastAsia="Arial" w:hAnsi="Arial"/>
          <w:sz w:val="22"/>
          <w:szCs w:val="22"/>
          <w:color w:val="auto"/>
        </w:rPr>
        <w:t>Matt Hodges, Vice President Investor Relations</w:t>
      </w:r>
    </w:p>
    <w:p>
      <w:pPr>
        <w:spacing w:after="0" w:line="218" w:lineRule="auto"/>
        <w:rPr>
          <w:sz w:val="20"/>
          <w:szCs w:val="20"/>
          <w:color w:val="auto"/>
        </w:rPr>
      </w:pPr>
      <w:r>
        <w:rPr>
          <w:rFonts w:ascii="Arial" w:cs="Arial" w:eastAsia="Arial" w:hAnsi="Arial"/>
          <w:sz w:val="22"/>
          <w:szCs w:val="22"/>
          <w:color w:val="auto"/>
        </w:rPr>
        <w:t>281.646.5362</w:t>
      </w:r>
    </w:p>
    <w:p>
      <w:pPr>
        <w:spacing w:after="0"/>
        <w:rPr>
          <w:sz w:val="20"/>
          <w:szCs w:val="20"/>
          <w:color w:val="auto"/>
        </w:rPr>
      </w:pPr>
      <w:r>
        <w:rPr>
          <w:rFonts w:ascii="Arial" w:cs="Arial" w:eastAsia="Arial" w:hAnsi="Arial"/>
          <w:sz w:val="22"/>
          <w:szCs w:val="22"/>
          <w:color w:val="auto"/>
        </w:rPr>
        <w:t>matt.hodges@academy.com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240"/>
          </w:cols>
          <w:pgMar w:left="320" w:top="112"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9"/>
          <w:szCs w:val="19"/>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and declaration of future dividends,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 whether as a result of new information, future developments or otherwise, except as may be required by any applicable securities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2</w:t>
      </w:r>
    </w:p>
    <w:sectPr>
      <w:pgSz w:w="11900" w:h="16838" w:orient="portrait"/>
      <w:cols w:equalWidth="0" w:num="1">
        <w:col w:w="11240"/>
      </w:cols>
      <w:pgMar w:left="320" w:top="11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2022-03-03T15:57:28Z</dcterms:created>
  <dcterms:modified xsi:type="dcterms:W3CDTF">2022-03-03T15:57:28Z</dcterms:modified>
</cp:coreProperties>
</file>