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50800</wp:posOffset>
            </wp:positionV>
            <wp:extent cx="42773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4000" w:right="1340" w:hanging="2651"/>
        <w:spacing w:after="0" w:line="281" w:lineRule="auto"/>
        <w:tabs>
          <w:tab w:leader="none" w:pos="153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May 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jc w:val="center"/>
        <w:ind w:left="3480" w:right="1340" w:hanging="2137"/>
        <w:spacing w:after="0" w:line="449" w:lineRule="auto"/>
        <w:tabs>
          <w:tab w:leader="none" w:pos="153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 to ___________</w:t>
      </w:r>
      <w:r>
        <w:rPr>
          <w:rFonts w:ascii="Arial" w:cs="Arial" w:eastAsia="Arial" w:hAnsi="Arial"/>
          <w:sz w:val="16"/>
          <w:szCs w:val="16"/>
          <w:color w:val="auto"/>
        </w:rPr>
        <w:t>.</w:t>
      </w:r>
    </w:p>
    <w:p>
      <w:pPr>
        <w:ind w:left="44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80645</wp:posOffset>
            </wp:positionV>
            <wp:extent cx="4277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174625</wp:posOffset>
            </wp:positionV>
            <wp:extent cx="182562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Academy Sports and Outdoors,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96" w:lineRule="exact"/>
        <w:rPr>
          <w:sz w:val="24"/>
          <w:szCs w:val="24"/>
          <w:color w:val="auto"/>
        </w:rPr>
      </w:pPr>
    </w:p>
    <w:p>
      <w:pPr>
        <w:ind w:left="1860"/>
        <w:spacing w:after="0"/>
        <w:tabs>
          <w:tab w:leader="none" w:pos="85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85-1800912</w:t>
      </w:r>
    </w:p>
    <w:p>
      <w:pPr>
        <w:spacing w:after="0" w:line="131" w:lineRule="exact"/>
        <w:rPr>
          <w:sz w:val="24"/>
          <w:szCs w:val="24"/>
          <w:color w:val="auto"/>
        </w:rPr>
      </w:pPr>
    </w:p>
    <w:p>
      <w:pPr>
        <w:ind w:left="1240"/>
        <w:spacing w:after="0"/>
        <w:tabs>
          <w:tab w:leader="none" w:pos="8360" w:val="left"/>
        </w:tabs>
        <w:rPr>
          <w:sz w:val="20"/>
          <w:szCs w:val="20"/>
          <w:color w:val="auto"/>
        </w:rPr>
      </w:pPr>
      <w:r>
        <w:rPr>
          <w:rFonts w:ascii="Arial" w:cs="Arial" w:eastAsia="Arial" w:hAnsi="Arial"/>
          <w:sz w:val="16"/>
          <w:szCs w:val="16"/>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spacing w:after="0" w:line="73" w:lineRule="exact"/>
        <w:rPr>
          <w:sz w:val="24"/>
          <w:szCs w:val="24"/>
          <w:color w:val="auto"/>
        </w:rPr>
      </w:pPr>
    </w:p>
    <w:p>
      <w:pPr>
        <w:ind w:left="1180"/>
        <w:spacing w:after="0"/>
        <w:tabs>
          <w:tab w:leader="none" w:pos="8300" w:val="left"/>
        </w:tabs>
        <w:rPr>
          <w:sz w:val="20"/>
          <w:szCs w:val="20"/>
          <w:color w:val="auto"/>
        </w:rPr>
      </w:pPr>
      <w:r>
        <w:rPr>
          <w:rFonts w:ascii="Arial" w:cs="Arial" w:eastAsia="Arial" w:hAnsi="Arial"/>
          <w:sz w:val="16"/>
          <w:szCs w:val="16"/>
          <w:i w:val="1"/>
          <w:iCs w:val="1"/>
          <w:color w:val="auto"/>
        </w:rPr>
        <w:t>incorporation or organization)</w:t>
      </w:r>
      <w:r>
        <w:rPr>
          <w:sz w:val="20"/>
          <w:szCs w:val="20"/>
          <w:color w:val="auto"/>
        </w:rPr>
        <w:tab/>
      </w:r>
      <w:r>
        <w:rPr>
          <w:rFonts w:ascii="Arial" w:cs="Arial" w:eastAsia="Arial" w:hAnsi="Arial"/>
          <w:sz w:val="15"/>
          <w:szCs w:val="15"/>
          <w:i w:val="1"/>
          <w:iCs w:val="1"/>
          <w:color w:val="auto"/>
        </w:rPr>
        <w:t>Identification No.)</w:t>
      </w:r>
    </w:p>
    <w:p>
      <w:pPr>
        <w:spacing w:after="0" w:line="109"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auto"/>
        </w:rPr>
        <w:t>1800 North Mason Road</w:t>
      </w:r>
    </w:p>
    <w:p>
      <w:pPr>
        <w:spacing w:after="0" w:line="46"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Katy, Texas 77449</w:t>
      </w:r>
    </w:p>
    <w:p>
      <w:pPr>
        <w:spacing w:after="0" w:line="36" w:lineRule="exact"/>
        <w:rPr>
          <w:sz w:val="24"/>
          <w:szCs w:val="24"/>
          <w:color w:val="auto"/>
        </w:rPr>
      </w:pPr>
    </w:p>
    <w:p>
      <w:pPr>
        <w:ind w:left="392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23"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(281) 646-5200</w:t>
      </w:r>
    </w:p>
    <w:p>
      <w:pPr>
        <w:spacing w:after="0" w:line="36" w:lineRule="exact"/>
        <w:rPr>
          <w:sz w:val="24"/>
          <w:szCs w:val="24"/>
          <w:color w:val="auto"/>
        </w:rPr>
      </w:pPr>
    </w:p>
    <w:p>
      <w:pPr>
        <w:ind w:left="378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23"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123" w:lineRule="exact"/>
        <w:rPr>
          <w:sz w:val="24"/>
          <w:szCs w:val="24"/>
          <w:color w:val="auto"/>
        </w:rPr>
      </w:pPr>
    </w:p>
    <w:tbl>
      <w:tblPr>
        <w:tblLayout w:type="fixed"/>
        <w:tblInd w:w="82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40" w:type="dxa"/>
            <w:vAlign w:val="bottom"/>
            <w:gridSpan w:val="5"/>
          </w:tcPr>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182"/>
        </w:trPr>
        <w:tc>
          <w:tcPr>
            <w:tcW w:w="760" w:type="dxa"/>
            <w:vAlign w:val="bottom"/>
          </w:tcPr>
          <w:p>
            <w:pPr>
              <w:spacing w:after="0"/>
              <w:rPr>
                <w:sz w:val="15"/>
                <w:szCs w:val="15"/>
                <w:color w:val="auto"/>
              </w:rPr>
            </w:pPr>
          </w:p>
        </w:tc>
        <w:tc>
          <w:tcPr>
            <w:tcW w:w="1980" w:type="dxa"/>
            <w:vAlign w:val="bottom"/>
            <w:gridSpan w:val="2"/>
          </w:tcPr>
          <w:p>
            <w:pPr>
              <w:jc w:val="center"/>
              <w:ind w:right="780"/>
              <w:spacing w:after="0" w:line="181" w:lineRule="exact"/>
              <w:rPr>
                <w:sz w:val="20"/>
                <w:szCs w:val="20"/>
                <w:color w:val="auto"/>
              </w:rPr>
            </w:pPr>
            <w:r>
              <w:rPr>
                <w:rFonts w:ascii="Arial" w:cs="Arial" w:eastAsia="Arial" w:hAnsi="Arial"/>
                <w:sz w:val="16"/>
                <w:szCs w:val="16"/>
                <w:b w:val="1"/>
                <w:bCs w:val="1"/>
                <w:i w:val="1"/>
                <w:iCs w:val="1"/>
                <w:color w:val="auto"/>
                <w:w w:val="87"/>
              </w:rPr>
              <w:t>Title of each class</w:t>
            </w:r>
          </w:p>
        </w:tc>
        <w:tc>
          <w:tcPr>
            <w:tcW w:w="3240" w:type="dxa"/>
            <w:vAlign w:val="bottom"/>
            <w:gridSpan w:val="3"/>
          </w:tcPr>
          <w:p>
            <w:pPr>
              <w:jc w:val="center"/>
              <w:ind w:left="639"/>
              <w:spacing w:after="0" w:line="181" w:lineRule="exact"/>
              <w:rPr>
                <w:sz w:val="20"/>
                <w:szCs w:val="20"/>
                <w:color w:val="auto"/>
              </w:rPr>
            </w:pPr>
            <w:r>
              <w:rPr>
                <w:rFonts w:ascii="Arial" w:cs="Arial" w:eastAsia="Arial" w:hAnsi="Arial"/>
                <w:sz w:val="16"/>
                <w:szCs w:val="16"/>
                <w:b w:val="1"/>
                <w:bCs w:val="1"/>
                <w:i w:val="1"/>
                <w:iCs w:val="1"/>
                <w:color w:val="auto"/>
                <w:w w:val="88"/>
              </w:rPr>
              <w:t>Trading Symbol(s)</w:t>
            </w:r>
          </w:p>
        </w:tc>
        <w:tc>
          <w:tcPr>
            <w:tcW w:w="3600" w:type="dxa"/>
            <w:vAlign w:val="bottom"/>
            <w:gridSpan w:val="2"/>
          </w:tcPr>
          <w:p>
            <w:pPr>
              <w:jc w:val="center"/>
              <w:ind w:left="559"/>
              <w:spacing w:after="0" w:line="181" w:lineRule="exact"/>
              <w:rPr>
                <w:sz w:val="20"/>
                <w:szCs w:val="20"/>
                <w:color w:val="auto"/>
              </w:rPr>
            </w:pPr>
            <w:r>
              <w:rPr>
                <w:rFonts w:ascii="Arial" w:cs="Arial" w:eastAsia="Arial" w:hAnsi="Arial"/>
                <w:sz w:val="16"/>
                <w:szCs w:val="16"/>
                <w:b w:val="1"/>
                <w:bCs w:val="1"/>
                <w:i w:val="1"/>
                <w:iCs w:val="1"/>
                <w:color w:val="auto"/>
                <w:w w:val="87"/>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274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Common Stock, par value $0.01 per share</w:t>
            </w:r>
          </w:p>
        </w:tc>
        <w:tc>
          <w:tcPr>
            <w:tcW w:w="1360" w:type="dxa"/>
            <w:vAlign w:val="bottom"/>
          </w:tcPr>
          <w:p>
            <w:pPr>
              <w:spacing w:after="0"/>
              <w:rPr>
                <w:sz w:val="20"/>
                <w:szCs w:val="20"/>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6"/>
                <w:szCs w:val="16"/>
                <w:color w:val="auto"/>
                <w:w w:val="94"/>
              </w:rPr>
              <w:t>ASO</w:t>
            </w:r>
          </w:p>
        </w:tc>
        <w:tc>
          <w:tcPr>
            <w:tcW w:w="6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185"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7" w:lineRule="exact"/>
        <w:rPr>
          <w:sz w:val="24"/>
          <w:szCs w:val="24"/>
          <w:color w:val="auto"/>
        </w:rPr>
      </w:pPr>
    </w:p>
    <w:p>
      <w:pPr>
        <w:ind w:right="180"/>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0"/>
        <w:spacing w:after="0" w:line="184" w:lineRule="exact"/>
        <w:tabs>
          <w:tab w:leader="none" w:pos="66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200"/>
        <w:spacing w:after="0" w:line="184" w:lineRule="exact"/>
        <w:tabs>
          <w:tab w:leader="none" w:pos="668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2" w:lineRule="exact"/>
        <w:rPr>
          <w:sz w:val="24"/>
          <w:szCs w:val="24"/>
          <w:color w:val="auto"/>
        </w:rPr>
      </w:pPr>
    </w:p>
    <w:p>
      <w:pPr>
        <w:ind w:left="67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6"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As of June 1, 2021, Academy Sports and Outdoors, Inc. had 92,099,917 shares of common stock, par value $0.01 per share, outstanding.</w:t>
      </w:r>
    </w:p>
    <w:p>
      <w:pPr>
        <w:sectPr>
          <w:pgSz w:w="11900" w:h="16838" w:orient="portrait"/>
          <w:cols w:equalWidth="0" w:num="1">
            <w:col w:w="11120"/>
          </w:cols>
          <w:pgMar w:left="400" w:top="922" w:right="379" w:bottom="1440" w:gutter="0" w:footer="0" w:header="0"/>
        </w:sectPr>
      </w:pPr>
    </w:p>
    <w:p>
      <w:pPr>
        <w:spacing w:after="0" w:line="392" w:lineRule="exact"/>
        <w:rPr>
          <w:sz w:val="24"/>
          <w:szCs w:val="24"/>
          <w:color w:val="auto"/>
        </w:rPr>
      </w:pPr>
    </w:p>
    <w:p>
      <w:pPr>
        <w:jc w:val="center"/>
        <w:ind w:right="4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922"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4"/>
            <w:shd w:val="clear" w:color="auto" w:fill="CCEEFF"/>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520" w:type="dxa"/>
            <w:vAlign w:val="bottom"/>
            <w:gridSpan w:val="4"/>
            <w:shd w:val="clear" w:color="auto" w:fill="CCEEFF"/>
          </w:tcPr>
          <w:p>
            <w:pPr>
              <w:jc w:val="center"/>
              <w:ind w:left="230"/>
              <w:spacing w:after="0" w:line="156"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9"/>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7500" w:type="dxa"/>
            <w:vAlign w:val="bottom"/>
            <w:gridSpan w:val="4"/>
          </w:tcPr>
          <w:p>
            <w:pPr>
              <w:spacing w:after="0"/>
              <w:rPr>
                <w:sz w:val="15"/>
                <w:szCs w:val="15"/>
                <w:color w:val="auto"/>
              </w:rPr>
            </w:pPr>
          </w:p>
        </w:tc>
        <w:tc>
          <w:tcPr>
            <w:tcW w:w="520" w:type="dxa"/>
            <w:vAlign w:val="bottom"/>
            <w:gridSpan w:val="4"/>
          </w:tcPr>
          <w:p>
            <w:pPr>
              <w:jc w:val="center"/>
              <w:ind w:left="230"/>
              <w:spacing w:after="0" w:line="183"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2"/>
            <w:shd w:val="clear" w:color="auto" w:fill="CCEEFF"/>
          </w:tcPr>
          <w:p>
            <w:pPr>
              <w:spacing w:after="0" w:line="189" w:lineRule="exact"/>
              <w:rPr>
                <w:rFonts w:ascii="Arial" w:cs="Arial" w:eastAsia="Arial" w:hAnsi="Arial"/>
                <w:sz w:val="18"/>
                <w:szCs w:val="18"/>
                <w:color w:val="0000FF"/>
                <w:w w:val="90"/>
              </w:rPr>
            </w:pPr>
            <w:hyperlink w:anchor="page24">
              <w:r>
                <w:rPr>
                  <w:rFonts w:ascii="Arial" w:cs="Arial" w:eastAsia="Arial" w:hAnsi="Arial"/>
                  <w:sz w:val="18"/>
                  <w:szCs w:val="18"/>
                  <w:color w:val="0000FF"/>
                  <w:w w:val="90"/>
                </w:rPr>
                <w:t>Item 2. Management's Discussion and Analysis of Financial Condition and Results of Operations</w:t>
              </w:r>
            </w:hyperlink>
          </w:p>
        </w:tc>
        <w:tc>
          <w:tcPr>
            <w:tcW w:w="316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2"/>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Item 3. Quantitative and Qualitative Disclosures About Market Risk</w:t>
              </w:r>
            </w:hyperlink>
          </w:p>
        </w:tc>
        <w:tc>
          <w:tcPr>
            <w:tcW w:w="3160" w:type="dxa"/>
            <w:vAlign w:val="bottom"/>
          </w:tcPr>
          <w:p>
            <w:pPr>
              <w:spacing w:after="0"/>
              <w:rPr>
                <w:sz w:val="16"/>
                <w:szCs w:val="16"/>
                <w:color w:val="auto"/>
              </w:rPr>
            </w:pPr>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3">
              <w:r>
                <w:rPr>
                  <w:rFonts w:ascii="Arial" w:cs="Arial" w:eastAsia="Arial" w:hAnsi="Arial"/>
                  <w:sz w:val="18"/>
                  <w:szCs w:val="18"/>
                  <w:color w:val="0000FF"/>
                  <w:w w:val="94"/>
                </w:rPr>
                <w:t>Item 4.</w:t>
              </w:r>
            </w:hyperlink>
          </w:p>
        </w:tc>
        <w:tc>
          <w:tcPr>
            <w:tcW w:w="9620" w:type="dxa"/>
            <w:vAlign w:val="bottom"/>
            <w:gridSpan w:val="12"/>
            <w:shd w:val="clear" w:color="auto" w:fill="CCEEFF"/>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4"/>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PART II. OTHER INFORMATION</w:t>
              </w:r>
            </w:hyperlink>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44</w:t>
              </w:r>
            </w:hyperlink>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4">
              <w:r>
                <w:rPr>
                  <w:rFonts w:ascii="Arial" w:cs="Arial" w:eastAsia="Arial" w:hAnsi="Arial"/>
                  <w:sz w:val="18"/>
                  <w:szCs w:val="18"/>
                  <w:color w:val="0000FF"/>
                  <w:w w:val="94"/>
                </w:rPr>
                <w:t>Item 1.</w:t>
              </w:r>
            </w:hyperlink>
          </w:p>
        </w:tc>
        <w:tc>
          <w:tcPr>
            <w:tcW w:w="1360" w:type="dxa"/>
            <w:vAlign w:val="bottom"/>
            <w:gridSpan w:val="4"/>
            <w:shd w:val="clear" w:color="auto" w:fill="CCEEFF"/>
          </w:tcPr>
          <w:p>
            <w:pPr>
              <w:ind w:left="20"/>
              <w:spacing w:after="0" w:line="189"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Legal Proceedings</w:t>
              </w:r>
            </w:hyperlink>
          </w:p>
        </w:tc>
        <w:tc>
          <w:tcPr>
            <w:tcW w:w="8260" w:type="dxa"/>
            <w:vAlign w:val="bottom"/>
            <w:gridSpan w:val="8"/>
            <w:shd w:val="clear" w:color="auto" w:fill="CCEEFF"/>
          </w:tcPr>
          <w:p>
            <w:pPr>
              <w:spacing w:after="0"/>
              <w:rPr>
                <w:sz w:val="16"/>
                <w:szCs w:val="16"/>
                <w:color w:val="auto"/>
              </w:rPr>
            </w:pPr>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Item 1A. Risk Factors</w:t>
              </w:r>
            </w:hyperlink>
          </w:p>
        </w:tc>
        <w:tc>
          <w:tcPr>
            <w:tcW w:w="8260" w:type="dxa"/>
            <w:vAlign w:val="bottom"/>
            <w:gridSpan w:val="8"/>
          </w:tcPr>
          <w:p>
            <w:pPr>
              <w:spacing w:after="0"/>
              <w:rPr>
                <w:sz w:val="16"/>
                <w:szCs w:val="16"/>
                <w:color w:val="auto"/>
              </w:rPr>
            </w:pPr>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4">
              <w:r>
                <w:rPr>
                  <w:rFonts w:ascii="Arial" w:cs="Arial" w:eastAsia="Arial" w:hAnsi="Arial"/>
                  <w:sz w:val="18"/>
                  <w:szCs w:val="18"/>
                  <w:color w:val="0000FF"/>
                  <w:w w:val="94"/>
                </w:rPr>
                <w:t>Item 2.</w:t>
              </w:r>
            </w:hyperlink>
          </w:p>
        </w:tc>
        <w:tc>
          <w:tcPr>
            <w:tcW w:w="9620" w:type="dxa"/>
            <w:vAlign w:val="bottom"/>
            <w:gridSpan w:val="12"/>
            <w:shd w:val="clear" w:color="auto" w:fill="CCEEFF"/>
          </w:tcPr>
          <w:p>
            <w:pPr>
              <w:ind w:lef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45">
              <w:r>
                <w:rPr>
                  <w:rFonts w:ascii="Arial" w:cs="Arial" w:eastAsia="Arial" w:hAnsi="Arial"/>
                  <w:sz w:val="18"/>
                  <w:szCs w:val="18"/>
                  <w:color w:val="0000FF"/>
                  <w:w w:val="94"/>
                </w:rPr>
                <w:t>Item 6.</w:t>
              </w:r>
            </w:hyperlink>
          </w:p>
        </w:tc>
        <w:tc>
          <w:tcPr>
            <w:tcW w:w="4360" w:type="dxa"/>
            <w:vAlign w:val="bottom"/>
            <w:gridSpan w:val="9"/>
          </w:tcPr>
          <w:p>
            <w:pPr>
              <w:ind w:lef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5260" w:type="dxa"/>
            <w:vAlign w:val="bottom"/>
            <w:gridSpan w:val="3"/>
          </w:tcPr>
          <w:p>
            <w:pPr>
              <w:spacing w:after="0"/>
              <w:rPr>
                <w:sz w:val="16"/>
                <w:szCs w:val="16"/>
                <w:color w:val="auto"/>
              </w:rPr>
            </w:pPr>
          </w:p>
        </w:tc>
        <w:tc>
          <w:tcPr>
            <w:tcW w:w="840" w:type="dxa"/>
            <w:vAlign w:val="bottom"/>
            <w:gridSpan w:val="5"/>
          </w:tcPr>
          <w:p>
            <w:pPr>
              <w:jc w:val="center"/>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4"/>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84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May 1, 2021</w:t>
            </w:r>
          </w:p>
        </w:tc>
        <w:tc>
          <w:tcPr>
            <w:tcW w:w="14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7"/>
                <w:szCs w:val="17"/>
                <w:b w:val="1"/>
                <w:bCs w:val="1"/>
                <w:color w:val="auto"/>
              </w:rPr>
              <w:t>January 30, 2021</w:t>
            </w:r>
          </w:p>
        </w:tc>
        <w:tc>
          <w:tcPr>
            <w:tcW w:w="220" w:type="dxa"/>
            <w:vAlign w:val="bottom"/>
          </w:tcPr>
          <w:p>
            <w:pPr>
              <w:spacing w:after="0"/>
              <w:rPr>
                <w:sz w:val="19"/>
                <w:szCs w:val="19"/>
                <w:color w:val="auto"/>
              </w:rPr>
            </w:pPr>
          </w:p>
        </w:tc>
        <w:tc>
          <w:tcPr>
            <w:tcW w:w="1400" w:type="dxa"/>
            <w:vAlign w:val="bottom"/>
          </w:tcPr>
          <w:p>
            <w:pPr>
              <w:jc w:val="right"/>
              <w:ind w:right="295"/>
              <w:spacing w:after="0"/>
              <w:rPr>
                <w:sz w:val="20"/>
                <w:szCs w:val="20"/>
                <w:color w:val="auto"/>
              </w:rPr>
            </w:pPr>
            <w:r>
              <w:rPr>
                <w:rFonts w:ascii="Arial" w:cs="Arial" w:eastAsia="Arial" w:hAnsi="Arial"/>
                <w:sz w:val="17"/>
                <w:szCs w:val="17"/>
                <w:b w:val="1"/>
                <w:bCs w:val="1"/>
                <w:color w:val="auto"/>
              </w:rPr>
              <w:t>May 2, 2020</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74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593,288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725,615</w:t>
            </w:r>
          </w:p>
        </w:tc>
        <w:tc>
          <w:tcPr>
            <w:tcW w:w="0" w:type="dxa"/>
            <w:vAlign w:val="bottom"/>
          </w:tcPr>
          <w:p>
            <w:pPr>
              <w:spacing w:after="0"/>
              <w:rPr>
                <w:sz w:val="1"/>
                <w:szCs w:val="1"/>
                <w:color w:val="auto"/>
              </w:rPr>
            </w:pPr>
          </w:p>
        </w:tc>
      </w:tr>
      <w:tr>
        <w:trPr>
          <w:trHeight w:val="162"/>
        </w:trPr>
        <w:tc>
          <w:tcPr>
            <w:tcW w:w="6200" w:type="dxa"/>
            <w:vAlign w:val="bottom"/>
          </w:tcPr>
          <w:p>
            <w:pPr>
              <w:ind w:left="240"/>
              <w:spacing w:after="0" w:line="162" w:lineRule="exact"/>
              <w:rPr>
                <w:sz w:val="20"/>
                <w:szCs w:val="20"/>
                <w:color w:val="auto"/>
              </w:rPr>
            </w:pPr>
            <w:r>
              <w:rPr>
                <w:rFonts w:ascii="Arial" w:cs="Arial" w:eastAsia="Arial" w:hAnsi="Arial"/>
                <w:sz w:val="17"/>
                <w:szCs w:val="17"/>
                <w:color w:val="auto"/>
                <w:w w:val="97"/>
              </w:rPr>
              <w:t>Accounts receivable - less allowance for doubtful accounts of $1,450, $1,172 and</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10,831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17,306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9,771</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Arial" w:cs="Arial" w:eastAsia="Arial" w:hAnsi="Arial"/>
                <w:sz w:val="17"/>
                <w:szCs w:val="17"/>
                <w:color w:val="auto"/>
              </w:rPr>
              <w:t>$4,432, respectively</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Merchandise inventories,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1,080,804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1,012,680</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30,369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28,313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27,824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Assets held for sale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0" w:type="dxa"/>
            <w:vAlign w:val="bottom"/>
          </w:tcPr>
          <w:p>
            <w:pPr>
              <w:spacing w:after="0"/>
              <w:rPr>
                <w:sz w:val="1"/>
                <w:szCs w:val="1"/>
                <w:color w:val="auto"/>
              </w:rPr>
            </w:pPr>
          </w:p>
        </w:tc>
      </w:tr>
      <w:tr>
        <w:trPr>
          <w:trHeight w:val="209"/>
        </w:trPr>
        <w:tc>
          <w:tcPr>
            <w:tcW w:w="6200" w:type="dxa"/>
            <w:vAlign w:val="bottom"/>
          </w:tcPr>
          <w:p>
            <w:pPr>
              <w:ind w:left="460"/>
              <w:spacing w:after="0"/>
              <w:rPr>
                <w:sz w:val="20"/>
                <w:szCs w:val="20"/>
                <w:color w:val="auto"/>
              </w:rPr>
            </w:pPr>
            <w:r>
              <w:rPr>
                <w:rFonts w:ascii="Arial" w:cs="Arial" w:eastAsia="Arial" w:hAnsi="Arial"/>
                <w:sz w:val="17"/>
                <w:szCs w:val="17"/>
                <w:b w:val="1"/>
                <w:bCs w:val="1"/>
                <w:color w:val="auto"/>
              </w:rPr>
              <w:t>Total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1,717,055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1,415,020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1,777,653</w:t>
            </w:r>
          </w:p>
        </w:tc>
        <w:tc>
          <w:tcPr>
            <w:tcW w:w="0" w:type="dxa"/>
            <w:vAlign w:val="bottom"/>
          </w:tcPr>
          <w:p>
            <w:pPr>
              <w:spacing w:after="0"/>
              <w:rPr>
                <w:sz w:val="1"/>
                <w:szCs w:val="1"/>
                <w:color w:val="auto"/>
              </w:rPr>
            </w:pPr>
          </w:p>
        </w:tc>
      </w:tr>
      <w:tr>
        <w:trPr>
          <w:trHeight w:val="95"/>
        </w:trPr>
        <w:tc>
          <w:tcPr>
            <w:tcW w:w="6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366,005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378,260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418,476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RIGHT-OF-USE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1,127,645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1,143,699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1,125,933</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TRADE NAME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577,000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577,000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577,000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GOODWILL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861,920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NONCURRENT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11,343</w:t>
            </w:r>
          </w:p>
        </w:tc>
        <w:tc>
          <w:tcPr>
            <w:tcW w:w="0" w:type="dxa"/>
            <w:vAlign w:val="bottom"/>
          </w:tcPr>
          <w:p>
            <w:pPr>
              <w:spacing w:after="0"/>
              <w:rPr>
                <w:sz w:val="1"/>
                <w:szCs w:val="1"/>
                <w:color w:val="auto"/>
              </w:rPr>
            </w:pPr>
          </w:p>
        </w:tc>
      </w:tr>
      <w:tr>
        <w:trPr>
          <w:trHeight w:val="235"/>
        </w:trPr>
        <w:tc>
          <w:tcPr>
            <w:tcW w:w="6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4,657,310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4,384,482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4,772,325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LIABILITIES AND STOCKHOLDERS' / PARTNERS' EQUITY</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864,966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791,404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411,263</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287,592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291,351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187,736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Current lease liabilities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82,676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105,099</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Current maturities of long-term debt</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4,000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34,116</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1,239,234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1,167,093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738,214</w:t>
            </w:r>
          </w:p>
        </w:tc>
        <w:tc>
          <w:tcPr>
            <w:tcW w:w="0" w:type="dxa"/>
            <w:vAlign w:val="bottom"/>
          </w:tcPr>
          <w:p>
            <w:pPr>
              <w:spacing w:after="0"/>
              <w:rPr>
                <w:sz w:val="1"/>
                <w:szCs w:val="1"/>
                <w:color w:val="auto"/>
              </w:rPr>
            </w:pPr>
          </w:p>
        </w:tc>
      </w:tr>
      <w:tr>
        <w:trPr>
          <w:trHeight w:val="95"/>
        </w:trPr>
        <w:tc>
          <w:tcPr>
            <w:tcW w:w="6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DEBT,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781,035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781,489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1,924,641</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LONG-TERM LEASE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1,132,196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1,150,088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1,106,225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164,038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26,932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35,126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22,697</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3,343,435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3,272,499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3,791,777</w:t>
            </w: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13)</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REDEEMABLE MEMBERSHIP UNITS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STOCKHOLDERS' / PARTNERS' EQUITY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00" w:type="dxa"/>
            <w:vAlign w:val="bottom"/>
          </w:tcPr>
          <w:p>
            <w:pPr>
              <w:ind w:left="240"/>
              <w:spacing w:after="0" w:line="162" w:lineRule="exact"/>
              <w:rPr>
                <w:sz w:val="20"/>
                <w:szCs w:val="20"/>
                <w:color w:val="auto"/>
              </w:rPr>
            </w:pPr>
            <w:r>
              <w:rPr>
                <w:rFonts w:ascii="Arial" w:cs="Arial" w:eastAsia="Arial" w:hAnsi="Arial"/>
                <w:sz w:val="17"/>
                <w:szCs w:val="17"/>
                <w:color w:val="auto"/>
                <w:w w:val="97"/>
              </w:rPr>
              <w:t>Preferred stock, $0.01 par value, authorized 50,000,000 shares; none issued and</w:t>
            </w:r>
          </w:p>
        </w:tc>
        <w:tc>
          <w:tcPr>
            <w:tcW w:w="22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4"/>
                <w:szCs w:val="14"/>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Arial" w:cs="Arial" w:eastAsia="Arial" w:hAnsi="Arial"/>
                <w:sz w:val="17"/>
                <w:szCs w:val="17"/>
                <w:color w:val="auto"/>
              </w:rPr>
              <w:t>outstanding</w:t>
            </w:r>
          </w:p>
        </w:tc>
        <w:tc>
          <w:tcPr>
            <w:tcW w:w="2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rPr>
              <w:t>Partners' equity, membership units authorized, issued and outstanding were</w:t>
            </w:r>
          </w:p>
        </w:tc>
        <w:tc>
          <w:tcPr>
            <w:tcW w:w="22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988,178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72,478,106 as of May 2, 2020</w:t>
            </w:r>
          </w:p>
        </w:tc>
        <w:tc>
          <w:tcPr>
            <w:tcW w:w="22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00" w:type="dxa"/>
            <w:vAlign w:val="bottom"/>
          </w:tcPr>
          <w:p>
            <w:pPr>
              <w:ind w:left="240"/>
              <w:spacing w:after="0" w:line="162" w:lineRule="exact"/>
              <w:rPr>
                <w:sz w:val="20"/>
                <w:szCs w:val="20"/>
                <w:color w:val="auto"/>
              </w:rPr>
            </w:pPr>
            <w:r>
              <w:rPr>
                <w:rFonts w:ascii="Arial" w:cs="Arial" w:eastAsia="Arial" w:hAnsi="Arial"/>
                <w:sz w:val="17"/>
                <w:szCs w:val="17"/>
                <w:color w:val="auto"/>
                <w:w w:val="97"/>
              </w:rPr>
              <w:t>Common stock, $0.01 par value, authorized 300,000,000 shares; 93,887,109 and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tcPr>
          <w:p>
            <w:pPr>
              <w:ind w:left="240"/>
              <w:spacing w:after="0" w:line="162" w:lineRule="exact"/>
              <w:rPr>
                <w:sz w:val="20"/>
                <w:szCs w:val="20"/>
                <w:color w:val="auto"/>
              </w:rPr>
            </w:pPr>
            <w:r>
              <w:rPr>
                <w:rFonts w:ascii="Arial" w:cs="Arial" w:eastAsia="Arial" w:hAnsi="Arial"/>
                <w:sz w:val="17"/>
                <w:szCs w:val="17"/>
                <w:color w:val="auto"/>
              </w:rPr>
              <w:t>91,114,475 issued and outstanding as of May 1, 2021 and January 30, 2021</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911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Arial" w:cs="Arial" w:eastAsia="Arial" w:hAnsi="Arial"/>
                <w:sz w:val="17"/>
                <w:szCs w:val="17"/>
                <w:color w:val="auto"/>
              </w:rPr>
              <w:t>respectively.</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150,370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1,164,964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987,168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(2,398)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(10,607)</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460"/>
              <w:spacing w:after="0"/>
              <w:rPr>
                <w:sz w:val="20"/>
                <w:szCs w:val="20"/>
                <w:color w:val="auto"/>
              </w:rPr>
            </w:pPr>
            <w:r>
              <w:rPr>
                <w:rFonts w:ascii="Arial" w:cs="Arial" w:eastAsia="Arial" w:hAnsi="Arial"/>
                <w:sz w:val="17"/>
                <w:szCs w:val="17"/>
                <w:b w:val="1"/>
                <w:bCs w:val="1"/>
                <w:color w:val="auto"/>
              </w:rPr>
              <w:t>Stockholders' / partners' equity</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1,313,875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1,111,983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977,571</w:t>
            </w:r>
          </w:p>
        </w:tc>
        <w:tc>
          <w:tcPr>
            <w:tcW w:w="0" w:type="dxa"/>
            <w:vAlign w:val="bottom"/>
          </w:tcPr>
          <w:p>
            <w:pPr>
              <w:spacing w:after="0"/>
              <w:rPr>
                <w:sz w:val="1"/>
                <w:szCs w:val="1"/>
                <w:color w:val="auto"/>
              </w:rPr>
            </w:pPr>
          </w:p>
        </w:tc>
      </w:tr>
      <w:tr>
        <w:trPr>
          <w:trHeight w:val="235"/>
        </w:trPr>
        <w:tc>
          <w:tcPr>
            <w:tcW w:w="6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 and stockholders' / partners' equity</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4,657,310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4,384,482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4,772,325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w:t>
      </w:r>
    </w:p>
    <w:p>
      <w:pPr>
        <w:jc w:val="center"/>
        <w:ind w:right="-1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1,580,333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1,136,301</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1,016,632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838,356</w:t>
            </w:r>
          </w:p>
        </w:tc>
      </w:tr>
      <w:tr>
        <w:trPr>
          <w:trHeight w:val="223"/>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297,945</w:t>
            </w:r>
          </w:p>
        </w:tc>
      </w:tr>
      <w:tr>
        <w:trPr>
          <w:trHeight w:val="270"/>
        </w:trPr>
        <w:tc>
          <w:tcPr>
            <w:tcW w:w="7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324,627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283,923</w:t>
            </w:r>
          </w:p>
        </w:tc>
      </w:tr>
      <w:tr>
        <w:trPr>
          <w:trHeight w:val="223"/>
        </w:trPr>
        <w:tc>
          <w:tcPr>
            <w:tcW w:w="76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239,074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14,022</w:t>
            </w:r>
          </w:p>
        </w:tc>
      </w:tr>
      <w:tr>
        <w:trPr>
          <w:trHeight w:val="270"/>
        </w:trPr>
        <w:tc>
          <w:tcPr>
            <w:tcW w:w="7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14,549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24,522</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23"/>
        </w:trPr>
        <w:tc>
          <w:tcPr>
            <w:tcW w:w="764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224,922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(9,507)</w:t>
            </w:r>
          </w:p>
        </w:tc>
      </w:tr>
      <w:tr>
        <w:trPr>
          <w:trHeight w:val="270"/>
        </w:trPr>
        <w:tc>
          <w:tcPr>
            <w:tcW w:w="7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76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72,474</w:t>
            </w:r>
          </w:p>
        </w:tc>
      </w:tr>
      <w:tr>
        <w:trPr>
          <w:trHeight w:val="304"/>
        </w:trPr>
        <w:tc>
          <w:tcPr>
            <w:tcW w:w="7640" w:type="dxa"/>
            <w:vAlign w:val="bottom"/>
          </w:tcPr>
          <w:p>
            <w:pPr>
              <w:ind w:left="46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96,472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72,474</w:t>
            </w:r>
          </w:p>
        </w:tc>
      </w:tr>
    </w:tbl>
    <w:p>
      <w:pPr>
        <w:spacing w:after="0" w:line="14" w:lineRule="exact"/>
        <w:rPr>
          <w:sz w:val="20"/>
          <w:szCs w:val="20"/>
          <w:color w:val="auto"/>
        </w:rPr>
      </w:pPr>
    </w:p>
    <w:p>
      <w:pPr>
        <w:ind w:left="460" w:hanging="128"/>
        <w:spacing w:after="0"/>
        <w:tabs>
          <w:tab w:leader="none" w:pos="46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 2020</w:t>
            </w:r>
          </w:p>
        </w:tc>
      </w:tr>
      <w:tr>
        <w:trPr>
          <w:trHeight w:val="209"/>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177,796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(10,020)</w:t>
            </w:r>
          </w:p>
        </w:tc>
      </w:tr>
      <w:tr>
        <w:trPr>
          <w:trHeight w:val="229"/>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interest rate swaps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r>
      <w:tr>
        <w:trPr>
          <w:trHeight w:val="229"/>
        </w:trPr>
        <w:tc>
          <w:tcPr>
            <w:tcW w:w="7640" w:type="dxa"/>
            <w:vAlign w:val="bottom"/>
          </w:tcPr>
          <w:p>
            <w:pPr>
              <w:ind w:left="240"/>
              <w:spacing w:after="0"/>
              <w:rPr>
                <w:sz w:val="20"/>
                <w:szCs w:val="20"/>
                <w:color w:val="auto"/>
              </w:rPr>
            </w:pPr>
            <w:r>
              <w:rPr>
                <w:rFonts w:ascii="Arial" w:cs="Arial" w:eastAsia="Arial" w:hAnsi="Arial"/>
                <w:sz w:val="18"/>
                <w:szCs w:val="18"/>
                <w:color w:val="auto"/>
              </w:rPr>
              <w:t>Recognized interest expense on interest rate swaps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30"/>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(12,561)</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PARTNERS' /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7"/>
            <w:vMerge w:val="restart"/>
          </w:tcPr>
          <w:p>
            <w:pPr>
              <w:jc w:val="right"/>
              <w:ind w:right="320"/>
              <w:spacing w:after="0"/>
              <w:rPr>
                <w:sz w:val="20"/>
                <w:szCs w:val="20"/>
                <w:color w:val="auto"/>
              </w:rPr>
            </w:pPr>
            <w:r>
              <w:rPr>
                <w:rFonts w:ascii="Arial" w:cs="Arial" w:eastAsia="Arial" w:hAnsi="Arial"/>
                <w:sz w:val="14"/>
                <w:szCs w:val="14"/>
                <w:b w:val="1"/>
                <w:bCs w:val="1"/>
                <w:color w:val="auto"/>
              </w:rPr>
              <w:t>Redeemable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22"/>
            <w:vMerge w:val="restart"/>
          </w:tcPr>
          <w:p>
            <w:pPr>
              <w:ind w:left="460"/>
              <w:spacing w:after="0"/>
              <w:rPr>
                <w:sz w:val="20"/>
                <w:szCs w:val="20"/>
                <w:color w:val="auto"/>
              </w:rPr>
            </w:pPr>
            <w:r>
              <w:rPr>
                <w:rFonts w:ascii="Arial" w:cs="Arial" w:eastAsia="Arial" w:hAnsi="Arial"/>
                <w:sz w:val="14"/>
                <w:szCs w:val="14"/>
                <w:b w:val="1"/>
                <w:bCs w:val="1"/>
                <w:color w:val="auto"/>
                <w:w w:val="95"/>
              </w:rPr>
              <w:t>Partners' Equity / Stockholders' Equity</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Membership Units</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2"/>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1"/>
                <w:szCs w:val="11"/>
                <w:color w:val="auto"/>
              </w:rPr>
            </w:pPr>
          </w:p>
        </w:tc>
        <w:tc>
          <w:tcPr>
            <w:tcW w:w="100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8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Partners' /</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8"/>
            <w:vMerge w:val="restart"/>
          </w:tcPr>
          <w:p>
            <w:pPr>
              <w:jc w:val="right"/>
              <w:ind w:right="240"/>
              <w:spacing w:after="0"/>
              <w:rPr>
                <w:sz w:val="20"/>
                <w:szCs w:val="20"/>
                <w:color w:val="auto"/>
              </w:rPr>
            </w:pPr>
            <w:r>
              <w:rPr>
                <w:rFonts w:ascii="Arial" w:cs="Arial" w:eastAsia="Arial" w:hAnsi="Arial"/>
                <w:sz w:val="14"/>
                <w:szCs w:val="14"/>
                <w:b w:val="1"/>
                <w:bCs w:val="1"/>
                <w:color w:val="auto"/>
                <w:w w:val="95"/>
              </w:rPr>
              <w:t>Partners' Equity</w:t>
            </w:r>
          </w:p>
        </w:tc>
        <w:tc>
          <w:tcPr>
            <w:tcW w:w="80" w:type="dxa"/>
            <w:vAlign w:val="bottom"/>
          </w:tcPr>
          <w:p>
            <w:pPr>
              <w:spacing w:after="0"/>
              <w:rPr>
                <w:sz w:val="11"/>
                <w:szCs w:val="11"/>
                <w:color w:val="auto"/>
              </w:rPr>
            </w:pPr>
          </w:p>
        </w:tc>
        <w:tc>
          <w:tcPr>
            <w:tcW w:w="124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1"/>
                <w:szCs w:val="11"/>
                <w:color w:val="auto"/>
              </w:rPr>
            </w:pPr>
          </w:p>
        </w:tc>
        <w:tc>
          <w:tcPr>
            <w:tcW w:w="800" w:type="dxa"/>
            <w:vAlign w:val="bottom"/>
            <w:gridSpan w:val="6"/>
            <w:vMerge w:val="continue"/>
          </w:tcPr>
          <w:p>
            <w:pPr>
              <w:spacing w:after="0"/>
              <w:rPr>
                <w:sz w:val="11"/>
                <w:szCs w:val="11"/>
                <w:color w:val="auto"/>
              </w:rPr>
            </w:pPr>
          </w:p>
        </w:tc>
        <w:tc>
          <w:tcPr>
            <w:tcW w:w="108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6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8"/>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8"/>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6"/>
                <w:szCs w:val="16"/>
                <w:color w:val="auto"/>
              </w:rPr>
            </w:pPr>
          </w:p>
        </w:tc>
        <w:tc>
          <w:tcPr>
            <w:tcW w:w="8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6"/>
                <w:szCs w:val="16"/>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Units</w:t>
            </w:r>
          </w:p>
        </w:tc>
        <w:tc>
          <w:tcPr>
            <w:tcW w:w="20" w:type="dxa"/>
            <w:vAlign w:val="bottom"/>
          </w:tcPr>
          <w:p>
            <w:pPr>
              <w:spacing w:after="0"/>
              <w:rPr>
                <w:sz w:val="15"/>
                <w:szCs w:val="15"/>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1"/>
              </w:rPr>
              <w:t>Units</w:t>
            </w: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 Shares</w:t>
            </w:r>
          </w:p>
        </w:tc>
        <w:tc>
          <w:tcPr>
            <w:tcW w:w="0" w:type="dxa"/>
            <w:vAlign w:val="bottom"/>
          </w:tcPr>
          <w:p>
            <w:pPr>
              <w:spacing w:after="0"/>
              <w:rPr>
                <w:sz w:val="1"/>
                <w:szCs w:val="1"/>
                <w:color w:val="auto"/>
              </w:rPr>
            </w:pPr>
          </w:p>
        </w:tc>
      </w:tr>
      <w:tr>
        <w:trPr>
          <w:trHeight w:val="184"/>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30, 2021</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b w:val="1"/>
                <w:bCs w:val="1"/>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91,114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127,228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987,168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1,111,983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91,114</w:t>
            </w:r>
          </w:p>
        </w:tc>
        <w:tc>
          <w:tcPr>
            <w:tcW w:w="0" w:type="dxa"/>
            <w:vAlign w:val="bottom"/>
          </w:tcPr>
          <w:p>
            <w:pPr>
              <w:spacing w:after="0"/>
              <w:rPr>
                <w:sz w:val="1"/>
                <w:szCs w:val="1"/>
                <w:color w:val="auto"/>
              </w:rPr>
            </w:pPr>
          </w:p>
        </w:tc>
      </w:tr>
      <w:tr>
        <w:trPr>
          <w:trHeight w:val="179"/>
        </w:trPr>
        <w:tc>
          <w:tcPr>
            <w:tcW w:w="26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177,796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177,796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5,874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00" w:type="dxa"/>
            <w:vAlign w:val="bottom"/>
          </w:tcPr>
          <w:p>
            <w:pPr>
              <w:ind w:left="240"/>
              <w:spacing w:after="0" w:line="135" w:lineRule="exact"/>
              <w:rPr>
                <w:sz w:val="20"/>
                <w:szCs w:val="20"/>
                <w:color w:val="auto"/>
              </w:rPr>
            </w:pPr>
            <w:r>
              <w:rPr>
                <w:rFonts w:ascii="Arial" w:cs="Arial" w:eastAsia="Arial" w:hAnsi="Arial"/>
                <w:sz w:val="14"/>
                <w:szCs w:val="14"/>
                <w:color w:val="auto"/>
              </w:rPr>
              <w:t>Settlement of vested Restricted Stock</w:t>
            </w:r>
          </w:p>
        </w:tc>
        <w:tc>
          <w:tcPr>
            <w:tcW w:w="100" w:type="dxa"/>
            <w:vAlign w:val="bottom"/>
          </w:tcPr>
          <w:p>
            <w:pPr>
              <w:spacing w:after="0"/>
              <w:rPr>
                <w:sz w:val="11"/>
                <w:szCs w:val="11"/>
                <w:color w:val="auto"/>
              </w:rPr>
            </w:pPr>
          </w:p>
        </w:tc>
        <w:tc>
          <w:tcPr>
            <w:tcW w:w="52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vMerge w:val="restart"/>
          </w:tcPr>
          <w:p>
            <w:pPr>
              <w:ind w:left="20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2600" w:type="dxa"/>
            <w:vAlign w:val="bottom"/>
          </w:tcPr>
          <w:p>
            <w:pPr>
              <w:ind w:left="240"/>
              <w:spacing w:after="0"/>
              <w:rPr>
                <w:sz w:val="20"/>
                <w:szCs w:val="20"/>
                <w:color w:val="auto"/>
              </w:rPr>
            </w:pPr>
            <w:r>
              <w:rPr>
                <w:rFonts w:ascii="Arial" w:cs="Arial" w:eastAsia="Arial" w:hAnsi="Arial"/>
                <w:sz w:val="14"/>
                <w:szCs w:val="14"/>
                <w:color w:val="auto"/>
              </w:rPr>
              <w:t>Units</w:t>
            </w: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Share-Based Award Payments</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 for forfeitures</w:t>
            </w: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100" w:type="dxa"/>
            <w:vAlign w:val="bottom"/>
          </w:tcPr>
          <w:p>
            <w:pPr>
              <w:spacing w:after="0"/>
              <w:rPr>
                <w:sz w:val="16"/>
                <w:szCs w:val="16"/>
                <w:color w:val="auto"/>
              </w:rPr>
            </w:pP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2,686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17,230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17,257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Recognized interest expense on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interest rate swaps (net of tax impact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 $270)</w:t>
            </w: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Balances as of May 1, 2021</w:t>
            </w: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93,887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939</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150,370</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$ 1,164,964</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(2,398)</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1,313,875</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93,887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Membership</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7"/>
            <w:vMerge w:val="restart"/>
          </w:tcPr>
          <w:p>
            <w:pPr>
              <w:ind w:left="240"/>
              <w:spacing w:after="0"/>
              <w:rPr>
                <w:sz w:val="20"/>
                <w:szCs w:val="20"/>
                <w:color w:val="auto"/>
              </w:rPr>
            </w:pPr>
            <w:r>
              <w:rPr>
                <w:rFonts w:ascii="Arial" w:cs="Arial" w:eastAsia="Arial" w:hAnsi="Arial"/>
                <w:sz w:val="14"/>
                <w:szCs w:val="14"/>
                <w:b w:val="1"/>
                <w:bCs w:val="1"/>
                <w:color w:val="auto"/>
              </w:rPr>
              <w:t>Redeemable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gridSpan w:val="21"/>
            <w:vMerge w:val="restart"/>
          </w:tcPr>
          <w:p>
            <w:pPr>
              <w:jc w:val="center"/>
              <w:spacing w:after="0"/>
              <w:rPr>
                <w:sz w:val="20"/>
                <w:szCs w:val="20"/>
                <w:color w:val="auto"/>
              </w:rPr>
            </w:pPr>
            <w:r>
              <w:rPr>
                <w:rFonts w:ascii="Arial" w:cs="Arial" w:eastAsia="Arial" w:hAnsi="Arial"/>
                <w:sz w:val="14"/>
                <w:szCs w:val="14"/>
                <w:b w:val="1"/>
                <w:bCs w:val="1"/>
                <w:color w:val="auto"/>
                <w:w w:val="94"/>
              </w:rPr>
              <w:t>Partners' Equity / Stockholders' Equity</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5"/>
              </w:rPr>
              <w:t>Membership Units</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1"/>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57"/>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6"/>
            <w:vMerge w:val="restart"/>
          </w:tcPr>
          <w:p>
            <w:pPr>
              <w:jc w:val="center"/>
              <w:ind w:right="108"/>
              <w:spacing w:after="0"/>
              <w:rPr>
                <w:sz w:val="20"/>
                <w:szCs w:val="20"/>
                <w:color w:val="auto"/>
              </w:rPr>
            </w:pPr>
            <w:r>
              <w:rPr>
                <w:rFonts w:ascii="Arial" w:cs="Arial" w:eastAsia="Arial" w:hAnsi="Arial"/>
                <w:sz w:val="14"/>
                <w:szCs w:val="14"/>
                <w:b w:val="1"/>
                <w:bCs w:val="1"/>
                <w:color w:val="auto"/>
                <w:w w:val="96"/>
              </w:rPr>
              <w:t>Additional</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140"/>
              <w:spacing w:after="0" w:line="157"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880" w:type="dxa"/>
            <w:vAlign w:val="bottom"/>
            <w:gridSpan w:val="4"/>
          </w:tcPr>
          <w:p>
            <w:pPr>
              <w:jc w:val="center"/>
              <w:ind w:right="200"/>
              <w:spacing w:after="0" w:line="157" w:lineRule="exact"/>
              <w:rPr>
                <w:sz w:val="20"/>
                <w:szCs w:val="20"/>
                <w:color w:val="auto"/>
              </w:rPr>
            </w:pPr>
            <w:r>
              <w:rPr>
                <w:rFonts w:ascii="Arial" w:cs="Arial" w:eastAsia="Arial" w:hAnsi="Arial"/>
                <w:sz w:val="14"/>
                <w:szCs w:val="14"/>
                <w:b w:val="1"/>
                <w:bCs w:val="1"/>
                <w:color w:val="auto"/>
                <w:w w:val="95"/>
              </w:rPr>
              <w:t>Total</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6"/>
            <w:vMerge w:val="continue"/>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88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Partners' /</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8"/>
            <w:vMerge w:val="restart"/>
          </w:tcPr>
          <w:p>
            <w:pPr>
              <w:jc w:val="right"/>
              <w:ind w:right="120"/>
              <w:spacing w:after="0"/>
              <w:rPr>
                <w:sz w:val="20"/>
                <w:szCs w:val="20"/>
                <w:color w:val="auto"/>
              </w:rPr>
            </w:pPr>
            <w:r>
              <w:rPr>
                <w:rFonts w:ascii="Arial" w:cs="Arial" w:eastAsia="Arial" w:hAnsi="Arial"/>
                <w:sz w:val="14"/>
                <w:szCs w:val="14"/>
                <w:b w:val="1"/>
                <w:bCs w:val="1"/>
                <w:color w:val="auto"/>
              </w:rPr>
              <w:t>Partners' Equity</w:t>
            </w:r>
          </w:p>
        </w:tc>
        <w:tc>
          <w:tcPr>
            <w:tcW w:w="80" w:type="dxa"/>
            <w:vAlign w:val="bottom"/>
          </w:tcPr>
          <w:p>
            <w:pPr>
              <w:spacing w:after="0"/>
              <w:rPr>
                <w:sz w:val="11"/>
                <w:szCs w:val="11"/>
                <w:color w:val="auto"/>
              </w:rPr>
            </w:pPr>
          </w:p>
        </w:tc>
        <w:tc>
          <w:tcPr>
            <w:tcW w:w="124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5"/>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bottom w:val="single" w:sz="8" w:color="auto"/>
            </w:tcBorders>
            <w:gridSpan w:val="8"/>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gridSpan w:val="8"/>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9"/>
              </w:rPr>
              <w:t xml:space="preserve">Units </w:t>
            </w:r>
            <w:r>
              <w:rPr>
                <w:rFonts w:ascii="Arial" w:cs="Arial" w:eastAsia="Arial" w:hAnsi="Arial"/>
                <w:sz w:val="18"/>
                <w:szCs w:val="18"/>
                <w:b w:val="1"/>
                <w:bCs w:val="1"/>
                <w:color w:val="auto"/>
                <w:w w:val="89"/>
                <w:vertAlign w:val="superscript"/>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 xml:space="preserve">Units </w:t>
            </w:r>
            <w:r>
              <w:rPr>
                <w:rFonts w:ascii="Arial" w:cs="Arial" w:eastAsia="Arial" w:hAnsi="Arial"/>
                <w:sz w:val="18"/>
                <w:szCs w:val="18"/>
                <w:b w:val="1"/>
                <w:bCs w:val="1"/>
                <w:color w:val="auto"/>
                <w:w w:val="89"/>
                <w:vertAlign w:val="superscript"/>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24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w w:val="92"/>
              </w:rPr>
              <w:t xml:space="preserve">Shares </w:t>
            </w:r>
            <w:r>
              <w:rPr>
                <w:rFonts w:ascii="Arial" w:cs="Arial" w:eastAsia="Arial" w:hAnsi="Arial"/>
                <w:sz w:val="18"/>
                <w:szCs w:val="18"/>
                <w:b w:val="1"/>
                <w:bCs w:val="1"/>
                <w:color w:val="auto"/>
                <w:w w:val="92"/>
                <w:vertAlign w:val="superscript"/>
              </w:rPr>
              <w:t>(1)</w:t>
            </w:r>
            <w:r>
              <w:rPr>
                <w:rFonts w:ascii="Arial" w:cs="Arial" w:eastAsia="Arial" w:hAnsi="Arial"/>
                <w:sz w:val="14"/>
                <w:szCs w:val="14"/>
                <w:b w:val="1"/>
                <w:bCs w:val="1"/>
                <w:color w:val="auto"/>
                <w:w w:val="92"/>
              </w:rPr>
              <w:t xml:space="preserve">   Amount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0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1"/>
                <w:szCs w:val="11"/>
                <w:color w:val="auto"/>
              </w:rPr>
            </w:pPr>
          </w:p>
        </w:tc>
        <w:tc>
          <w:tcPr>
            <w:tcW w:w="8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Units / Shares</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8"/>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183"/>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February 1, 2020</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162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2,818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72,306</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996,285</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w w:val="99"/>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w w:val="99"/>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(8,066)</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988,219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72,468</w:t>
            </w:r>
          </w:p>
        </w:tc>
        <w:tc>
          <w:tcPr>
            <w:tcW w:w="0" w:type="dxa"/>
            <w:vAlign w:val="bottom"/>
          </w:tcPr>
          <w:p>
            <w:pPr>
              <w:spacing w:after="0"/>
              <w:rPr>
                <w:sz w:val="1"/>
                <w:szCs w:val="1"/>
                <w:color w:val="auto"/>
              </w:rPr>
            </w:pPr>
          </w:p>
        </w:tc>
      </w:tr>
      <w:tr>
        <w:trPr>
          <w:trHeight w:val="179"/>
        </w:trPr>
        <w:tc>
          <w:tcPr>
            <w:tcW w:w="26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w w:val="95"/>
              </w:rPr>
              <w:t>(10,020)</w:t>
            </w:r>
          </w:p>
        </w:tc>
        <w:tc>
          <w:tcPr>
            <w:tcW w:w="80" w:type="dxa"/>
            <w:vAlign w:val="bottom"/>
          </w:tcPr>
          <w:p>
            <w:pPr>
              <w:spacing w:after="0"/>
              <w:rPr>
                <w:sz w:val="15"/>
                <w:szCs w:val="15"/>
                <w:color w:val="auto"/>
              </w:rPr>
            </w:pPr>
          </w:p>
        </w:tc>
        <w:tc>
          <w:tcPr>
            <w:tcW w:w="560" w:type="dxa"/>
            <w:vAlign w:val="bottom"/>
            <w:gridSpan w:val="2"/>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00" w:type="dxa"/>
            <w:vAlign w:val="bottom"/>
          </w:tcPr>
          <w:p>
            <w:pPr>
              <w:ind w:left="240"/>
              <w:spacing w:after="0" w:line="135" w:lineRule="exact"/>
              <w:rPr>
                <w:sz w:val="20"/>
                <w:szCs w:val="20"/>
                <w:color w:val="auto"/>
              </w:rPr>
            </w:pPr>
            <w:r>
              <w:rPr>
                <w:rFonts w:ascii="Arial" w:cs="Arial" w:eastAsia="Arial" w:hAnsi="Arial"/>
                <w:sz w:val="14"/>
                <w:szCs w:val="14"/>
                <w:color w:val="auto"/>
                <w:w w:val="93"/>
              </w:rPr>
              <w:t>Adjustment to Redeemable Membership</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40"/>
              <w:spacing w:after="0" w:line="135" w:lineRule="exact"/>
              <w:rPr>
                <w:sz w:val="20"/>
                <w:szCs w:val="20"/>
                <w:color w:val="auto"/>
              </w:rPr>
            </w:pPr>
            <w:r>
              <w:rPr>
                <w:rFonts w:ascii="Arial" w:cs="Arial" w:eastAsia="Arial" w:hAnsi="Arial"/>
                <w:sz w:val="14"/>
                <w:szCs w:val="14"/>
                <w:color w:val="auto"/>
                <w:w w:val="94"/>
              </w:rPr>
              <w:t>Units for settlement of vested Restricted</w:t>
            </w: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vMerge w:val="restart"/>
          </w:tcPr>
          <w:p>
            <w:pPr>
              <w:ind w:left="200"/>
              <w:spacing w:after="0"/>
              <w:rPr>
                <w:sz w:val="20"/>
                <w:szCs w:val="20"/>
                <w:color w:val="auto"/>
              </w:rPr>
            </w:pPr>
            <w:r>
              <w:rPr>
                <w:rFonts w:ascii="Arial" w:cs="Arial" w:eastAsia="Arial" w:hAnsi="Arial"/>
                <w:sz w:val="14"/>
                <w:szCs w:val="14"/>
                <w:color w:val="auto"/>
                <w:w w:val="97"/>
              </w:rPr>
              <w:t>(200)</w:t>
            </w:r>
          </w:p>
        </w:tc>
        <w:tc>
          <w:tcPr>
            <w:tcW w:w="80" w:type="dxa"/>
            <w:vAlign w:val="bottom"/>
          </w:tcPr>
          <w:p>
            <w:pPr>
              <w:spacing w:after="0"/>
              <w:rPr>
                <w:sz w:val="11"/>
                <w:szCs w:val="11"/>
                <w:color w:val="auto"/>
              </w:rPr>
            </w:pPr>
          </w:p>
        </w:tc>
        <w:tc>
          <w:tcPr>
            <w:tcW w:w="560" w:type="dxa"/>
            <w:vAlign w:val="bottom"/>
            <w:gridSpan w:val="2"/>
            <w:vMerge w:val="restart"/>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3"/>
            <w:vMerge w:val="restart"/>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2600" w:type="dxa"/>
            <w:vAlign w:val="bottom"/>
          </w:tcPr>
          <w:p>
            <w:pPr>
              <w:ind w:left="240"/>
              <w:spacing w:after="0"/>
              <w:rPr>
                <w:sz w:val="20"/>
                <w:szCs w:val="20"/>
                <w:color w:val="auto"/>
              </w:rPr>
            </w:pPr>
            <w:r>
              <w:rPr>
                <w:rFonts w:ascii="Arial" w:cs="Arial" w:eastAsia="Arial" w:hAnsi="Arial"/>
                <w:sz w:val="14"/>
                <w:szCs w:val="14"/>
                <w:color w:val="auto"/>
              </w:rPr>
              <w:t>Units</w:t>
            </w:r>
          </w:p>
        </w:tc>
        <w:tc>
          <w:tcPr>
            <w:tcW w:w="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3"/>
              </w:rPr>
              <w:t>Adjustment to Redeemable Membership</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Units for repurchase of units from</w:t>
            </w:r>
          </w:p>
        </w:tc>
        <w:tc>
          <w:tcPr>
            <w:tcW w:w="6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62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Managers</w:t>
            </w:r>
          </w:p>
        </w:tc>
        <w:tc>
          <w:tcPr>
            <w:tcW w:w="6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40"/>
              <w:spacing w:after="0" w:line="135" w:lineRule="exact"/>
              <w:rPr>
                <w:sz w:val="20"/>
                <w:szCs w:val="20"/>
                <w:color w:val="auto"/>
              </w:rPr>
            </w:pPr>
            <w:r>
              <w:rPr>
                <w:rFonts w:ascii="Arial" w:cs="Arial" w:eastAsia="Arial" w:hAnsi="Arial"/>
                <w:sz w:val="14"/>
                <w:szCs w:val="14"/>
                <w:color w:val="auto"/>
                <w:w w:val="91"/>
              </w:rPr>
              <w:t>Repurchase of Redeemable Membership</w:t>
            </w:r>
          </w:p>
        </w:tc>
        <w:tc>
          <w:tcPr>
            <w:tcW w:w="100" w:type="dxa"/>
            <w:vAlign w:val="bottom"/>
          </w:tcPr>
          <w:p>
            <w:pPr>
              <w:spacing w:after="0"/>
              <w:rPr>
                <w:sz w:val="11"/>
                <w:szCs w:val="1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1"/>
                <w:szCs w:val="11"/>
                <w:color w:val="auto"/>
              </w:rPr>
            </w:pPr>
          </w:p>
        </w:tc>
        <w:tc>
          <w:tcPr>
            <w:tcW w:w="560" w:type="dxa"/>
            <w:vAlign w:val="bottom"/>
            <w:gridSpan w:val="2"/>
            <w:vMerge w:val="restart"/>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3"/>
            <w:vMerge w:val="restart"/>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600" w:type="dxa"/>
            <w:vAlign w:val="bottom"/>
          </w:tcPr>
          <w:p>
            <w:pPr>
              <w:ind w:left="240"/>
              <w:spacing w:after="0"/>
              <w:rPr>
                <w:sz w:val="20"/>
                <w:szCs w:val="20"/>
                <w:color w:val="auto"/>
              </w:rPr>
            </w:pPr>
            <w:r>
              <w:rPr>
                <w:rFonts w:ascii="Arial" w:cs="Arial" w:eastAsia="Arial" w:hAnsi="Arial"/>
                <w:sz w:val="14"/>
                <w:szCs w:val="14"/>
                <w:color w:val="auto"/>
              </w:rPr>
              <w:t>Units</w:t>
            </w: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Unrealized loss on interest rate swaps</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00" w:type="dxa"/>
            <w:vAlign w:val="bottom"/>
          </w:tcPr>
          <w:p>
            <w:pPr>
              <w:ind w:left="240"/>
              <w:spacing w:after="0" w:line="135" w:lineRule="exact"/>
              <w:rPr>
                <w:sz w:val="20"/>
                <w:szCs w:val="20"/>
                <w:color w:val="auto"/>
              </w:rPr>
            </w:pPr>
            <w:r>
              <w:rPr>
                <w:rFonts w:ascii="Arial" w:cs="Arial" w:eastAsia="Arial" w:hAnsi="Arial"/>
                <w:sz w:val="14"/>
                <w:szCs w:val="14"/>
                <w:color w:val="auto"/>
                <w:w w:val="93"/>
              </w:rPr>
              <w:t>Recognized interest expense on interest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60" w:type="dxa"/>
            <w:vAlign w:val="bottom"/>
            <w:gridSpan w:val="2"/>
            <w:vMerge w:val="restart"/>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3"/>
            <w:vMerge w:val="restart"/>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600" w:type="dxa"/>
            <w:vAlign w:val="bottom"/>
          </w:tcPr>
          <w:p>
            <w:pPr>
              <w:ind w:left="240"/>
              <w:spacing w:after="0"/>
              <w:rPr>
                <w:sz w:val="20"/>
                <w:szCs w:val="20"/>
                <w:color w:val="auto"/>
              </w:rPr>
            </w:pPr>
            <w:r>
              <w:rPr>
                <w:rFonts w:ascii="Arial" w:cs="Arial" w:eastAsia="Arial" w:hAnsi="Arial"/>
                <w:sz w:val="14"/>
                <w:szCs w:val="14"/>
                <w:color w:val="auto"/>
              </w:rPr>
              <w:t>rate swaps</w:t>
            </w: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May 2, 2020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2,977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72,306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0"/>
              </w:rPr>
              <w:t>988,178</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977,571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Condensed 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1, 2021</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 2020</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177,796</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(10,020)</w:t>
            </w:r>
          </w:p>
        </w:tc>
      </w:tr>
      <w:tr>
        <w:trPr>
          <w:trHeight w:val="229"/>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25,298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27,447</w:t>
            </w:r>
          </w:p>
        </w:tc>
      </w:tr>
      <w:tr>
        <w:trPr>
          <w:trHeight w:val="229"/>
        </w:trPr>
        <w:tc>
          <w:tcPr>
            <w:tcW w:w="7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lease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w:t>
            </w:r>
          </w:p>
        </w:tc>
      </w:tr>
      <w:tr>
        <w:trPr>
          <w:trHeight w:val="230"/>
        </w:trPr>
        <w:tc>
          <w:tcPr>
            <w:tcW w:w="7440" w:type="dxa"/>
            <w:vAlign w:val="bottom"/>
          </w:tcPr>
          <w:p>
            <w:pPr>
              <w:ind w:left="460"/>
              <w:spacing w:after="0"/>
              <w:rPr>
                <w:sz w:val="20"/>
                <w:szCs w:val="20"/>
                <w:color w:val="auto"/>
              </w:rPr>
            </w:pPr>
            <w:r>
              <w:rPr>
                <w:rFonts w:ascii="Arial" w:cs="Arial" w:eastAsia="Arial" w:hAnsi="Arial"/>
                <w:sz w:val="18"/>
                <w:szCs w:val="18"/>
                <w:color w:val="auto"/>
              </w:rPr>
              <w:t>Equity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5,874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29"/>
        </w:trPr>
        <w:tc>
          <w:tcPr>
            <w:tcW w:w="7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terminated interest rate swaps, deferred loan and other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744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25,064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440" w:type="dxa"/>
            <w:vAlign w:val="bottom"/>
          </w:tcPr>
          <w:p>
            <w:pPr>
              <w:ind w:left="6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6,474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4,229</w:t>
            </w:r>
          </w:p>
        </w:tc>
      </w:tr>
      <w:tr>
        <w:trPr>
          <w:trHeight w:val="229"/>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inventories,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87,069</w:t>
            </w:r>
          </w:p>
        </w:tc>
      </w:tr>
      <w:tr>
        <w:trPr>
          <w:trHeight w:val="230"/>
        </w:trPr>
        <w:tc>
          <w:tcPr>
            <w:tcW w:w="744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44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77,326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(12,149)</w:t>
            </w:r>
          </w:p>
        </w:tc>
      </w:tr>
      <w:tr>
        <w:trPr>
          <w:trHeight w:val="229"/>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(26,428)</w:t>
            </w:r>
          </w:p>
        </w:tc>
      </w:tr>
      <w:tr>
        <w:trPr>
          <w:trHeight w:val="229"/>
        </w:trPr>
        <w:tc>
          <w:tcPr>
            <w:tcW w:w="7440" w:type="dxa"/>
            <w:vAlign w:val="bottom"/>
          </w:tcPr>
          <w:p>
            <w:pPr>
              <w:ind w:left="6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21,357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r>
      <w:tr>
        <w:trPr>
          <w:trHeight w:val="262"/>
        </w:trPr>
        <w:tc>
          <w:tcPr>
            <w:tcW w:w="74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219,228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90,756</w:t>
            </w:r>
          </w:p>
        </w:tc>
      </w:tr>
      <w:tr>
        <w:trPr>
          <w:trHeight w:val="230"/>
        </w:trPr>
        <w:tc>
          <w:tcPr>
            <w:tcW w:w="7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r>
      <w:tr>
        <w:trPr>
          <w:trHeight w:val="262"/>
        </w:trPr>
        <w:tc>
          <w:tcPr>
            <w:tcW w:w="74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(9,926)</w:t>
            </w:r>
          </w:p>
        </w:tc>
      </w:tr>
      <w:tr>
        <w:trPr>
          <w:trHeight w:val="230"/>
        </w:trPr>
        <w:tc>
          <w:tcPr>
            <w:tcW w:w="7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ABL Facility</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Repayment of Term Loan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(4,563)</w:t>
            </w:r>
          </w:p>
        </w:tc>
      </w:tr>
      <w:tr>
        <w:trPr>
          <w:trHeight w:val="229"/>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Award Payments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17,257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Redeemable Membership Units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2"/>
        </w:trPr>
        <w:tc>
          <w:tcPr>
            <w:tcW w:w="74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13,264</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495,400</w:t>
            </w:r>
          </w:p>
        </w:tc>
      </w:tr>
      <w:tr>
        <w:trPr>
          <w:trHeight w:val="229"/>
        </w:trPr>
        <w:tc>
          <w:tcPr>
            <w:tcW w:w="7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215,684</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576,230</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377,604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149,385</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593,288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725,615</w:t>
            </w: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4"/>
        </w:trPr>
        <w:tc>
          <w:tcPr>
            <w:tcW w:w="7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6,253</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28,258</w:t>
            </w: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Non-cash issuance of common shares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capital expenditures in accounts payable and accrued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r>
      <w:tr>
        <w:trPr>
          <w:trHeight w:val="234"/>
        </w:trPr>
        <w:tc>
          <w:tcPr>
            <w:tcW w:w="7440" w:type="dxa"/>
            <w:vAlign w:val="bottom"/>
          </w:tcPr>
          <w:p>
            <w:pPr>
              <w:ind w:left="240"/>
              <w:spacing w:after="0"/>
              <w:rPr>
                <w:sz w:val="20"/>
                <w:szCs w:val="20"/>
                <w:color w:val="auto"/>
              </w:rPr>
            </w:pPr>
            <w:r>
              <w:rPr>
                <w:rFonts w:ascii="Arial" w:cs="Arial" w:eastAsia="Arial" w:hAnsi="Arial"/>
                <w:sz w:val="18"/>
                <w:szCs w:val="18"/>
                <w:color w:val="auto"/>
              </w:rPr>
              <w:t>Right-of-use assets obtained in exchange for new operating leases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5,939</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2,330</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810" w:right="459" w:bottom="1440" w:gutter="0" w:footer="0" w:header="0"/>
        </w:sectPr>
      </w:pPr>
    </w:p>
    <w:bookmarkStart w:id="7" w:name="page8"/>
    <w:bookmarkEnd w:id="7"/>
    <w:p>
      <w:pPr>
        <w:jc w:val="center"/>
        <w:ind w:right="80"/>
        <w:spacing w:after="0" w:line="275" w:lineRule="auto"/>
        <w:rPr>
          <w:sz w:val="20"/>
          <w:szCs w:val="20"/>
          <w:color w:val="auto"/>
        </w:rPr>
      </w:pPr>
      <w:r>
        <w:rPr>
          <w:rFonts w:ascii="Arial" w:cs="Arial" w:eastAsia="Arial" w:hAnsi="Arial"/>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left="260" w:firstLine="324"/>
        <w:spacing w:after="0" w:line="290" w:lineRule="auto"/>
        <w:rPr>
          <w:sz w:val="20"/>
          <w:szCs w:val="20"/>
          <w:color w:val="auto"/>
        </w:rPr>
      </w:pPr>
      <w:r>
        <w:rPr>
          <w:rFonts w:ascii="Arial" w:cs="Arial" w:eastAsia="Arial" w:hAnsi="Arial"/>
          <w:sz w:val="16"/>
          <w:szCs w:val="16"/>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On October 6, 2020, we completed an initial public offering and as of May 1, 2021, KKR had a 44.6% ownership interest in the Company (see Note 14).</w:t>
      </w:r>
    </w:p>
    <w:p>
      <w:pPr>
        <w:spacing w:after="0" w:line="111" w:lineRule="exact"/>
        <w:rPr>
          <w:sz w:val="20"/>
          <w:szCs w:val="20"/>
          <w:color w:val="auto"/>
        </w:rPr>
      </w:pPr>
    </w:p>
    <w:p>
      <w:pPr>
        <w:jc w:val="both"/>
        <w:ind w:left="260" w:right="20" w:firstLine="324"/>
        <w:spacing w:after="0" w:line="259" w:lineRule="auto"/>
        <w:rPr>
          <w:sz w:val="20"/>
          <w:szCs w:val="20"/>
          <w:color w:val="auto"/>
        </w:rPr>
      </w:pPr>
      <w:r>
        <w:rPr>
          <w:rFonts w:ascii="Arial" w:cs="Arial" w:eastAsia="Arial" w:hAnsi="Arial"/>
          <w:sz w:val="18"/>
          <w:szCs w:val="18"/>
          <w:color w:val="auto"/>
        </w:rPr>
        <w:t xml:space="preserve">The Company is one of the leading full-line sporting goods and outdoor recreational products retailers in the United States in terms of net sales. As of May 1, 2021, we operated 259 "Academy Sports + Outdoors" retail locations in 16 states and three distribution centers located in Katy, Texas, Twiggs County, Georgia and Cookeville, Tennessee. We also sell merchandise to customers across most of the United States via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71"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On October 6, 2020, ASO, Inc. completed an initial public offering (the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83" w:lineRule="exact"/>
        <w:rPr>
          <w:sz w:val="20"/>
          <w:szCs w:val="20"/>
          <w:color w:val="auto"/>
        </w:rPr>
      </w:pPr>
    </w:p>
    <w:p>
      <w:pPr>
        <w:ind w:left="1220" w:hanging="320"/>
        <w:spacing w:after="0" w:line="277" w:lineRule="auto"/>
        <w:tabs>
          <w:tab w:leader="none" w:pos="1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8" w:lineRule="exact"/>
        <w:rPr>
          <w:rFonts w:ascii="Arial" w:cs="Arial" w:eastAsia="Arial" w:hAnsi="Arial"/>
          <w:sz w:val="18"/>
          <w:szCs w:val="18"/>
          <w:color w:val="auto"/>
        </w:rPr>
      </w:pPr>
    </w:p>
    <w:p>
      <w:pPr>
        <w:ind w:left="1220" w:right="20" w:hanging="320"/>
        <w:spacing w:after="0" w:line="277" w:lineRule="auto"/>
        <w:tabs>
          <w:tab w:leader="none" w:pos="1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71"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On November 3, 2020, ASO, Inc.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"IPO Over-Allotment Exercise"). The option expired with respect to the remaining shares.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71" w:lineRule="exact"/>
        <w:rPr>
          <w:sz w:val="20"/>
          <w:szCs w:val="20"/>
          <w:color w:val="auto"/>
        </w:rPr>
      </w:pPr>
    </w:p>
    <w:p>
      <w:pPr>
        <w:jc w:val="both"/>
        <w:ind w:left="260" w:firstLine="324"/>
        <w:spacing w:after="0" w:line="289" w:lineRule="auto"/>
        <w:rPr>
          <w:sz w:val="20"/>
          <w:szCs w:val="20"/>
          <w:color w:val="auto"/>
        </w:rPr>
      </w:pPr>
      <w:r>
        <w:rPr>
          <w:rFonts w:ascii="Arial" w:cs="Arial" w:eastAsia="Arial" w:hAnsi="Arial"/>
          <w:sz w:val="16"/>
          <w:szCs w:val="16"/>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$20.69375 per share. The Company did not receive any proceeds from the Secondary Offering.</w:t>
      </w:r>
    </w:p>
    <w:p>
      <w:pPr>
        <w:spacing w:after="0" w:line="112"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On May 10, 2021, ASO, Inc. completed a subsequent secondary offering and concurrent share repurchase of shares of its Common Stock (see Note 14).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69" w:lineRule="auto"/>
        <w:rPr>
          <w:sz w:val="20"/>
          <w:szCs w:val="20"/>
          <w:color w:val="auto"/>
        </w:rPr>
      </w:pPr>
      <w:r>
        <w:rPr>
          <w:rFonts w:ascii="Arial" w:cs="Arial" w:eastAsia="Arial" w:hAnsi="Arial"/>
          <w:sz w:val="17"/>
          <w:szCs w:val="17"/>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30, 2021, as filed with the Securities and Exchange Commission on April 7, 2021 (the "Annual Report"). The information furnished herein reflects all normal recurring adjustments which are, in the opinion of management, necessary for a fair presentation of the results for the interim periods presented. The results of operations for the thirteen weeks ended May 1, 2021 are not necessarily indicative of the results that will be realized for the fiscal year ending January 29, 2022 or any other period. The balance sheet as of January 30, 2021 has been derived from our audited financial statements as of that date. For further information, refer to our audited financial statements and notes thereto included in the Annual Report.</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left="260" w:firstLine="324"/>
        <w:spacing w:after="0" w:line="279" w:lineRule="auto"/>
        <w:rPr>
          <w:sz w:val="20"/>
          <w:szCs w:val="20"/>
          <w:color w:val="auto"/>
        </w:rPr>
      </w:pPr>
      <w:r>
        <w:rPr>
          <w:rFonts w:ascii="Arial" w:cs="Arial" w:eastAsia="Arial" w:hAnsi="Arial"/>
          <w:sz w:val="17"/>
          <w:szCs w:val="17"/>
          <w:color w:val="auto"/>
        </w:rPr>
        <w:t>These unaudited condensed consolidated financial statements include the accounts of ASO, Inc. and, its subsidiaries,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 ASO Co-Invest Blocker Sub, L.P. and ASO Blocker Sub, L.P. were dissolved effective January 31, 2021.</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71" w:lineRule="exact"/>
        <w:rPr>
          <w:sz w:val="20"/>
          <w:szCs w:val="20"/>
          <w:color w:val="auto"/>
        </w:rPr>
      </w:pPr>
    </w:p>
    <w:p>
      <w:pPr>
        <w:jc w:val="both"/>
        <w:ind w:left="260"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remain more challenging, and actual results could differ materially from our estimates.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May 2, 2020 for comparability purposes. This reclassification is in divisional presentation only and did not impact the overall net sales balances previously disclosed.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Balance Sheets, Statements of Income, Statements of Partners’ / Stockholders’ Equity, Note 9. Equity and Share-Based Compensation, and Note 10. Earnings per Common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October 1, 2020, Allstar Managers LLC, a Delaware limited liability company ("Managers"), owned membership units in NAHC (each, a "NAHC Membership Unit"). Managers was dissolved and its assets were distributed to its members on December 23, 2020. Managers was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 (1) 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9). Each outstanding Redeemable Membership Unit in Managers corresponded to an outstanding NAHC Membership Unit, on a unit-for-unit basis.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 the number of shares of ASO, Inc. common stock held by Managers on a 1:1 basis.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NAHC was the sole managing member of Managers with a controlling voting interest, but no economic interest, in Managers. As the sole managing member of Managers, NAHC operated and controlled all business affairs of Managers.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and conditions of the agreements governing the Redeemable Membership Units included provisions by which the holder, or its heirs, had the right to require Managers or NAHC to purchase the holder's Redeemable Membership Units upon the holder’s termination of employment due to death or disability for cash at fair value. The carrying value of the Redeemable Membership Units was classified as temporary equity, initially at fair value, as redemption was an event that was not solely within our control. If redemption became probable, we were required to re-measure the Redeemable Membership Units to fair value. Periodically, these rights lapsed due to contractual expiration or a holder's termination of employment for reasons other than death or disability.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2019-12 Income Taxes (Topic 740)</w:t>
      </w:r>
    </w:p>
    <w:p>
      <w:pPr>
        <w:spacing w:after="0" w:line="252"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is effective for fiscal years and interim periods beginning after December 15, 2020. This update simplifies the accounting for income taxes by removing certain exceptions and amends existing guidance to improve consistent application. The Company adopted ASU 2019-12 on January 31, 2021 and it did not have a material impact on our financial position, results of operations or cash flows.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adoption of this guidance is effective for all entities as of March 12, 2020 through December 31, 2022. The Company is currently evaluating the expedients and exceptions provided by this amendment as it relates to our transition from LIBOR to another reference rate to determine the impact.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Sales</w:t>
      </w:r>
    </w:p>
    <w:p>
      <w:pPr>
        <w:spacing w:after="0" w:line="175"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6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1, 2021</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 2020</w:t>
            </w:r>
          </w:p>
        </w:tc>
      </w:tr>
      <w:tr>
        <w:trPr>
          <w:trHeight w:val="210"/>
        </w:trPr>
        <w:tc>
          <w:tcPr>
            <w:tcW w:w="694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Outdoors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485,661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428,744</w:t>
            </w: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Sports and recreation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294,887</w:t>
            </w: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Apparel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375,757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208,573</w:t>
            </w: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Footwear</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310,447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196,425</w:t>
            </w:r>
          </w:p>
        </w:tc>
      </w:tr>
      <w:tr>
        <w:trPr>
          <w:trHeight w:val="223"/>
        </w:trPr>
        <w:tc>
          <w:tcPr>
            <w:tcW w:w="6940" w:type="dxa"/>
            <w:vAlign w:val="bottom"/>
          </w:tcPr>
          <w:p>
            <w:pPr>
              <w:ind w:left="44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1,574,289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1,128,629</w:t>
            </w:r>
          </w:p>
        </w:tc>
      </w:tr>
      <w:tr>
        <w:trPr>
          <w:trHeight w:val="230"/>
        </w:trPr>
        <w:tc>
          <w:tcPr>
            <w:tcW w:w="6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23"/>
        </w:trPr>
        <w:tc>
          <w:tcPr>
            <w:tcW w:w="694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1,580,333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1,136,301</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420" w:hanging="168"/>
        <w:spacing w:after="0" w:line="238" w:lineRule="auto"/>
        <w:tabs>
          <w:tab w:leader="none" w:pos="46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weeks ended May 2, 2020 for comparability purposes. This reclassification is in divisional presentation only and did not impact the overall net sales balances previously disclosed (see Note 2).</w:t>
      </w:r>
    </w:p>
    <w:p>
      <w:pPr>
        <w:ind w:left="420" w:hanging="168"/>
        <w:spacing w:after="0" w:line="225" w:lineRule="auto"/>
        <w:tabs>
          <w:tab w:leader="none" w:pos="42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E-commerce sales consisted of 7.4% and 13.1% of merchandise sales for the thirteen weeks ended May 1, 2021 and May 2, 2020, respectively.</w:t>
      </w:r>
    </w:p>
    <w:p>
      <w:pPr>
        <w:spacing w:after="0" w:line="2" w:lineRule="exact"/>
        <w:rPr>
          <w:rFonts w:ascii="Arial" w:cs="Arial" w:eastAsia="Arial" w:hAnsi="Arial"/>
          <w:sz w:val="20"/>
          <w:szCs w:val="20"/>
          <w:color w:val="auto"/>
          <w:vertAlign w:val="superscript"/>
        </w:rPr>
      </w:pPr>
    </w:p>
    <w:p>
      <w:pPr>
        <w:ind w:left="420" w:hanging="168"/>
        <w:spacing w:after="0" w:line="219" w:lineRule="auto"/>
        <w:tabs>
          <w:tab w:leader="none" w:pos="456"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8" w:lineRule="exact"/>
        <w:rPr>
          <w:sz w:val="20"/>
          <w:szCs w:val="20"/>
          <w:color w:val="auto"/>
        </w:rPr>
      </w:pPr>
    </w:p>
    <w:p>
      <w:pPr>
        <w:jc w:val="both"/>
        <w:ind w:left="260" w:firstLine="324"/>
        <w:spacing w:after="0" w:line="342" w:lineRule="auto"/>
        <w:rPr>
          <w:sz w:val="20"/>
          <w:szCs w:val="20"/>
          <w:color w:val="auto"/>
        </w:rPr>
      </w:pPr>
      <w:r>
        <w:rPr>
          <w:rFonts w:ascii="Arial" w:cs="Arial" w:eastAsia="Arial" w:hAnsi="Arial"/>
          <w:sz w:val="16"/>
          <w:szCs w:val="16"/>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1" w:name="page12"/>
    <w:bookmarkEnd w:id="11"/>
    <w:p>
      <w:pPr>
        <w:ind w:left="5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May 1, 2021</w:t>
            </w:r>
          </w:p>
        </w:tc>
        <w:tc>
          <w:tcPr>
            <w:tcW w:w="26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2, 2020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beginning balance</w:t>
            </w:r>
          </w:p>
        </w:tc>
        <w:tc>
          <w:tcPr>
            <w:tcW w:w="2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67,993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Issued</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ind w:left="940"/>
              <w:spacing w:after="0"/>
              <w:rPr>
                <w:sz w:val="20"/>
                <w:szCs w:val="20"/>
                <w:color w:val="auto"/>
              </w:rPr>
            </w:pPr>
            <w:r>
              <w:rPr>
                <w:rFonts w:ascii="Arial" w:cs="Arial" w:eastAsia="Arial" w:hAnsi="Arial"/>
                <w:sz w:val="18"/>
                <w:szCs w:val="18"/>
                <w:color w:val="auto"/>
                <w:w w:val="94"/>
              </w:rPr>
              <w:t>11,606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Redeemed</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as breakage income</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ending balance</w:t>
            </w: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8"/>
              </w:rPr>
              <w:t>57,786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w w:val="91"/>
              </w:rPr>
              <w:t>Our debt consisted of the following (amounts in thousands) as of:</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16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30, 2021</w:t>
            </w:r>
          </w:p>
        </w:tc>
        <w:tc>
          <w:tcPr>
            <w:tcW w:w="26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 2020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Facility, due November 2025</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Term Loan, due November 2027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399,000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1,464,432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November 2027</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799,000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1,964,432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Less unamortized discount on Term Loan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ind w:left="940"/>
              <w:spacing w:after="0"/>
              <w:rPr>
                <w:sz w:val="20"/>
                <w:szCs w:val="20"/>
                <w:color w:val="auto"/>
              </w:rPr>
            </w:pPr>
            <w:r>
              <w:rPr>
                <w:rFonts w:ascii="Arial" w:cs="Arial" w:eastAsia="Arial" w:hAnsi="Arial"/>
                <w:sz w:val="18"/>
                <w:szCs w:val="18"/>
                <w:color w:val="auto"/>
                <w:w w:val="91"/>
              </w:rPr>
              <w:t>(2,321)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(3,354)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781,035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6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Deferred loan costs are related to the Term Loan and Notes.</w:t>
      </w:r>
    </w:p>
    <w:p>
      <w:pPr>
        <w:spacing w:after="0" w:line="119"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As of May 1, 2021, January 30, 2021 and May 2, 2020, the balance in deferred loan costs related to the ABL Facility (as defined below) was approximately $5.2 million, $5.5 million and $3.2 million, respectively, and was included in other noncurrent assets on our consolidated balance sheets. Total amortization of deferred loan costs was $0.7 million and $0.6 million for the thirteen weeks ended May 1, 2021 and May 2, 2020, respectively. Total expenses related to accretion of original issuance discount were $0.1 million and $0.3 million for the thirteen weeks ended May 1, 2021 and May 2, 2020, respectively. The expenses related to amortization of deferred loan costs and accretion of original issuance discount are included in interest expense, net on the consolidated statements of income (loss).</w:t>
      </w:r>
    </w:p>
    <w:p>
      <w:pPr>
        <w:spacing w:after="0" w:line="138" w:lineRule="exact"/>
        <w:rPr>
          <w:sz w:val="20"/>
          <w:szCs w:val="20"/>
          <w:color w:val="auto"/>
        </w:rPr>
      </w:pPr>
    </w:p>
    <w:p>
      <w:pPr>
        <w:jc w:val="both"/>
        <w:ind w:left="260" w:right="20" w:firstLine="324"/>
        <w:spacing w:after="0" w:line="311" w:lineRule="auto"/>
        <w:rPr>
          <w:sz w:val="20"/>
          <w:szCs w:val="20"/>
          <w:color w:val="auto"/>
        </w:rPr>
      </w:pPr>
      <w:r>
        <w:rPr>
          <w:rFonts w:ascii="Arial" w:cs="Arial" w:eastAsia="Arial" w:hAnsi="Arial"/>
          <w:sz w:val="16"/>
          <w:szCs w:val="16"/>
          <w:color w:val="auto"/>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the 2015 Term Loan and the 2020 Term Loan collectively as the "Term Loan".</w:t>
      </w:r>
    </w:p>
    <w:p>
      <w:pPr>
        <w:spacing w:after="0" w:line="171" w:lineRule="exact"/>
        <w:rPr>
          <w:sz w:val="20"/>
          <w:szCs w:val="20"/>
          <w:color w:val="auto"/>
        </w:rPr>
      </w:pPr>
    </w:p>
    <w:p>
      <w:pPr>
        <w:jc w:val="both"/>
        <w:ind w:left="260" w:firstLine="324"/>
        <w:spacing w:after="0" w:line="291" w:lineRule="auto"/>
        <w:rPr>
          <w:sz w:val="20"/>
          <w:szCs w:val="20"/>
          <w:color w:val="auto"/>
        </w:rPr>
      </w:pPr>
      <w:r>
        <w:rPr>
          <w:rFonts w:ascii="Arial" w:cs="Arial" w:eastAsia="Arial" w:hAnsi="Arial"/>
          <w:sz w:val="16"/>
          <w:szCs w:val="16"/>
          <w:color w:val="auto"/>
        </w:rPr>
        <w:t>On July 2, 2015, Academy, Ltd. entered into a seven-year $1.8 billion senior secured term loan facility (the "2015 Term Loan") with Morgan Stanley Senior Funding, Inc., as the administrative and collateral agent, and other lenders, and a five-year $650 million secured asset-based revolving credit facility (the "2015 ABL Facility") with JPMorgan Chase Bank, N.A., as administrative agent, and other lenders. Academy, Ltd. received proceeds from the 2015 Term Loan of $1.8 billion, which was net of discount of $9.1 million. The 2015 Term Loan bore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were required through June 30, 2022, with the balance due in full on the maturity date of July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2" w:name="page13"/>
    <w:bookmarkEnd w:id="12"/>
    <w:p>
      <w:pPr>
        <w:jc w:val="both"/>
        <w:ind w:firstLine="324"/>
        <w:spacing w:after="0" w:line="289" w:lineRule="auto"/>
        <w:rPr>
          <w:sz w:val="20"/>
          <w:szCs w:val="20"/>
          <w:color w:val="auto"/>
        </w:rPr>
      </w:pPr>
      <w:r>
        <w:rPr>
          <w:rFonts w:ascii="Arial" w:cs="Arial" w:eastAsia="Arial" w:hAnsi="Arial"/>
          <w:sz w:val="16"/>
          <w:szCs w:val="16"/>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bears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are required through September 30, 2027, with the balance due in full on the maturity date of November 6, 2027. As of May 1, 2021, the weighted average interest rate was 5.75%, with interest payable monthly. The terms and conditions of the 2020 Term Loan also require that the outstanding balance under the 2020 Term Loan is prepaid under certain circumstances. In connection with the 2020 Term Loan, the Company capitalized related professional fees of $5.8 million as deferred loan costs. As of May 1, 2021, no prepayment was due under the terms and conditions of the Term Loan.</w:t>
      </w:r>
    </w:p>
    <w:p>
      <w:pPr>
        <w:spacing w:after="0" w:line="193" w:lineRule="exact"/>
        <w:rPr>
          <w:sz w:val="20"/>
          <w:szCs w:val="20"/>
          <w:color w:val="auto"/>
        </w:rPr>
      </w:pPr>
    </w:p>
    <w:p>
      <w:pPr>
        <w:ind w:left="320" w:right="440"/>
        <w:spacing w:after="0" w:line="438" w:lineRule="auto"/>
        <w:rPr>
          <w:sz w:val="20"/>
          <w:szCs w:val="20"/>
          <w:color w:val="auto"/>
        </w:rPr>
      </w:pPr>
      <w:r>
        <w:rPr>
          <w:rFonts w:ascii="Arial" w:cs="Arial" w:eastAsia="Arial" w:hAnsi="Arial"/>
          <w:sz w:val="18"/>
          <w:szCs w:val="18"/>
          <w:color w:val="auto"/>
        </w:rPr>
        <w:t xml:space="preserve">On May 25, 2021, the Company refinanced its 2020 Term Loan and paid down approximately $99.0 million of the Term Loan (see Note 14). </w:t>
      </w:r>
      <w:r>
        <w:rPr>
          <w:rFonts w:ascii="Arial" w:cs="Arial" w:eastAsia="Arial" w:hAnsi="Arial"/>
          <w:sz w:val="18"/>
          <w:szCs w:val="18"/>
          <w:b w:val="1"/>
          <w:bCs w:val="1"/>
          <w:i w:val="1"/>
          <w:iCs w:val="1"/>
          <w:u w:val="single" w:color="auto"/>
          <w:color w:val="auto"/>
        </w:rPr>
        <w:t>Notes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will pay interest semi-annually in arrears in cash on May 15 and November 15 of each year at a rate of 6.00% per year, commencing on May 15, 2021. In connection with issuance of the Notes, the Company capitalized related professional fees of $5.2 million as deferred loan costs.</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ABL Facility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refer to the 2015 ABL Facility and the 2020 ABL Facility collectively as the "ABL Facility".</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 2015, Academy, Ltd. entered into a five-year $650 million secured asset-based revolving credit facility (the "2015 ABL Facility"). On May 22, 2018, the Company amended the agreement governing the 2015 ABL Facility to increase the commitment on the facility from $650 million to $1 billion. In connection with the amendment to the 2015 ABL Facility, the Company capitalized related professional fees of $2.8 million as deferred loan costs and wrote off $0.1 million in previously capitalized deferred loan costs. The 2015 ABL Facility was scheduled to mature on May 22, 2023, subject to a springing maturity clause which could have been triggered 91 days before the July 2, 2022 maturity of the 2015 Term Loan.</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6, 2020, Academy, Ltd., as borrower, and the Guarantors, as guarantors, amended the 2015 ABL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to November 6, 2025 (the "2020 ABL Facility"). In connection with the 2020 ABL Facility, the Company capitalized related professional fees of $3.1 million as deferred loan costs.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97" w:right="339" w:bottom="1440" w:gutter="0" w:footer="0" w:header="0"/>
        </w:sectPr>
      </w:pPr>
    </w:p>
    <w:bookmarkStart w:id="13" w:name="page14"/>
    <w:bookmarkEnd w:id="13"/>
    <w:p>
      <w:pPr>
        <w:jc w:val="both"/>
        <w:ind w:left="260" w:firstLine="324"/>
        <w:spacing w:after="0" w:line="275" w:lineRule="auto"/>
        <w:rPr>
          <w:sz w:val="20"/>
          <w:szCs w:val="20"/>
          <w:color w:val="auto"/>
        </w:rPr>
      </w:pPr>
      <w:r>
        <w:rPr>
          <w:rFonts w:ascii="Arial" w:cs="Arial" w:eastAsia="Arial" w:hAnsi="Arial"/>
          <w:sz w:val="17"/>
          <w:szCs w:val="17"/>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May 1, 2021, we had outstanding letters of credit of approximately $17.2 million, of which $13.6 million were issued under the ABL Facility, and we had no borrowings outstanding under the ABL Facility, leaving the available borrowing capacity under the ABL Facility of $819.4 million.</w:t>
      </w:r>
    </w:p>
    <w:p>
      <w:pPr>
        <w:spacing w:after="0" w:line="122" w:lineRule="exact"/>
        <w:rPr>
          <w:sz w:val="20"/>
          <w:szCs w:val="20"/>
          <w:color w:val="auto"/>
        </w:rPr>
      </w:pPr>
    </w:p>
    <w:p>
      <w:pPr>
        <w:jc w:val="both"/>
        <w:ind w:left="260" w:firstLine="324"/>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May 1, 2021, no future prepayments of outstanding loans have been triggered under the terms and conditions of the ABL Facility.</w:t>
      </w:r>
    </w:p>
    <w:p>
      <w:pPr>
        <w:spacing w:after="0" w:line="118"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7"/>
          <w:szCs w:val="17"/>
          <w:b w:val="1"/>
          <w:bCs w:val="1"/>
          <w:i w:val="1"/>
          <w:iCs w:val="1"/>
          <w:u w:val="single" w:color="auto"/>
          <w:color w:val="auto"/>
        </w:rPr>
        <w:t>Covenants</w:t>
      </w: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ABL Facility and Term Loan agreements and the Indenture contain covenants, including, among other things, covenants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May 1, 2021.</w:t>
      </w:r>
    </w:p>
    <w:p>
      <w:pPr>
        <w:spacing w:after="0" w:line="118"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b w:val="1"/>
          <w:bCs w:val="1"/>
          <w:i w:val="1"/>
          <w:iCs w:val="1"/>
          <w:u w:val="single" w:color="auto"/>
          <w:color w:val="auto"/>
        </w:rPr>
        <w:t>Capitalized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capitalized interest primarily related to construction of new stores and store renovations in the amount of $0.1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for the thirteen weeks ended May 1, 2021 and May 2, 2020, respectively.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historically used interest rate swap agreements to hedge market risk relating to possible adverse changes in interest rates.</w:t>
      </w:r>
    </w:p>
    <w:p>
      <w:pPr>
        <w:spacing w:after="0" w:line="171"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All interest rate swaps had been designated as cash flow hedges of variable rate interest payments on borrowings under the Term Loan. On January 19, 2021, we settled our three remaining outstanding interest rate swaps in full, which were scheduled to expire on various dates during 2021, for $4.1 million. As of May 1, 2021, we do not have any derivative financial instruments outstanding.</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of these interest rate swaps is as follows (amounts in thousands) as of:</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May 1, 2021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26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 2020</w:t>
            </w:r>
          </w:p>
        </w:tc>
        <w:tc>
          <w:tcPr>
            <w:tcW w:w="0" w:type="dxa"/>
            <w:vAlign w:val="bottom"/>
          </w:tcPr>
          <w:p>
            <w:pPr>
              <w:spacing w:after="0"/>
              <w:rPr>
                <w:sz w:val="1"/>
                <w:szCs w:val="1"/>
                <w:color w:val="auto"/>
              </w:rPr>
            </w:pPr>
          </w:p>
        </w:tc>
      </w:tr>
      <w:tr>
        <w:trPr>
          <w:trHeight w:val="190"/>
        </w:trPr>
        <w:tc>
          <w:tcPr>
            <w:tcW w:w="5100" w:type="dxa"/>
            <w:vAlign w:val="bottom"/>
            <w:tcBorders>
              <w:top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Derivatives designated as hedging instruments</w:t>
            </w:r>
          </w:p>
        </w:tc>
        <w:tc>
          <w:tcPr>
            <w:tcW w:w="14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5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included in other current assets</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Amounts included in other noncurrent assets</w:t>
            </w:r>
          </w:p>
        </w:tc>
        <w:tc>
          <w:tcPr>
            <w:tcW w:w="14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Amounts included in accrued expenses and other current</w:t>
            </w:r>
          </w:p>
        </w:tc>
        <w:tc>
          <w:tcPr>
            <w:tcW w:w="1420" w:type="dxa"/>
            <w:vAlign w:val="bottom"/>
          </w:tcPr>
          <w:p>
            <w:pPr>
              <w:spacing w:after="0"/>
              <w:rPr>
                <w:sz w:val="15"/>
                <w:szCs w:val="1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680" w:type="dxa"/>
            <w:vAlign w:val="bottom"/>
            <w:gridSpan w:val="2"/>
            <w:vMerge w:val="restart"/>
          </w:tcPr>
          <w:p>
            <w:pPr>
              <w:ind w:left="1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8,912</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liabilities</w:t>
            </w:r>
          </w:p>
        </w:tc>
        <w:tc>
          <w:tcPr>
            <w:tcW w:w="14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included in other long-term liabilities</w:t>
            </w:r>
          </w:p>
        </w:tc>
        <w:tc>
          <w:tcPr>
            <w:tcW w:w="1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155"/>
        </w:trPr>
        <w:tc>
          <w:tcPr>
            <w:tcW w:w="5100" w:type="dxa"/>
            <w:vAlign w:val="bottom"/>
            <w:gridSpan w:val="2"/>
          </w:tcPr>
          <w:p>
            <w:pPr>
              <w:ind w:left="440"/>
              <w:spacing w:after="0" w:line="156" w:lineRule="exact"/>
              <w:rPr>
                <w:sz w:val="20"/>
                <w:szCs w:val="20"/>
                <w:color w:val="auto"/>
              </w:rPr>
            </w:pPr>
            <w:r>
              <w:rPr>
                <w:rFonts w:ascii="Arial" w:cs="Arial" w:eastAsia="Arial" w:hAnsi="Arial"/>
                <w:sz w:val="18"/>
                <w:szCs w:val="18"/>
                <w:color w:val="auto"/>
              </w:rPr>
              <w:t>Total derivatives designated as hedging instruments net</w:t>
            </w:r>
          </w:p>
        </w:tc>
        <w:tc>
          <w:tcPr>
            <w:tcW w:w="142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vMerge w:val="restart"/>
          </w:tcPr>
          <w:p>
            <w:pPr>
              <w:ind w:left="13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03"/>
        </w:trPr>
        <w:tc>
          <w:tcPr>
            <w:tcW w:w="51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liability</w:t>
            </w:r>
          </w:p>
        </w:tc>
        <w:tc>
          <w:tcPr>
            <w:tcW w:w="142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right="20" w:firstLine="324"/>
        <w:spacing w:after="0" w:line="277" w:lineRule="auto"/>
        <w:rPr>
          <w:sz w:val="20"/>
          <w:szCs w:val="20"/>
          <w:color w:val="auto"/>
        </w:rPr>
      </w:pPr>
      <w:r>
        <w:rPr>
          <w:rFonts w:ascii="Arial" w:cs="Arial" w:eastAsia="Arial" w:hAnsi="Arial"/>
          <w:sz w:val="18"/>
          <w:szCs w:val="18"/>
          <w:color w:val="auto"/>
        </w:rPr>
        <w:t>For derivatives designated as hedging instruments, amounts included in AOCI are reclassified to interest expense in the same period during which the hedged transaction affects earnings, which is as interest expense is recorded on the underlying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4" w:name="page15"/>
    <w:bookmarkEnd w:id="14"/>
    <w:p>
      <w:pPr>
        <w:jc w:val="both"/>
        <w:ind w:left="260" w:right="20" w:firstLine="324"/>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expense as follows (amounts in thousands):</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1, 2021</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 2020</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beginning</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Loss deferred into AOCI</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176"/>
        </w:trPr>
        <w:tc>
          <w:tcPr>
            <w:tcW w:w="6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Increase to interest expense (net of tax impact of $270 in the thirteen weeks ended May 1,</w:t>
            </w:r>
          </w:p>
        </w:tc>
        <w:tc>
          <w:tcPr>
            <w:tcW w:w="2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Accumulated Other Comprehensive Loss, ending</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measurements are classified as either:</w:t>
      </w:r>
    </w:p>
    <w:p>
      <w:pPr>
        <w:spacing w:after="0" w:line="171" w:lineRule="exact"/>
        <w:rPr>
          <w:sz w:val="20"/>
          <w:szCs w:val="20"/>
          <w:color w:val="auto"/>
        </w:rPr>
      </w:pPr>
    </w:p>
    <w:p>
      <w:pPr>
        <w:ind w:left="900" w:hanging="324"/>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8" w:lineRule="exact"/>
        <w:rPr>
          <w:rFonts w:ascii="Arial" w:cs="Arial" w:eastAsia="Arial" w:hAnsi="Arial"/>
          <w:sz w:val="18"/>
          <w:szCs w:val="18"/>
          <w:color w:val="auto"/>
        </w:rPr>
      </w:pPr>
    </w:p>
    <w:p>
      <w:pPr>
        <w:jc w:val="both"/>
        <w:ind w:left="900" w:hanging="324"/>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21" w:lineRule="exact"/>
        <w:rPr>
          <w:rFonts w:ascii="Arial" w:cs="Arial" w:eastAsia="Arial" w:hAnsi="Arial"/>
          <w:sz w:val="18"/>
          <w:szCs w:val="18"/>
          <w:color w:val="auto"/>
        </w:rPr>
      </w:pPr>
    </w:p>
    <w:p>
      <w:pPr>
        <w:ind w:left="900" w:hanging="324"/>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16"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Fair Value Hierarchy</w:t>
            </w:r>
          </w:p>
        </w:tc>
        <w:tc>
          <w:tcPr>
            <w:tcW w:w="24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1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 2021</w:t>
            </w:r>
          </w:p>
        </w:tc>
        <w:tc>
          <w:tcPr>
            <w:tcW w:w="26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 2020</w:t>
            </w:r>
          </w:p>
        </w:tc>
      </w:tr>
      <w:tr>
        <w:trPr>
          <w:trHeight w:val="169"/>
        </w:trPr>
        <w:tc>
          <w:tcPr>
            <w:tcW w:w="298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Arial" w:cs="Arial" w:eastAsia="Arial" w:hAnsi="Arial"/>
                <w:sz w:val="18"/>
                <w:szCs w:val="18"/>
                <w:b w:val="1"/>
                <w:bCs w:val="1"/>
                <w:i w:val="1"/>
                <w:iCs w:val="1"/>
                <w:color w:val="auto"/>
              </w:rPr>
              <w:t>Assets</w:t>
            </w:r>
          </w:p>
        </w:tc>
        <w:tc>
          <w:tcPr>
            <w:tcW w:w="20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980" w:type="dxa"/>
            <w:vAlign w:val="bottom"/>
            <w:gridSpan w:val="3"/>
          </w:tcPr>
          <w:p>
            <w:pPr>
              <w:ind w:left="220"/>
              <w:spacing w:after="0"/>
              <w:rPr>
                <w:sz w:val="20"/>
                <w:szCs w:val="20"/>
                <w:color w:val="auto"/>
              </w:rPr>
            </w:pPr>
            <w:r>
              <w:rPr>
                <w:rFonts w:ascii="Arial" w:cs="Arial" w:eastAsia="Arial" w:hAnsi="Arial"/>
                <w:sz w:val="18"/>
                <w:szCs w:val="18"/>
                <w:color w:val="auto"/>
              </w:rPr>
              <w:t>Interest rate swap</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Level 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tcPr>
          <w:p>
            <w:pPr>
              <w:ind w:left="1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189"/>
        </w:trPr>
        <w:tc>
          <w:tcPr>
            <w:tcW w:w="2980" w:type="dxa"/>
            <w:vAlign w:val="bottom"/>
            <w:gridSpan w:val="3"/>
          </w:tcPr>
          <w:p>
            <w:pPr>
              <w:ind w:left="20"/>
              <w:spacing w:after="0" w:line="189" w:lineRule="exact"/>
              <w:rPr>
                <w:sz w:val="20"/>
                <w:szCs w:val="20"/>
                <w:color w:val="auto"/>
              </w:rPr>
            </w:pPr>
            <w:r>
              <w:rPr>
                <w:rFonts w:ascii="Arial" w:cs="Arial" w:eastAsia="Arial" w:hAnsi="Arial"/>
                <w:sz w:val="18"/>
                <w:szCs w:val="18"/>
                <w:b w:val="1"/>
                <w:bCs w:val="1"/>
                <w:i w:val="1"/>
                <w:iCs w:val="1"/>
                <w:color w:val="auto"/>
              </w:rPr>
              <w:t>Liabilities</w:t>
            </w: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rate swap</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Level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7" w:right="339" w:bottom="1440" w:gutter="0" w:footer="0" w:header="0"/>
        </w:sectPr>
      </w:pPr>
    </w:p>
    <w:bookmarkStart w:id="15" w:name="page16"/>
    <w:bookmarkEnd w:id="15"/>
    <w:p>
      <w:pPr>
        <w:jc w:val="both"/>
        <w:ind w:left="260" w:firstLine="324"/>
        <w:spacing w:after="0" w:line="267" w:lineRule="auto"/>
        <w:rPr>
          <w:sz w:val="20"/>
          <w:szCs w:val="20"/>
          <w:color w:val="auto"/>
        </w:rPr>
      </w:pPr>
      <w:r>
        <w:rPr>
          <w:rFonts w:ascii="Arial" w:cs="Arial" w:eastAsia="Arial" w:hAnsi="Arial"/>
          <w:sz w:val="17"/>
          <w:szCs w:val="17"/>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7"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As of May 1, 2021, January 30, 2021 and May 2, 2020, we held $476.0 million, $284.0 million and $662.0 million in money market funds, respectively.</w:t>
      </w:r>
    </w:p>
    <w:p>
      <w:pPr>
        <w:spacing w:after="0" w:line="130"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May 1, 2021, the estimated fair value of the Term Loan and Notes was $0.8 billion. As of January 30, 2021 and May 2, 2020, the estimated fair value of the Term Loan was $0.8 billion and $0.9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and equipment consists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 2021</w:t>
            </w:r>
          </w:p>
        </w:tc>
        <w:tc>
          <w:tcPr>
            <w:tcW w:w="2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443,513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438,287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433,981</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Equipment and software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565,873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561,333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539,357</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322,326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316,295</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23,926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20,062</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Total property and equipment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1,359,336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1,346,658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1,313,393</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(993,331)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(894,917)</w:t>
            </w: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366,005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378,260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418,476</w:t>
            </w:r>
          </w:p>
        </w:tc>
      </w:tr>
      <w:tr>
        <w:trPr>
          <w:trHeight w:val="21"/>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firstLine="324"/>
        <w:spacing w:after="0" w:line="277" w:lineRule="auto"/>
        <w:rPr>
          <w:sz w:val="20"/>
          <w:szCs w:val="20"/>
          <w:color w:val="auto"/>
        </w:rPr>
      </w:pPr>
      <w:r>
        <w:rPr>
          <w:rFonts w:ascii="Arial" w:cs="Arial" w:eastAsia="Arial" w:hAnsi="Arial"/>
          <w:sz w:val="18"/>
          <w:szCs w:val="18"/>
          <w:color w:val="auto"/>
        </w:rPr>
        <w:t>Depreciation expense was $25.3 million and $27.4 million in the thirteen weeks ended May 1, 2021 and May 2, 2020, respectively and is included in selling, general and administrative expenses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00" w:type="dxa"/>
            <w:vAlign w:val="bottom"/>
            <w:gridSpan w:val="7"/>
          </w:tcPr>
          <w:p>
            <w:pPr>
              <w:ind w:left="32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1, 2021</w:t>
            </w: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 2021</w:t>
            </w:r>
          </w:p>
        </w:tc>
        <w:tc>
          <w:tcPr>
            <w:tcW w:w="280" w:type="dxa"/>
            <w:vAlign w:val="bottom"/>
          </w:tcPr>
          <w:p>
            <w:pPr>
              <w:spacing w:after="0"/>
              <w:rPr>
                <w:sz w:val="24"/>
                <w:szCs w:val="24"/>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26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Accrued personnel costs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60,830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20,155</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Accrued sales and use tax</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29,493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21,514</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Deferred revenue - gift cards and other</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66,309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61,361</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8,912</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26,537</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Sales return allowance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6,100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4,300</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20,459</w:t>
            </w:r>
          </w:p>
        </w:tc>
      </w:tr>
      <w:tr>
        <w:trPr>
          <w:trHeight w:val="223"/>
        </w:trPr>
        <w:tc>
          <w:tcPr>
            <w:tcW w:w="26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287,592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187,736</w:t>
            </w:r>
          </w:p>
        </w:tc>
      </w:tr>
      <w:tr>
        <w:trPr>
          <w:trHeight w:val="21"/>
        </w:trPr>
        <w:tc>
          <w:tcPr>
            <w:tcW w:w="2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and Share-Based Compensation</w:t>
      </w:r>
    </w:p>
    <w:p>
      <w:pPr>
        <w:spacing w:after="0" w:line="175"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May 1, 2021, there were 3,707,752 shares that were authorized and available for grant under the 2020 Omnibus Incentive Plan.</w:t>
      </w:r>
    </w:p>
    <w:p>
      <w:pPr>
        <w:spacing w:after="0" w:line="134"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On September 29, 2020, the Academy Sports and Outdoors, Inc. Board of Directors adopted the 2020 Employee Stock Purchase Plan (the "ESPP"), which became effective on October 1, 2020 upon the effectiveness of the Registration Statement. As of May 1, 2021, we have reserved a total of 2,000,000 shares of common stock for issuance and no common shares were issued or outstanding pursuant to the ESPP. Our initial offering period related to the ESPP commenced during the thirteen weeks ended May 1, 2021.</w:t>
      </w:r>
    </w:p>
    <w:p>
      <w:pPr>
        <w:spacing w:after="0" w:line="133"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Equity compensation expense was $5.9 million and $2.1 million for the thirteen weeks ended May 1, 2021 and May 2, 2020, respectively and is included in selling, general and administrative expenses in the statements of income.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71"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0"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30"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34"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ectPr>
          <w:pgSz w:w="11900" w:h="16838" w:orient="portrait"/>
          <w:cols w:equalWidth="0" w:num="1">
            <w:col w:w="11160"/>
          </w:cols>
          <w:pgMar w:left="40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type w:val="continuous"/>
        </w:sectPr>
      </w:pPr>
    </w:p>
    <w:bookmarkStart w:id="17" w:name="page18"/>
    <w:bookmarkEnd w:id="17"/>
    <w:p>
      <w:pPr>
        <w:jc w:val="both"/>
        <w:ind w:firstLine="324"/>
        <w:spacing w:after="0" w:line="273" w:lineRule="auto"/>
        <w:rPr>
          <w:sz w:val="20"/>
          <w:szCs w:val="20"/>
          <w:color w:val="auto"/>
        </w:rPr>
      </w:pPr>
      <w:r>
        <w:rPr>
          <w:rFonts w:ascii="Arial" w:cs="Arial" w:eastAsia="Arial" w:hAnsi="Arial"/>
          <w:sz w:val="17"/>
          <w:szCs w:val="17"/>
          <w:color w:val="auto"/>
        </w:rPr>
        <w:t>Subsequent to May 1, 2021, the May 2021 Secondary Offering (as defined in Note 14) reduced KKR's ownership interest in the Company to 31.3% and resulted in a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cash payments for equity-based compensation distributions will be accelerated (see Note 14).</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ESPP</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 Holders of the outstanding granted equity Awards are entitled to receive value equal to $1.1257 per Award (or $3.5460 as converted using the Contribution Ratio), which was or will be made in the form of cash payments, additional Restricted Unit grants or Unit Option exercise price adjustments. Cash payments due for unvested Awards will be payable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111" w:lineRule="exact"/>
        <w:rPr>
          <w:sz w:val="20"/>
          <w:szCs w:val="20"/>
          <w:color w:val="auto"/>
        </w:rPr>
      </w:pPr>
    </w:p>
    <w:p>
      <w:pPr>
        <w:ind w:left="960" w:hanging="32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63" w:lineRule="exact"/>
        <w:rPr>
          <w:rFonts w:ascii="Arial" w:cs="Arial" w:eastAsia="Arial" w:hAnsi="Arial"/>
          <w:sz w:val="18"/>
          <w:szCs w:val="18"/>
          <w:color w:val="auto"/>
        </w:rPr>
      </w:pPr>
    </w:p>
    <w:p>
      <w:pPr>
        <w:jc w:val="both"/>
        <w:ind w:left="960" w:hanging="320"/>
        <w:spacing w:after="0" w:line="301" w:lineRule="auto"/>
        <w:tabs>
          <w:tab w:leader="none" w:pos="9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payments for vested Unit Options and vested Restricted Units ("Share-Based Award Payments") of $24.0 million were paid through May 1, 2021. Share-Based Award Payments payable as of May 1, 2021 for unvested awards is $8.2 million, which is reflected within accrued expenses and other current liabilities on the Company's consolidated balance sheets. The May 2021 Secondary Offering resulted in the acceleration of cash payments for equity-based compensation distributions of approximately $8.2 million (see Note 14).</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was or will be incurred.</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 Option Fair Value Assumptions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for Service Options granted was estimated using a Black-Scholes option-pricing model. The expected lives of the Service Options granted were based on the "SEC simplified" method and a mid-point assumption, respectively.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based on the expectation that no dividends will be paid. The assumptions used to calculate the fair value of Awards granted are evaluated and modified, as necessary, to reflect current market conditions and experience.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the assumptions and grant date fair values for Service Options granted in the thirteen weeks ended May 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84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840" w:type="dxa"/>
            <w:vAlign w:val="bottom"/>
          </w:tcPr>
          <w:p>
            <w:pPr>
              <w:jc w:val="right"/>
              <w:spacing w:after="0"/>
              <w:rPr>
                <w:sz w:val="20"/>
                <w:szCs w:val="20"/>
                <w:color w:val="auto"/>
              </w:rPr>
            </w:pPr>
            <w:r>
              <w:rPr>
                <w:rFonts w:ascii="Arial" w:cs="Arial" w:eastAsia="Arial" w:hAnsi="Arial"/>
                <w:sz w:val="18"/>
                <w:szCs w:val="18"/>
                <w:color w:val="auto"/>
              </w:rPr>
              <w:t>1.16% to 1.22%</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Award grants during the thirteen weeks ended May 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Service Options</w:t>
            </w:r>
          </w:p>
        </w:tc>
        <w:tc>
          <w:tcPr>
            <w:tcW w:w="1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Service Restricted</w:t>
            </w: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Performance Restricted</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19"/>
                <w:szCs w:val="19"/>
                <w:color w:val="auto"/>
              </w:rPr>
            </w:pPr>
          </w:p>
        </w:tc>
        <w:tc>
          <w:tcPr>
            <w:tcW w:w="2000" w:type="dxa"/>
            <w:vAlign w:val="bottom"/>
          </w:tcPr>
          <w:p>
            <w:pPr>
              <w:jc w:val="right"/>
              <w:ind w:right="770"/>
              <w:spacing w:after="0"/>
              <w:rPr>
                <w:sz w:val="20"/>
                <w:szCs w:val="20"/>
                <w:color w:val="auto"/>
              </w:rPr>
            </w:pPr>
            <w:r>
              <w:rPr>
                <w:rFonts w:ascii="Arial" w:cs="Arial" w:eastAsia="Arial" w:hAnsi="Arial"/>
                <w:sz w:val="18"/>
                <w:szCs w:val="18"/>
                <w:b w:val="1"/>
                <w:bCs w:val="1"/>
                <w:color w:val="auto"/>
              </w:rPr>
              <w:t>Units</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190,708</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Award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exercise price per Award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9" w:name="page20"/>
    <w:bookmarkEnd w:id="19"/>
    <w:p>
      <w:pPr>
        <w:ind w:left="580"/>
        <w:spacing w:after="0"/>
        <w:rPr>
          <w:sz w:val="20"/>
          <w:szCs w:val="20"/>
          <w:color w:val="auto"/>
        </w:rPr>
      </w:pPr>
      <w:r>
        <w:rPr>
          <w:rFonts w:ascii="Arial" w:cs="Arial" w:eastAsia="Arial" w:hAnsi="Arial"/>
          <w:sz w:val="18"/>
          <w:szCs w:val="18"/>
          <w:color w:val="auto"/>
        </w:rPr>
        <w:t>The following table presents the unrecognized compensation cost as of May 1, 2021:</w:t>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Service Options</w:t>
            </w:r>
          </w:p>
        </w:tc>
        <w:tc>
          <w:tcPr>
            <w:tcW w:w="100" w:type="dxa"/>
            <w:vAlign w:val="bottom"/>
          </w:tcPr>
          <w:p>
            <w:pPr>
              <w:spacing w:after="0"/>
              <w:rPr>
                <w:sz w:val="17"/>
                <w:szCs w:val="17"/>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Performance Unit</w:t>
            </w: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Service Restricted</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Liquidity Event</w:t>
            </w:r>
          </w:p>
        </w:tc>
        <w:tc>
          <w:tcPr>
            <w:tcW w:w="160" w:type="dxa"/>
            <w:vAlign w:val="bottom"/>
          </w:tcPr>
          <w:p>
            <w:pPr>
              <w:spacing w:after="0"/>
              <w:rPr>
                <w:sz w:val="17"/>
                <w:szCs w:val="17"/>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34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Units</w:t>
            </w:r>
          </w:p>
        </w:tc>
        <w:tc>
          <w:tcPr>
            <w:tcW w:w="14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Restricted Units</w:t>
            </w:r>
          </w:p>
        </w:tc>
        <w:tc>
          <w:tcPr>
            <w:tcW w:w="160" w:type="dxa"/>
            <w:vAlign w:val="bottom"/>
          </w:tcPr>
          <w:p>
            <w:pPr>
              <w:spacing w:after="0"/>
              <w:rPr>
                <w:sz w:val="19"/>
                <w:szCs w:val="19"/>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Restricted Units</w:t>
            </w:r>
          </w:p>
        </w:tc>
        <w:tc>
          <w:tcPr>
            <w:tcW w:w="0" w:type="dxa"/>
            <w:vAlign w:val="bottom"/>
          </w:tcPr>
          <w:p>
            <w:pPr>
              <w:spacing w:after="0"/>
              <w:rPr>
                <w:sz w:val="1"/>
                <w:szCs w:val="1"/>
                <w:color w:val="auto"/>
              </w:rPr>
            </w:pPr>
          </w:p>
        </w:tc>
      </w:tr>
      <w:tr>
        <w:trPr>
          <w:trHeight w:val="223"/>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24,583,043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4,170,078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11,069,761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5,003,780</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life</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remaining in years</w:t>
            </w:r>
          </w:p>
        </w:tc>
        <w:tc>
          <w:tcPr>
            <w:tcW w:w="14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8"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8"/>
          <w:szCs w:val="18"/>
          <w:color w:val="auto"/>
        </w:rPr>
        <w:t>Basic and diluted weighted average common shares outstanding and basic and diluted earnings per common share are calculated as follows (amounts in thousands except per share amounts):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1, 2021</w:t>
            </w:r>
          </w:p>
        </w:tc>
        <w:tc>
          <w:tcPr>
            <w:tcW w:w="26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2, 2020</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177,796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88"/>
        </w:trPr>
        <w:tc>
          <w:tcPr>
            <w:tcW w:w="6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Weighted average common shares outstanding - basic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72,474</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Dilutive effect of Service Restricted Units and Service Restricted Stock Units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Dilutive effect of Performance Restricted Stock Units and Liquidity Event Restricted Units</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Dilutive effect of Performance Unit Options and Performance Stock Options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Dilutive effect of ESPP shares</w:t>
            </w: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9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Weighted average common shares outstanding - diluted </w:t>
            </w:r>
            <w:r>
              <w:rPr>
                <w:rFonts w:ascii="Arial" w:cs="Arial" w:eastAsia="Arial" w:hAnsi="Arial"/>
                <w:sz w:val="23"/>
                <w:szCs w:val="23"/>
                <w:color w:val="auto"/>
                <w:vertAlign w:val="superscript"/>
              </w:rPr>
              <w:t>(1)</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 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Earnings per common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08"/>
        </w:trPr>
        <w:tc>
          <w:tcPr>
            <w:tcW w:w="6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Anti-dilutive stock-based awards excluded from diluted calculation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80" w:hanging="128"/>
        <w:spacing w:after="0"/>
        <w:tabs>
          <w:tab w:leader="none" w:pos="380"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left="260" w:firstLine="324"/>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completed on October 1, 2020,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 NAHC continued to operate as a tax partnership through January 30, 2021.</w:t>
      </w:r>
    </w:p>
    <w:p>
      <w:pPr>
        <w:spacing w:after="0" w:line="110"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Effective January 31, 2021, NAHC discontinued partnership treatment for tax purposes. As a result, our deferred tax liability was no longer measured by reference to membership units in NAHC and instead was measured by reference to the underlying assets and liabilities of our operations. No change in the total reported deferred tax liability occurred as a result of the change in tax structure.</w:t>
      </w:r>
    </w:p>
    <w:p>
      <w:pPr>
        <w:spacing w:after="0" w:line="76" w:lineRule="exact"/>
        <w:rPr>
          <w:sz w:val="20"/>
          <w:szCs w:val="20"/>
          <w:color w:val="auto"/>
        </w:rPr>
      </w:pPr>
    </w:p>
    <w:p>
      <w:pPr>
        <w:jc w:val="both"/>
        <w:ind w:left="260" w:right="20" w:firstLine="324"/>
        <w:spacing w:after="0" w:line="277" w:lineRule="auto"/>
        <w:rPr>
          <w:sz w:val="20"/>
          <w:szCs w:val="20"/>
          <w:color w:val="auto"/>
        </w:rPr>
      </w:pPr>
      <w:r>
        <w:rPr>
          <w:rFonts w:ascii="Arial" w:cs="Arial" w:eastAsia="Arial" w:hAnsi="Arial"/>
          <w:sz w:val="18"/>
          <w:szCs w:val="18"/>
          <w:color w:val="auto"/>
        </w:rPr>
        <w:t>The table below reflects the allocation of the deferred tax liability previously reflected for “Investment in NAHC” to the underlying assets and liabilities of the business based on the estimated fair value as of January 31, 2021 (amounts in thousands):</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Effect of Change</w:t>
            </w:r>
          </w:p>
        </w:tc>
        <w:tc>
          <w:tcPr>
            <w:tcW w:w="16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31, 2021</w:t>
            </w: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 and reserves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Equity compensation</w:t>
            </w:r>
          </w:p>
        </w:tc>
        <w:tc>
          <w:tcPr>
            <w:tcW w:w="160" w:type="dxa"/>
            <w:vAlign w:val="bottom"/>
          </w:tcPr>
          <w:p>
            <w:pPr>
              <w:spacing w:after="0"/>
              <w:rPr>
                <w:sz w:val="19"/>
                <w:szCs w:val="19"/>
                <w:color w:val="auto"/>
              </w:rPr>
            </w:pPr>
          </w:p>
        </w:tc>
        <w:tc>
          <w:tcPr>
            <w:tcW w:w="16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22,854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22,854</w:t>
            </w:r>
          </w:p>
        </w:tc>
      </w:tr>
      <w:tr>
        <w:trPr>
          <w:trHeight w:val="229"/>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60,888</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Investment in NAHC</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(138,358)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138,358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Prepaid items</w:t>
            </w:r>
          </w:p>
        </w:tc>
        <w:tc>
          <w:tcPr>
            <w:tcW w:w="160" w:type="dxa"/>
            <w:vAlign w:val="bottom"/>
          </w:tcPr>
          <w:p>
            <w:pPr>
              <w:spacing w:after="0"/>
              <w:rPr>
                <w:sz w:val="19"/>
                <w:szCs w:val="19"/>
                <w:color w:val="auto"/>
              </w:rPr>
            </w:pPr>
          </w:p>
        </w:tc>
        <w:tc>
          <w:tcPr>
            <w:tcW w:w="16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(4,124)</w:t>
            </w:r>
          </w:p>
        </w:tc>
      </w:tr>
      <w:tr>
        <w:trPr>
          <w:trHeight w:val="230"/>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6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(166,204)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(166,204)</w:t>
            </w:r>
          </w:p>
        </w:tc>
      </w:tr>
      <w:tr>
        <w:trPr>
          <w:trHeight w:val="230"/>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5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(138,703)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(60,888)</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(199,591)</w:t>
            </w:r>
          </w:p>
        </w:tc>
      </w:tr>
      <w:tr>
        <w:trPr>
          <w:trHeight w:val="248"/>
        </w:trPr>
        <w:tc>
          <w:tcPr>
            <w:tcW w:w="52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260" w:firstLine="324"/>
        <w:spacing w:after="0" w:line="301" w:lineRule="auto"/>
        <w:rPr>
          <w:sz w:val="20"/>
          <w:szCs w:val="20"/>
          <w:color w:val="auto"/>
        </w:rPr>
      </w:pPr>
      <w:r>
        <w:rPr>
          <w:rFonts w:ascii="Arial" w:cs="Arial" w:eastAsia="Arial" w:hAnsi="Arial"/>
          <w:sz w:val="16"/>
          <w:szCs w:val="16"/>
          <w:color w:val="auto"/>
        </w:rPr>
        <w:t>The Company determines its income tax expense by applying an estimated annual effective tax rate to its income before income taxes for the interim period. The current tax payable is based on the estimated federal and state income tax payments, while the remainder of income tax expense or benefit for the period is recorded to the net deferred tax asset or liability account. For the three months ended May 1, 2021, ASO, Inc. recorded $47.1 million of income tax expense, which included income taxes payable of $22.0 million and net deferred tax liabilities of $25.1 million.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21" w:name="page22"/>
    <w:bookmarkEnd w:id="21"/>
    <w:p>
      <w:pPr>
        <w:jc w:val="center"/>
        <w:ind w:right="8860"/>
        <w:spacing w:after="0"/>
        <w:rPr>
          <w:sz w:val="20"/>
          <w:szCs w:val="20"/>
          <w:color w:val="auto"/>
        </w:rPr>
      </w:pPr>
      <w:r>
        <w:rPr>
          <w:rFonts w:ascii="Arial" w:cs="Arial" w:eastAsia="Arial" w:hAnsi="Arial"/>
          <w:sz w:val="16"/>
          <w:szCs w:val="16"/>
          <w:b w:val="1"/>
          <w:bCs w:val="1"/>
          <w:color w:val="auto"/>
        </w:rPr>
        <w:t>12. Related 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Monitoring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w:t>
      </w:r>
    </w:p>
    <w:p>
      <w:pPr>
        <w:spacing w:after="0" w:line="46" w:lineRule="exact"/>
        <w:rPr>
          <w:sz w:val="20"/>
          <w:szCs w:val="20"/>
          <w:color w:val="auto"/>
        </w:rPr>
      </w:pPr>
    </w:p>
    <w:p>
      <w:pPr>
        <w:jc w:val="both"/>
        <w:ind w:left="340" w:hanging="8"/>
        <w:spacing w:after="0" w:line="268" w:lineRule="auto"/>
        <w:tabs>
          <w:tab w:leader="none" w:pos="5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 L.P. (the "Adviser") pursuant to which the Adviser provided advisory, consulting and financial services to us. In accordance with the terms of the Monitoring Agreement, we paid an aggregate annual advisory fee which increased by 5.0% annually on each anniversary of the Effective Date. The Adviser also charged us a customary fee for services rendered in connection with securing, structuring and negotiating equity and debt financings by us. Additionally, we were required to reimburse the Adviser for any out-of-pocket expenses in connection with these services. The Monitoring Agreement continued in effect from year-to-year, unless amended or terminated by the Adviser and us. Upon the completion of the IPO in the third quarter of 2020, the Monitoring Agreement terminated. We recognized advisory fees related to the Monitoring Agreement, including reimbursement of expenses, of approximately $0.9 million in the thirteen weeks ended May 2, 2020. These expenses are included in selling, general and administrative expenses in the statements of income.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52"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KKR has ownership interest in a broad range of portfolio companies and we may enter into commercial transactions for goods or services in the ordinary course of business with these companies. We do not believe such transactions are material to our business (see Note 14).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71" w:lineRule="exact"/>
        <w:rPr>
          <w:sz w:val="20"/>
          <w:szCs w:val="20"/>
          <w:color w:val="auto"/>
        </w:rPr>
      </w:pPr>
    </w:p>
    <w:p>
      <w:pPr>
        <w:jc w:val="both"/>
        <w:ind w:left="340" w:right="20" w:firstLine="324"/>
        <w:spacing w:after="0" w:line="286" w:lineRule="auto"/>
        <w:rPr>
          <w:sz w:val="20"/>
          <w:szCs w:val="20"/>
          <w:color w:val="auto"/>
        </w:rPr>
      </w:pPr>
      <w:r>
        <w:rPr>
          <w:rFonts w:ascii="Arial" w:cs="Arial" w:eastAsia="Arial" w:hAnsi="Arial"/>
          <w:sz w:val="17"/>
          <w:szCs w:val="17"/>
          <w:color w:val="auto"/>
        </w:rPr>
        <w:t>During the thirteen weeks ended May 2, 2020, Managers repurchased at fair market value approximately $37.0 thousand of Redeemable Membership Units from a director of the Company for cash. NAHC concurrently repurchased from Managers for cash, at fair market value, a number of NAHC membership units equal to the number of Redeemable Membership Units repurchased from the director and executive.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Note Receivable from Member and Distribution</w:t>
      </w:r>
    </w:p>
    <w:p>
      <w:pPr>
        <w:spacing w:after="0" w:line="17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Prior to October 1, 2020, under NAHC's LLC agreement, certain members could require the Company to provide a tax loan on their behalf under certain circumstances. On April 10, 2019, the Company loaned $4.0 million with a note receivable issued to a member. The note receivable bears semi-annual compounding interest at 2.5% with outstanding principal and interest due on April 10, 2022. This note receivable was recorded in other non-current assets on the balance sheet.</w:t>
      </w:r>
    </w:p>
    <w:p>
      <w:pPr>
        <w:spacing w:after="0" w:line="133"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The note receivable bears semi-annual compounding interest at 2.1%, with outstanding principal and interest due on April 5, 2021, and was recorded in prepaid expenses and other non-current assets on the balance sheet.</w:t>
      </w:r>
    </w:p>
    <w:p>
      <w:pPr>
        <w:spacing w:after="0" w:line="130"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9). Of the $257.0 million, $8.5 million was used to offset and satisfy the remaining balances of the notes receivable and related interest receivable from a member.</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Related Commitments and Other</w:t>
      </w:r>
    </w:p>
    <w:p>
      <w:pPr>
        <w:spacing w:after="0" w:line="17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As of May 1, 2021, we have obligations under technology related and other contractual commitments in the amount of $21.2 million. Of such commitments, approximately $9.4 million is payable in the next 12 months.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71"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171"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May 1, 2021, we have $9.6 million in related commitments through 2027, of which $5.5 million is payable in the next 12 months.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Our management evaluated events or transactions that occurred after May 1, 2021, through June 8, 2021, the issuance date of the financial statements, and identified the following matters to report: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May 2021 Secondary Offering and Stock Repurchase</w:t>
      </w:r>
    </w:p>
    <w:p>
      <w:pPr>
        <w:spacing w:after="0" w:line="171" w:lineRule="exact"/>
        <w:rPr>
          <w:sz w:val="20"/>
          <w:szCs w:val="20"/>
          <w:color w:val="auto"/>
        </w:rPr>
      </w:pPr>
    </w:p>
    <w:p>
      <w:pPr>
        <w:jc w:val="both"/>
        <w:ind w:left="340" w:firstLine="324"/>
        <w:spacing w:after="0" w:line="269" w:lineRule="auto"/>
        <w:rPr>
          <w:sz w:val="20"/>
          <w:szCs w:val="20"/>
          <w:color w:val="auto"/>
        </w:rPr>
      </w:pPr>
      <w:r>
        <w:rPr>
          <w:rFonts w:ascii="Arial" w:cs="Arial" w:eastAsia="Arial" w:hAnsi="Arial"/>
          <w:sz w:val="17"/>
          <w:szCs w:val="17"/>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Secondary Offering also included the Company's repurchase and simultaneous retirement of 3,229,974 shares out of the 14,000,000 shares.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was completed on May 10, 2021. The Company did not receive any proceeds from the May 2021 Secondary Offering.</w:t>
      </w:r>
    </w:p>
    <w:p>
      <w:pPr>
        <w:spacing w:after="0" w:line="131"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The May 2021 Secondary Offering reduced the KKR ownership interest in the Company to 31.3%, resulting in a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cash payments for equity-based compensation distributions will be accelerated. These expenses will be included in selling, general and administrative expenses in the statements of income.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3" w:name="page24"/>
    <w:bookmarkEnd w:id="23"/>
    <w:p>
      <w:pPr>
        <w:ind w:left="32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30, 2021 (the "Annual Report"), as filed with the Securities and Exchange Commission (the "SEC") on April 7, 2021, and in this Quarterly Report, as such risk factors may be updated from time to time in our periodic filings with the SEC, and are accessible on the SEC's website at www.sec.gov, and also include the following:</w:t>
      </w:r>
    </w:p>
    <w:p>
      <w:pPr>
        <w:spacing w:after="0" w:line="1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occurrence of severe weather events, catastrophic health events, natural or man-made disasters, social and political conditions or civil unrest;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5" w:name="page26"/>
    <w:bookmarkEnd w:id="25"/>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merchandise costs and availability;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the growth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substantial indebtedness;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 funds and other entities affiliated with Kohlberg Kravis Roberts &amp; Co. L.P. (collectively "KKR")) have the ability to exert substantial influence over us and their interests may conflict with ours or yours in the future.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references to "Academy," "Academy Sports + Outdoors," "we," "us," "our" or the "Company" in this Quarterly Report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of our operations,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weeks ended May 1, 2021 and our audited financial statements for the fiscal year ended January 30, 2021 and the section entitled "Management's Discussion and Analysis of Financial Condition and Results of Operations" included in the Annual Report.</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This discussion contains forward-looking statements that involve risks and uncertainties. See the section of this Quarterly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sections of the Annual Report and this Quarterly Report.</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Academy Sports and Outdoors, Inc. conducts its operations through its subsidiaries, including its indirect subsidiary, Academy, Ltd., an operating company which is doing business as "Academy Sports + Outdoors." Any reference in this Quarterly Report to "year" or any year in particular refers to our fiscal year, which represents the fifty-two or fifty-three week period ending on the Saturday closest to January 31. Any reference in this Quarterly Report to the "current quarter", "2021 first quarter" or similar reference refers to the thirteen week period ended May 1, 2021, and any reference in this Quarterly Report to the "prior year quarter", "2020 first quarter" or similar reference refers to the thirteen week period ended May 2, 2020. Unless otherwise specified, all comparisons regarding the current quarter 2021 are made to the corresponding quarter of 2020.</w:t>
      </w:r>
    </w:p>
    <w:p>
      <w:pPr>
        <w:spacing w:after="0" w:line="20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i w:val="1"/>
          <w:iCs w:val="1"/>
          <w:color w:val="auto"/>
        </w:rPr>
        <w:t>All statements in this Quarterly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one of the leading full-line sporting goods and outdoor recreation retailers in the United States.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May 1, 2021,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curbside pickup and ship-to-store programs, which we launched in 2020.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208"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95"/>
              </w:rPr>
              <w:t>May 1, 2021</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stores</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Q1 new stores</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1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Ending stores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3"/>
              </w:rPr>
              <w:t>259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4"/>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Relocated stores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All of our sales are generated within the United States, making our results of operations highly dependent on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the section of this Quarterly Report entitled "Impact of COVID-19 on Our Business."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 predict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Strategic Inventory Management. </w:t>
      </w:r>
      <w:r>
        <w:rPr>
          <w:rFonts w:ascii="Arial" w:cs="Arial" w:eastAsia="Arial" w:hAnsi="Arial"/>
          <w:sz w:val="17"/>
          <w:szCs w:val="17"/>
          <w:color w:val="auto"/>
        </w:rPr>
        <w:t>We must maintain sufficient inventory levels of merchandise that our customers desire to successfully operate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our average inventory turns from 2.96x to 4.08x in the twelve months ended May 2, 2020 and May 1, 2021, respectively.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2020 and through the 2021 first quarter, we experienced significant inventory reductions from high sell-through during the period. We expect to use cash to replenish such inventory throughout the rest of the current fiscal year, which we expect will impact our net cash provided by operating activities for the rest of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Value Strategy. </w:t>
      </w:r>
      <w:r>
        <w:rPr>
          <w:rFonts w:ascii="Arial" w:cs="Arial" w:eastAsia="Arial" w:hAnsi="Arial"/>
          <w:sz w:val="17"/>
          <w:szCs w:val="17"/>
          <w:color w:val="auto"/>
        </w:rPr>
        <w:t>We offer a broad assortment of products at competitive prices that offer extraordinary value. Our in-store experience includes 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E-commerce. </w:t>
      </w:r>
      <w:r>
        <w:rPr>
          <w:rFonts w:ascii="Arial" w:cs="Arial" w:eastAsia="Arial" w:hAnsi="Arial"/>
          <w:sz w:val="17"/>
          <w:szCs w:val="17"/>
          <w:color w:val="auto"/>
        </w:rPr>
        <w:t>We expect that the expansion and enhancement of our omnichannel capabilities will be a key driver of growth in our net sales and gross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margin. We continue to invest in initiatives that will increase traffic to our e-commerce website and drive increased online sales conversion. Our improved website also supports our stores with digital marketing and our buy-online-pickup-in-store ("BOPIS") and ship-to-store programs. Our website also allows us to reach customers outside of our current store footprint and introduces new customers to the Academy brand. In the thirteen weeks ended May 1, 2021, BOPIS accounted for approximately half of our e-commerce sales. Our website is also a platform for marketing and product education, allowing us to connect further with our customers. During the 2021 first quarter, stores facilitated approximately 95% of our total sales, including ship-from-store, BOPIS and in-store retail sales.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2020. It is, however, difficult to ascertain with precision what portion of our e-commerce sales was attributable to the COVID-19 pandemic as compared to such recent enhancements. During the 2021 first quarter, e-commerce penetration was 7.4% compared to 13.1% in the 2020 first quarter and 2.8% in the thirteen weeks ended May 4, 2019. Our e-commerce sales declined 21.0% in the 2021 first quarter primarily driven by a demand shift from e-commerce to in-store as more and more customers are becoming comfortable shopping in our stores and the easing of COVID-19 restrictions; however, our e-commerce sales increased 300% from the thirteen weeks ended May 4, 2019. We expect to continue to invest in expanding and enhancing our omnichannel capabilities, including BOPIS, ship-from-store and ship-to-store, which will continue to require significant investments by us.</w:t>
      </w:r>
    </w:p>
    <w:p>
      <w:pPr>
        <w:spacing w:after="0" w:line="1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The U.S. sporting goods and outdoor recreation retail industries are highly competitive and fragmented. We compete with specialty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Sourcing and Supply Chain Management. </w:t>
      </w:r>
      <w:r>
        <w:rPr>
          <w:rFonts w:ascii="Arial" w:cs="Arial" w:eastAsia="Arial" w:hAnsi="Arial"/>
          <w:sz w:val="16"/>
          <w:szCs w:val="16"/>
          <w:color w:val="auto"/>
        </w:rPr>
        <w:t>For our business to be successful, our suppliers must provide us with quality products in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products from China that we source through our vendors. These higher inventory costs have resulted in higher prices and/or lower margins, thus resulting in a negative impact to net sales and/or gross margin. However, no significant modifications have been enacted to date, relative to the escalated tariffs which impact our business.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We expect that new stores will be a key driver of growth in our net sales and gross margin in the future. Our results of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and will continue to be materially affected by the timing and number of new store openings. We are continually assessing the number of locations available that could accommodate our preferred size of stores in markets we would consider and we expect, subject to the impact of the COVID-19 pandemic,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Interim Results and Seasonality. </w:t>
      </w:r>
      <w:r>
        <w:rPr>
          <w:rFonts w:ascii="Arial" w:cs="Arial" w:eastAsia="Arial" w:hAnsi="Arial"/>
          <w:sz w:val="16"/>
          <w:szCs w:val="16"/>
          <w:color w:val="auto"/>
        </w:rPr>
        <w:t>Our business is subject to seasonal fluctuations. A significant portion of our net sales and profits is driven by summer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53rd Week. </w:t>
      </w:r>
      <w:r>
        <w:rPr>
          <w:rFonts w:ascii="Arial" w:cs="Arial" w:eastAsia="Arial" w:hAnsi="Arial"/>
          <w:sz w:val="16"/>
          <w:szCs w:val="16"/>
          <w:color w:val="auto"/>
        </w:rPr>
        <w:t>We operate on the retail industry’s 4-5-4 calendar. The 4-5-4 calendar is a guide for retailers that ensures sales comparability between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dividing the year into months based on a 4 weeks – 5 weeks – 4 weeks format. Every five to six years a week is added to the 4-5-4 fiscal calendar.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The scope and nature of these impacts continue to evolve on a daily basis, including any potential resurgence in COVID-19 cases.</w:t>
      </w:r>
    </w:p>
    <w:p>
      <w:pPr>
        <w:spacing w:after="0" w:line="1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and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defined below) in March 2020 as a precautionary measure to ensure financial flexibility and maximize liquidity. All three of our distribution centers remained open during 2020 and through the 2021 first quarter,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p>
      <w:pPr>
        <w:jc w:val="both"/>
        <w:ind w:firstLine="324"/>
        <w:spacing w:after="0" w:line="269" w:lineRule="auto"/>
        <w:rPr>
          <w:sz w:val="20"/>
          <w:szCs w:val="20"/>
          <w:color w:val="auto"/>
        </w:rPr>
      </w:pPr>
      <w:r>
        <w:rPr>
          <w:rFonts w:ascii="Arial" w:cs="Arial" w:eastAsia="Arial" w:hAnsi="Arial"/>
          <w:sz w:val="17"/>
          <w:szCs w:val="17"/>
          <w:color w:val="auto"/>
        </w:rPr>
        <w:t>The impact of the pandemic and actions taken in response to it had varying effects on our results of operations, as further discussed below, and our business has been especially unpredictable. However, as an essential retailer, we have been able to serve our customers as their needs evolved during the pandemic. Early in the pandemic, we saw the acceleration of sales in specific categories, such as outdoor cooking, camping, shooting sports and hunting. Later in the 2020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2020 first quarter we experienced decreased sales of certain of our offerings, primarily for apparel and footwear, and had to occasionally cancel certain of our purchase orders for these products. Despite the initial challenges in 2020 with sales declines in our footwear and apparel merchandise divisions, these categories ultimately experienced positive comparable sales growth for 2020. The outdoors and sports and recreation divisions had consistent positive store sales growth throughout 2020 and ultimately experienced significant positive comparable sales growth in 2020.</w:t>
      </w:r>
    </w:p>
    <w:p>
      <w:pPr>
        <w:spacing w:after="0" w:line="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2021 first quarter, we experienced double digit comparable sales growth in all of our merchandise divisions. Additionally, our sales mix has returned to more balanced levels relative to the prior year quarter. In-store traffic has increased recently and relative to the prior year quarter. We believe the increase is attributable to the easing of COVID-19 restrictions and increased availability of vaccinations throughout our footprint, which has contributed to increased customer comfort with shopping in our stores. Additionally, we have seen recent demand increases from various factors, such as the U.S. government stimulus payments, enhanced unemployment benefits and the gradual return of team sports and in-person education.</w:t>
      </w:r>
    </w:p>
    <w:p>
      <w:pPr>
        <w:spacing w:after="0" w:line="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our consumers feel comfortable visiting our stores due to the fact that we have big-box stores and curbside pick-up for online orders, making it easier to socially distance, and that we are not in, or tethered to, malls, as customers seek to avoid crowded spaces. We also saw a significant increase during 2020 of customers purchasing our products through omnichannel platforms, specifically as customers increasingly take advantage of our curbside pick-up service, which we launched during the 2020 first quarter and ship-to-store, which launched in the 2020 third quarter, which gives our customers more options on how to shop Academy. While the easing of most COVID-19 restrictions in the 2021 first quarter has allowed for greater traffic in our stores, we believe it has also resulted in decreased e-commerce sales penetration when compared to the prior year.</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the development and availability of vaccines to mitigate the risk of COVID-19, actions by government authorities to contain the outbreak or treat its impact, and changes in consumer behavior resulting from the outbreak and such government actions. We continue to monitor the evolving situation as there remain many uncertainties regarding the pandemic and its resurgence, including the anticipated duration. See the section of the Annual Report entitled "Risk Factors—Risks Related to Our Business—The impact of COVID-19 may adversely affect our business and financial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 See "Non-GAAP Measures" below.</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Comparable Sales. </w:t>
      </w:r>
      <w:r>
        <w:rPr>
          <w:rFonts w:ascii="Arial" w:cs="Arial" w:eastAsia="Arial" w:hAnsi="Arial"/>
          <w:sz w:val="16"/>
          <w:szCs w:val="16"/>
          <w:color w:val="auto"/>
        </w:rPr>
        <w:t>We define comparable sales as the percentage of period-over-period net sales increase or decrease, in the aggregate, for stores open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3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b w:val="1"/>
          <w:bCs w:val="1"/>
          <w:i w:val="1"/>
          <w:iCs w:val="1"/>
          <w:color w:val="auto"/>
        </w:rPr>
        <w:t xml:space="preserve">Adjusted EBITDA, Adjusted EBIT, Adjusted Net Income, Pro Forma Adjusted Net Income, Pro Forma Adjusted Earnings per Share and Adjusted Free Cash Flow. </w:t>
      </w:r>
      <w:r>
        <w:rPr>
          <w:rFonts w:ascii="Arial" w:cs="Arial" w:eastAsia="Arial" w:hAnsi="Arial"/>
          <w:sz w:val="16"/>
          <w:szCs w:val="16"/>
          <w:color w:val="auto"/>
        </w:rPr>
        <w:t>Management uses Adjusted EBITDA, Adjusted EBIT, Adjusted Net Income, Pro Forma Adjusted Net Income, Pro Forma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merchandise sales.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are derived from in-store and e-commerce merchandise sales, net of sales tax and an allowance for merchandise returns.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is our net sales less cost of goods sold. Our cost of goods sold includes the direct cost of merchandise and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warehousing and distribution. These costs consist primarily of payroll and benefits, occupancy costs and freight and are generally variable in nature relative to our sales volume.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include store and corporate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newly public company.</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Income Tax Expense (Benefit). </w:t>
      </w:r>
      <w:r>
        <w:rPr>
          <w:rFonts w:ascii="Arial" w:cs="Arial" w:eastAsia="Arial" w:hAnsi="Arial"/>
          <w:sz w:val="17"/>
          <w:szCs w:val="17"/>
          <w:color w:val="auto"/>
        </w:rPr>
        <w:t>Prior to October 1, 2020, New Academy Holding Company, LLC, our prior ultimate parent company, was treated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flow through entity for U.S. federal income tax purposes and thus no federal income tax expense was recorded in our consolidated statements of income for periods prior to October 1, 2020. Our tax rate prior to October 1, 2020 was almost entirely the result of state income taxes. In connection with our initial public offering ("IPO"), as a result of the Reorganization Transactions (see Note 1 to the financial statements included in this Quarterly Report) completed on October 1, 2020, Academy Sports and Outdoors, Inc. ("ASO, Inc.")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May 1, 2021 Compared to Thirteen Weeks Ended May 2,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ind w:left="460"/>
              <w:spacing w:after="0"/>
              <w:rPr>
                <w:sz w:val="20"/>
                <w:szCs w:val="20"/>
                <w:color w:val="auto"/>
              </w:rPr>
            </w:pPr>
            <w:r>
              <w:rPr>
                <w:rFonts w:ascii="Arial" w:cs="Arial" w:eastAsia="Arial" w:hAnsi="Arial"/>
                <w:sz w:val="18"/>
                <w:szCs w:val="18"/>
                <w:b w:val="1"/>
                <w:bCs w:val="1"/>
                <w:color w:val="auto"/>
              </w:rPr>
              <w:t>Thirteen Weeks Ended</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ind w:left="580"/>
              <w:spacing w:after="0"/>
              <w:rPr>
                <w:sz w:val="20"/>
                <w:szCs w:val="20"/>
                <w:color w:val="auto"/>
              </w:rPr>
            </w:pPr>
            <w:r>
              <w:rPr>
                <w:rFonts w:ascii="Arial" w:cs="Arial" w:eastAsia="Arial" w:hAnsi="Arial"/>
                <w:sz w:val="18"/>
                <w:szCs w:val="18"/>
                <w:b w:val="1"/>
                <w:bCs w:val="1"/>
                <w:color w:val="auto"/>
                <w:w w:val="99"/>
              </w:rPr>
              <w:t>May 1, 2021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ind w:left="580"/>
              <w:spacing w:after="0"/>
              <w:rPr>
                <w:sz w:val="20"/>
                <w:szCs w:val="20"/>
                <w:color w:val="auto"/>
              </w:rPr>
            </w:pPr>
            <w:r>
              <w:rPr>
                <w:rFonts w:ascii="Arial" w:cs="Arial" w:eastAsia="Arial" w:hAnsi="Arial"/>
                <w:sz w:val="18"/>
                <w:szCs w:val="18"/>
                <w:b w:val="1"/>
                <w:bCs w:val="1"/>
                <w:color w:val="auto"/>
                <w:w w:val="99"/>
              </w:rPr>
              <w:t>May 2, 2020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rPr>
              <w:t>Dollars</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Percent</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1,580,333</w:t>
            </w: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1,136,301</w:t>
            </w: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1,016,632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838,356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21.3 %</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563,701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89.2 %</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324,627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14.3 %</w:t>
            </w:r>
          </w:p>
        </w:tc>
      </w:tr>
      <w:tr>
        <w:trPr>
          <w:trHeight w:val="223"/>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239,074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14,549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224,922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47,126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177,796</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1"/>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*Percentages in table may not sum properly due to rounding.</w:t>
      </w:r>
    </w:p>
    <w:p>
      <w:pPr>
        <w:spacing w:after="0" w:line="24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increased $444.0 million, or 39.1%, in the 2021 first quarter compared to the 2020 first quarter as a result of increased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38.9% and strong sales performances across all of our merchandise divisions.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2021 first quarter, we experienced a more balanced product sales mix across merchandise divisions relative to the prior year quarter. Our increase in comparable sales was led by strong performances in apparel and footwear resulting from increased overall customer spending and a decline in prior year sales within these categories. During prior year quarter, we began to see the effects of the COVID-19 pandemic drive an increase in popularity of isolated recreation, outdoor and leisure activities resulting in better performances in the outdoors and sports and recreation merchandise divisions, which was partially offset by performance declines in the footwear and apparel divisions.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2021 first quarter comparable sales increase of 38.9% was driven by increased sales across all merchandise divisions and almost every product category. The apparel division increase was led by athletic and outdoor and seasonal products. The footwear division increased due to strong sales across the division especially in work, casual and youth and athletic. The sports and recreation merchandise division comparable sales increase was driven by strong sales in recreation and team sports. The outdoor merchandise division increase was led by the camping and fishing categories and partially offset by a decrease in firearms sales.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E-commerce net sales decreased $30.9 million, or 21.0%, in the 2021 first quarter compared to the 2020 first quarter and represented 7.4% of merchandise sales in the 2021 first quarter compared to 13.1% in the 2020 first quarter. We believe the decline in e-commerce was generated by a demand shift from e-commerce to in-store sales caused by the easing of COVID-19 restrictions, as well as a greater comfort level amongst our customers for visiting our stores in person.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2021 first quarter, we encountered challenges from a winter storm, which occurred from February 14, 2021 through February 20, 2021, resulting in the temporary closure of up to 125 stores, two of our distribution centers and our e-commerce platform.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$265.8 million, or 89.2%, to $563.7 million in the 2021 first quarter from $297.9 million in the 2020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As a percentage of net sales, gross margin increased 9.5% from 26.2% in the 2020 first quarter to 35.7% in the 2021 first quarter. The increase of 950 basis points in gross margin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777 basis points of favorability in merchandise margins due to a shift in higher margin goods driving the increased sales, higher average unit retails, and less clearance and promotional activity from the prior year;</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173 basis points of favorability in inventory overhead expenditures as a result of lower expense absorption rates from higher inventory turnover rates;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basis points of unfavorability related to import freight as a result of increased rates.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$40.7 million, or 14.3%, to $324.6 million in the 2021 first quarter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$283.9 million in the 2020 first quarter. As a percentage of net sales, SG&amp;A expenses were down 4.5% to 20.5% in the 2021 first quarter compared to 25.0% in the 2020 first quarter. The decrease of 450 basis points in SG&amp;A is primarily attributable to:</w:t>
      </w:r>
    </w:p>
    <w:p>
      <w:pPr>
        <w:spacing w:after="0" w:line="1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259 basis point decrease in property and facility fees as a result of leveraging costs on increased sales;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168 basis point decrease in employee costs driven by increased sales that more than offset the increased costs from prior year furloughs, wage reductions and other strategic initiatives;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various other declines as a result of leveraging SG&amp;A costs on increased sales.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$10.0 million, or 40.7%, in the 2021 first quarter when compared to the 2020 first quarter, primarily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a lower outstanding principal balance on the Term Loan (as defined below) in the current year compared to the prior year due to debt refinancing activities which occurred in the 2020 fourth quarter as well as lower interest on the ABL Facility from our 2020 first quarter $500.0 million draw-down as a precautionary measure at the beginning of the COVID-19 pandemic.</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decreased $0.6 million due to lower earned interest on money market funds from lower balances and lower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rates during the 2021 first quarter relative to the 2020 first quarter. The higher prior year investments in money market accounts were driven by the precautionary draw-down of $500.0 million on our ABL Facility at the beginning of the COVID-19 pandemic.</w:t>
      </w:r>
    </w:p>
    <w:p>
      <w:pPr>
        <w:spacing w:after="0" w:line="19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$46.6 million to $47.1 million in the 2021 first quarter as compared to $0.5 million in 2020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As a result of the Reorganization Transactions, which occurred on October 1, 2020, ASO, Inc. became subject to U.S. federal income taxes and is</w:t>
      </w:r>
    </w:p>
    <w:p>
      <w:pPr>
        <w:spacing w:after="0" w:line="1" w:lineRule="exact"/>
        <w:rPr>
          <w:sz w:val="20"/>
          <w:szCs w:val="20"/>
          <w:color w:val="auto"/>
        </w:rPr>
      </w:pPr>
    </w:p>
    <w:p>
      <w:pPr>
        <w:ind w:right="440"/>
        <w:spacing w:after="0" w:line="305" w:lineRule="auto"/>
        <w:rPr>
          <w:sz w:val="20"/>
          <w:szCs w:val="20"/>
          <w:color w:val="auto"/>
        </w:rPr>
      </w:pPr>
      <w:r>
        <w:rPr>
          <w:rFonts w:ascii="Arial" w:cs="Arial" w:eastAsia="Arial" w:hAnsi="Arial"/>
          <w:sz w:val="16"/>
          <w:szCs w:val="16"/>
          <w:color w:val="auto"/>
        </w:rPr>
        <w:t>being taxed at the prevailing corporate rates. ASO, Inc.’s effective tax rate for the 2021 first quarter was 20.9%. The effective tax rate was reduced by approximately 2.9% for the benefit of tax deductions related to the vesting or exercise of several equity compensation awards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Adjusted EBITDA, Adjusted EBIT, Adjusted Net Income, Pro Forma Adjusted Net Income, Pro Forma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consulting fees, private equity sponsor monitoring fees, equity compensation expense, gain on early extinguishment of debt, net, severance and executive transition costs, costs related to the COVID-19 pandemic and other adjustments. We define Adjusted EBIT as net income (loss) before interest expense, net, and income tax expense, further adjusted to exclude consulting fees, private equity sponsor monitoring fees, equity compensation expense, gain on early extinguishment of debt, net, severance and executive transition costs, costs related to the COVID-19 pandemic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on early extinguishment of debt, net, severance and executive transition costs, costs related to the COVID-19 pandemic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Pro Forma Adjusted Net Income and Pro Forma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Adjusted EBITDA, Adjusted EBIT,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Pro Forma Adjusted Net Income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Pro Forma Adjusted Net Income,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EBIT, Adjusted Net Income, Pro Forma Adjusted Net Income,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Pro Forma Adjusted Net Income and Pro Forma Adjusted Earnings per Share should not be construed to imply that our future results will be unaffected by unusual or non-recurring items. In evaluating Adjusted EBITDA, Adjusted EBIT, Adjusted Net Income, Pro Forma Adjusted Net Income, Pro Forma Adjusted Earnings per Share and Adjusted Free Cash Flow, you should be aware that in the future we may incur expenses that are the same as or similar to some of the adjustments in this presentation. Our presentation of Adjusted EBITDA, Adjusted EBIT, Adjusted Net Income, Pro Forma Adjusted Net Income, Pro Forma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5" w:name="page36"/>
    <w:bookmarkEnd w:id="35"/>
    <w:p>
      <w:pPr>
        <w:jc w:val="both"/>
        <w:ind w:firstLine="324"/>
        <w:spacing w:after="0" w:line="263" w:lineRule="auto"/>
        <w:rPr>
          <w:sz w:val="20"/>
          <w:szCs w:val="20"/>
          <w:color w:val="auto"/>
        </w:rPr>
      </w:pPr>
      <w:r>
        <w:rPr>
          <w:rFonts w:ascii="Arial" w:cs="Arial" w:eastAsia="Arial" w:hAnsi="Arial"/>
          <w:sz w:val="18"/>
          <w:szCs w:val="18"/>
          <w:color w:val="auto"/>
        </w:rPr>
        <w:t>Our Adjusted EBITDA, Adjusted EBIT, Adjusted Net Income, Pro Forma Adjusted Net Income,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0"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costs or cash outlays for capital expenditures or contractual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changes in, or cash requirements for, our working capital needs;</w:t>
      </w:r>
    </w:p>
    <w:p>
      <w:pPr>
        <w:spacing w:after="0" w:line="8"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period to period changes in taxes, income tax expense or the cash necessary to pay income taxes;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Pro Forma Adjusted Net Income and Pro Forma Adjusted Earnings per Share do not reflect the impact of earnings or charges resulting from matters we consider not to be indicative of our ongoing operations;</w:t>
      </w:r>
    </w:p>
    <w:p>
      <w:pPr>
        <w:ind w:left="660" w:hanging="328"/>
        <w:spacing w:after="0" w:line="29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these limitations, Adjusted EBITDA, Adjusted EBIT, Adjusted Net Income, Pro Forma Adjusted Net Income, Pro Forma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Pro Forma Adjusted Net Income, Pro Forma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reconciliations of net income (loss) to Adjusted EBITDA and to Adjusted EBIT for the periods presented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2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14,549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24,522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25,298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27,447</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270,993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53,257</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Depreciation and amortization</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(27,447)</w:t>
            </w:r>
          </w:p>
        </w:tc>
      </w:tr>
      <w:tr>
        <w:trPr>
          <w:trHeight w:val="221"/>
        </w:trPr>
        <w:tc>
          <w:tcPr>
            <w:tcW w:w="756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Adjusted EBIT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245,695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25,810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420" w:hanging="394"/>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420" w:hanging="394"/>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12 to the financial statements included in this Quarterly Report.</w:t>
      </w:r>
    </w:p>
    <w:p>
      <w:pPr>
        <w:spacing w:after="0" w:line="45" w:lineRule="exact"/>
        <w:rPr>
          <w:rFonts w:ascii="Arial" w:cs="Arial" w:eastAsia="Arial" w:hAnsi="Arial"/>
          <w:sz w:val="16"/>
          <w:szCs w:val="16"/>
          <w:color w:val="auto"/>
        </w:rPr>
      </w:pPr>
    </w:p>
    <w:p>
      <w:pPr>
        <w:ind w:left="420" w:right="20" w:hanging="394"/>
        <w:spacing w:after="0" w:line="23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 w:lineRule="exact"/>
        <w:rPr>
          <w:rFonts w:ascii="Arial" w:cs="Arial" w:eastAsia="Arial" w:hAnsi="Arial"/>
          <w:sz w:val="18"/>
          <w:szCs w:val="18"/>
          <w:color w:val="auto"/>
        </w:rPr>
      </w:pPr>
    </w:p>
    <w:p>
      <w:pPr>
        <w:ind w:left="420" w:hanging="394"/>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420" w:right="20" w:hanging="394"/>
        <w:spacing w:after="0" w:line="232" w:lineRule="auto"/>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costs incurred during the 2020 first quarter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jc w:val="both"/>
        <w:ind w:left="420" w:right="20" w:hanging="394"/>
        <w:spacing w:after="0" w:line="21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net income to Adjusted Net Income, Pro Forma Adjusted Net Income and Pro Forma Adjusted Earnings per Share for the periods presented (amounts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2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Consulting fees (a)</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Equity compensation (c)</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5,874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6,645</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effects of these adjustments (g)</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Net Income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182,531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Estimated tax effect of change to C-Corporation status (h)</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48"/>
        </w:trPr>
        <w:tc>
          <w:tcPr>
            <w:tcW w:w="75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 Forma Adjusted 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Adjusted Earnings per Share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56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5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72,474</w:t>
            </w:r>
          </w:p>
        </w:tc>
      </w:tr>
      <w:tr>
        <w:trPr>
          <w:trHeight w:val="227"/>
        </w:trPr>
        <w:tc>
          <w:tcPr>
            <w:tcW w:w="7560" w:type="dxa"/>
            <w:vAlign w:val="bottom"/>
          </w:tcPr>
          <w:p>
            <w:pPr>
              <w:ind w:left="240"/>
              <w:spacing w:after="0" w:line="228"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96,472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72,474</w:t>
            </w:r>
          </w:p>
        </w:tc>
      </w:tr>
    </w:tbl>
    <w:p>
      <w:pPr>
        <w:ind w:left="160" w:hanging="134"/>
        <w:spacing w:after="0" w:line="233" w:lineRule="auto"/>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 to the financial statements.</w:t>
      </w:r>
    </w:p>
    <w:p>
      <w:pPr>
        <w:spacing w:after="0" w:line="120" w:lineRule="exact"/>
        <w:rPr>
          <w:sz w:val="20"/>
          <w:szCs w:val="20"/>
          <w:color w:val="auto"/>
        </w:rPr>
      </w:pPr>
    </w:p>
    <w:p>
      <w:pPr>
        <w:ind w:left="420" w:hanging="394"/>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420" w:hanging="394"/>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12 to the financial statements included in this Quarterly Report.</w:t>
      </w:r>
    </w:p>
    <w:p>
      <w:pPr>
        <w:spacing w:after="0" w:line="45" w:lineRule="exact"/>
        <w:rPr>
          <w:rFonts w:ascii="Arial" w:cs="Arial" w:eastAsia="Arial" w:hAnsi="Arial"/>
          <w:sz w:val="16"/>
          <w:szCs w:val="16"/>
          <w:color w:val="auto"/>
        </w:rPr>
      </w:pPr>
    </w:p>
    <w:p>
      <w:pPr>
        <w:ind w:left="420" w:right="20" w:hanging="394"/>
        <w:spacing w:after="0" w:line="23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 w:lineRule="exact"/>
        <w:rPr>
          <w:rFonts w:ascii="Arial" w:cs="Arial" w:eastAsia="Arial" w:hAnsi="Arial"/>
          <w:sz w:val="18"/>
          <w:szCs w:val="18"/>
          <w:color w:val="auto"/>
        </w:rPr>
      </w:pPr>
    </w:p>
    <w:p>
      <w:pPr>
        <w:ind w:left="420" w:hanging="394"/>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420" w:right="20" w:hanging="394"/>
        <w:spacing w:after="0" w:line="232"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costs incurred during the 2020 first quarter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jc w:val="both"/>
        <w:ind w:left="420" w:right="20" w:hanging="394"/>
        <w:spacing w:after="0" w:line="21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jc w:val="both"/>
        <w:ind w:left="420" w:right="20" w:hanging="394"/>
        <w:spacing w:after="0" w:line="22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thirteen weeks ended May 1, 2021, this represents the tax effect of the total adjustments made to arrive at Adjusted Net Income at the estimated effective tax rate for the fiscal year ended January 31, 2022. For the thirteen weeks ended May 2, 2020, this represents the tax effect of the total adjustments made to arrive at Adjusted Net Income at our historical tax rate.</w:t>
      </w:r>
    </w:p>
    <w:p>
      <w:pPr>
        <w:ind w:left="420" w:right="20" w:hanging="394"/>
        <w:spacing w:after="0" w:line="257"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280" w:type="dxa"/>
            <w:vAlign w:val="bottom"/>
          </w:tcPr>
          <w:p>
            <w:pPr>
              <w:spacing w:after="0"/>
              <w:rPr>
                <w:sz w:val="19"/>
                <w:szCs w:val="19"/>
                <w:color w:val="auto"/>
              </w:rPr>
            </w:pPr>
          </w:p>
        </w:tc>
        <w:tc>
          <w:tcPr>
            <w:tcW w:w="1520" w:type="dxa"/>
            <w:vAlign w:val="bottom"/>
          </w:tcPr>
          <w:p>
            <w:pPr>
              <w:ind w:left="16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w w:val="98"/>
              </w:rPr>
              <w:t>219,228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8"/>
              </w:rPr>
              <w:t>90,756</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w w:val="92"/>
              </w:rPr>
              <w:t>(16,808)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1"/>
              </w:rPr>
              <w:t>(9,926)</w:t>
            </w:r>
          </w:p>
        </w:tc>
      </w:tr>
      <w:tr>
        <w:trPr>
          <w:trHeight w:val="248"/>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w w:val="98"/>
              </w:rPr>
              <w:t>202,420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8"/>
              </w:rPr>
              <w:t>80,830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cash generated from operating activities;</w:t>
      </w:r>
    </w:p>
    <w:p>
      <w:pPr>
        <w:spacing w:after="0" w:line="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issuances of the Notes / debt securities; and</w:t>
      </w:r>
    </w:p>
    <w:p>
      <w:pPr>
        <w:spacing w:after="0" w:line="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borrowings under our Term Loan and ABL Facility.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171" w:lineRule="exact"/>
        <w:rPr>
          <w:sz w:val="20"/>
          <w:szCs w:val="20"/>
          <w:color w:val="auto"/>
        </w:rPr>
      </w:pPr>
    </w:p>
    <w:p>
      <w:pPr>
        <w:ind w:left="660" w:right="1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used for operating activities such as the purchase and growth of inventory, expansion of our sales and marketing activities and other working capital needs;</w:t>
      </w:r>
    </w:p>
    <w:p>
      <w:pPr>
        <w:spacing w:after="0" w:line="8"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used for capital improvements and support of expansion plans, as well as various investments in store renovations, store fixtures and on-going infrastructure improvements;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used to pay our debt obligations and related interest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used to pay partnership distributions to our members;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1, 2021, our cash and cash equivalents totaled $593.3 million.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2020, we focused on navigating the challenges presented by COVID-19 through the preservation of our long-term liquidity and management of cash flow through preemptive actions to enhance our ability to meet our short-term liquidity needs. We took various cost cutting measures to maximize operational cash flows (see "Impact of COVID-19 on Our Business" in the MD&amp;A). Such actions included, but are not limited to,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NAHC's members. Related cash payments of $24.0 million to vested share-based award holders was paid through May 1, 2021 and an additional $8.2 million of payments will be made to unvested share-based award holders as the related awards vest (see "Distribution" in Note 9 and "May Secondary Offering and Stock Repurchase" in Note 14 to the financial statements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6"/>
          <w:szCs w:val="16"/>
          <w:color w:val="auto"/>
        </w:rPr>
        <w:t>On October 6, 2020, we completed our IPO in which we issued and sold 15,625,000 shares of common stock, $0.01 par value, to the IPO underwriters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such as legal and accounting fees (see "Initial Public Offering, IPO Over-Allotment Exercise and Reorganization Transactions" in Note 1 to the financial statements included in this Quarterly Report). The shares sold in the offering were registered under the Securities Act of 1933, as amended, pursuant to our registration statement on Form S-1 (File No. 333-248683, which was declared effective by the Securities and Exchange Commission on October 1, 2020).</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(see "Initial Public Offering, Over-Allotment Exercise and Reorganization Transactions" in Note 1 to the financial statements included in this Quarterly Report), which included $0.3 million paid to KCM, for underwriting services, pursuant to the partial exercise by the underwriters of their option to purchase up to 2,343,750 additional shares to cover over-allotments in connection with our IPO. The option has expired with respect to the remaining shares.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6, 2020, the Company (1) issued $400.0 million of 6.00% senior secured notes (the "Notes"), which are due November 15, 2027, (2) entered into a $400.0 million first lien term loan facility (the "2020 Term Loan " and, together with the 2015 Term Loan (as defined in the notes to the financial statements included in this Annual Report), the "Term Loan"), which is due November 6, 2027 and (3) extended the maturity of Academy, Ltd.’s asset-based revolving credit facility thereunder to November 6, 2025 (as extended, the "2020 ABL Facility" and, together with the 2015 ABL Facility (as defined in the notes to the financial statements included in this Annual Report), the "ABL Facility"). We used the net proceeds from the Notes and the net proceeds from the 2020 Term Loan, together with cash on hand, to repay in full the 2015 Term Loan, in the amount of $1,431.4 million (see Note 4 to the financial statements included in the Annual Report).</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Subsequent to the 2021 first quarter and in connection with the May 2021 Secondary Offering (see "May 2021 Secondary Offering and Stock Repurchase" in Note 14 to the financial statements included in this Quarterly Report), on May 10, 2021, the Company completed a repurchase and simultaneous retirement of 3,229,974 shares from the underwriters for cash consideration of $30.96 per share, resulting in a payment of approximately $100.0 million to the underwriters. The May 2021 Secondary Offering reduced KKR's ownership interest in the Company to 31.3% and resulted in a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cash payments for equity-based compensation distributions will be accelerated (see Note 14 to the financial statements included in this Quarterly Report).</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Subsequent to the 2021 first quarter, on May 25, 2021, the Company entered into an Amendment No. 4 (the "Amendment") to the Second Amended and Restated Credit Agreement (as previously amended, the "Existing Credit Agreement") which (i) reduced the applicable margin on LIBOR borrowings under the Term Loan from 5.00% to 3.75% and (ii) utilized cash on hand to repay $99.0 million of outstanding borrowings under the Term Loan,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 (see Note 14 to the financial statements included in this Quarterly Report).</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expect to use existing cash balances, internally generated cash flows, and available borrowings under the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was ample to support our operations and service our requirements. To date in 2021, we have had no borrowings under the ABL Facility.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2021</w:t>
            </w:r>
          </w:p>
        </w:tc>
        <w:tc>
          <w:tcPr>
            <w:tcW w:w="2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funds drawn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232,967</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Number of days with outstanding balance</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daily amount outstanding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4"/>
        </w:trPr>
        <w:tc>
          <w:tcPr>
            <w:tcW w:w="7560" w:type="dxa"/>
            <w:vAlign w:val="bottom"/>
          </w:tcPr>
          <w:p>
            <w:pPr>
              <w:ind w:left="20"/>
              <w:spacing w:after="0"/>
              <w:rPr>
                <w:sz w:val="20"/>
                <w:szCs w:val="20"/>
                <w:color w:val="auto"/>
              </w:rPr>
            </w:pPr>
            <w:r>
              <w:rPr>
                <w:rFonts w:ascii="Arial" w:cs="Arial" w:eastAsia="Arial" w:hAnsi="Arial"/>
                <w:sz w:val="18"/>
                <w:szCs w:val="18"/>
                <w:color w:val="auto"/>
              </w:rPr>
              <w:t>Minimum available borrowing capacity</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780,945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270,152</w:t>
            </w:r>
          </w:p>
        </w:tc>
      </w:tr>
    </w:tbl>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information related to the ABL facility (amounts in thousands)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May 1, 2021</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30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Issued letters of credit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13,577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20,112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15,927</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borrowing capacity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270,152</w:t>
            </w:r>
          </w:p>
        </w:tc>
      </w:tr>
    </w:tbl>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We expect capital expenditures for fiscal year 2021 to be approximately $80.0 million. Approximately 50% of our planned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outflow relate to investments in our corporate, e-commerce and information technology programs. Investments in existing stores and distribution centers is expected to account for approximately 40% of the planned cash outflow and the remaining 10% is expected to be utilized through investments in new stores and relocations. We review forecasted capital expenditures throughout the year and will adjust or modify projects based on business conditions at that time.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i w:val="1"/>
                <w:iCs w:val="1"/>
                <w:color w:val="auto"/>
              </w:rPr>
              <w:t>Cash Flows for the Thirteen Weeks Ended May 1, 2021 and May 2, 2020</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Arial" w:cs="Arial" w:eastAsia="Arial" w:hAnsi="Arial"/>
                <w:sz w:val="18"/>
                <w:szCs w:val="18"/>
                <w:color w:val="auto"/>
              </w:rPr>
              <w:t>Our unaudited statements of cash flows are summarized as follows (in thousands):</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8"/>
        </w:trPr>
        <w:tc>
          <w:tcPr>
            <w:tcW w:w="7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7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May 1, 2021</w:t>
            </w:r>
          </w:p>
        </w:tc>
        <w:tc>
          <w:tcPr>
            <w:tcW w:w="320" w:type="dxa"/>
            <w:vAlign w:val="bottom"/>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219,228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90,756</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(16,808)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(9,926)</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495,400</w:t>
            </w:r>
          </w:p>
        </w:tc>
      </w:tr>
      <w:tr>
        <w:trPr>
          <w:trHeight w:val="223"/>
        </w:trPr>
        <w:tc>
          <w:tcPr>
            <w:tcW w:w="712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215,684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576,230</w:t>
            </w: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flows from operating activities are seasonal in our business. Typically, cash flows from operations are used to build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in advance of peak selling seasons, with the fourth quarter pre-holiday season inventory increase being the most significant.</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operating activities in the 2021 first quarter increased $128.5 million, compared to the 2020 first quarter. This increase in cash was attributable to:</w:t>
      </w:r>
    </w:p>
    <w:p>
      <w:pPr>
        <w:spacing w:after="0" w:line="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$187.8 million increase in net income; and 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$15.5 million net increase in non-cash charges; partially offset by 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$74.8 million net decrease in cash flows provided by operating assets and liabilities.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from non-cash charges was primarily caused by:</w:t>
      </w:r>
    </w:p>
    <w:p>
      <w:pPr>
        <w:spacing w:after="0" w:line="63" w:lineRule="exact"/>
        <w:rPr>
          <w:sz w:val="20"/>
          <w:szCs w:val="20"/>
          <w:color w:val="auto"/>
        </w:rPr>
      </w:pPr>
    </w:p>
    <w:p>
      <w:pPr>
        <w:ind w:left="660" w:right="2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$25.1 million increase in deferred income taxes as a result of ASO, Inc. becoming subject to U.S. federal income taxes after the Reorganization Transactions in October 2020; partially offset by 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$12.4 million decrease in non-cash lease expense due to timing of May rent payments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The decrease in cash flows from operating assets and liabilities was primarily attributable to:</w:t>
      </w:r>
    </w:p>
    <w:p>
      <w:pPr>
        <w:spacing w:after="0" w:line="171" w:lineRule="exact"/>
        <w:rPr>
          <w:sz w:val="20"/>
          <w:szCs w:val="20"/>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$177.8 million increase in merchandise inventories, net related to an increase in inventory during the 2021 first quarter coupled with a prior year reduction of inventory; partially offset by an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$89.5 million increase in accounts payable related to increased inventory receipts in recent months and extensions of vendor payment terms; and</w:t>
      </w:r>
    </w:p>
    <w:p>
      <w:pPr>
        <w:spacing w:after="0" w:line="86" w:lineRule="exact"/>
        <w:rPr>
          <w:rFonts w:ascii="Arial" w:cs="Arial" w:eastAsia="Arial" w:hAnsi="Arial"/>
          <w:sz w:val="16"/>
          <w:szCs w:val="16"/>
          <w:color w:val="auto"/>
        </w:rPr>
      </w:pPr>
    </w:p>
    <w:p>
      <w:pPr>
        <w:ind w:left="660" w:right="9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$21.4 million increase in income taxes as a result of ASO, Inc. becoming subject to U.S. federal income taxes after the Reorganization Transactions in October 2020.</w:t>
      </w:r>
    </w:p>
    <w:p>
      <w:pPr>
        <w:spacing w:after="0" w:line="24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investing activities increased $6.9 million in the 2021 first quarter compared to the same period last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cash used in investing activities is primarily due to:</w:t>
      </w:r>
    </w:p>
    <w:p>
      <w:pPr>
        <w:spacing w:after="0" w:line="112"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$6.9 million higher capital expenditures on various digital projects as well as updates in the stores and distribution centers, coupled with the strategic reduction of capital expenditures in the prior year in response to the COVID-19 pandemic.</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provided by financing activities decreased $482.1 million in the 2021 first quarter, compared to the same period last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decrease were:</w:t>
      </w:r>
    </w:p>
    <w:p>
      <w:pPr>
        <w:spacing w:after="0" w:line="157" w:lineRule="exact"/>
        <w:rPr>
          <w:sz w:val="20"/>
          <w:szCs w:val="20"/>
          <w:color w:val="auto"/>
        </w:rPr>
      </w:pPr>
    </w:p>
    <w:p>
      <w:pPr>
        <w:ind w:left="660" w:right="1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$500.0 million decrease in cash inflow due to the precautionary draw-down of $500.0 million on the ABL Facility during the 2020 first quarter in response to the COVID-19 pandemic; partially offset by 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$17.3 million of net proceeds from the exercise of stock options in the current year.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remain more challenging, and actual results could differ materially from our estimates. More information on all of our significant accounting policies can be found in Note 2, "Summary of Significant Critical Accounting Policies and Estimates" to our audited consolidated financial statements included in the Annual Report and the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set forth in Note 12 to our unaudited consolidated financial statements under Part I, Item 1 under the heading of this Quarterly Report entitled "Related Party Transactions"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May 1, 2021, our off-balance sheet contractual obligations and commercial commitments relate to future minimum guaranteed contractual payments and letters of credit. There have been no other material changes in our off-balance sheet arrangements as discussed in the section of the Annual Report entitled "Management's Discussion and Analysis of Financial Condition and Results of Operations" or our audited financial statements for the fiscal year ended January 30, 2021 included in the "Off-Balance Sheet Arrangements" section of the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contractual obligations and commercial commitments primarily relate to our debt facilities and senior secured notes, operating leases for stores, distribution centers, and office buildings, technology related commitments, and sponsorship and intellectual property agreements. Other than than the item noted below and fluctuations from transactions in the ordinary course of business, there were no material changes during the quarter ended May 1, 2021 to the contractual obligations and commercial commitments disclosed in "Contractual Obligations and Commercial Commitments" in the section of the Annual Report entitled "Management's Discussion and Analysis of Financial Condition and Results of Operations".</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25, 2021, the Company refinanced its 2020 Term Loan and paid down approximately $99.0 million of the Term Loan (see Note 14 to the financial statements included in this Quarterly Report).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40" w:firstLine="324"/>
        <w:spacing w:after="0" w:line="324" w:lineRule="auto"/>
        <w:rPr>
          <w:sz w:val="20"/>
          <w:szCs w:val="20"/>
          <w:color w:val="auto"/>
        </w:rPr>
      </w:pPr>
      <w:r>
        <w:rPr>
          <w:rFonts w:ascii="Arial" w:cs="Arial" w:eastAsia="Arial" w:hAnsi="Arial"/>
          <w:sz w:val="16"/>
          <w:szCs w:val="16"/>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developments during the 2021 first quarter with respect to any of the matters discussed under the heading "Business–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In addition to the effects of the COVID-19 pandemic and resulting global disruptions on our business and operations discussed in the MD&amp;A in this Quarterly Report and in the Risk Factors section of the Annual Report, additional or unforeseen effects from the COVID-19 pandemic and the global economic climate may give rise to or amplify many of these risks. Except as set forth below, there have been no material changes to the risk factors discussed in the section of the Annual Report entitled "Risk Factors".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KKR has the ability to exert substantial influence over us and their interests may conflict with yours in the future.</w:t>
      </w:r>
    </w:p>
    <w:p>
      <w:pPr>
        <w:spacing w:after="0" w:line="11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of May 10, 2021, KKR beneficially owns approximately 31.3% of the voting power of our common stock. As a result, KKR will be able to exert substantial influence on our corporate and management policies, including potential mergers or acquisitions, payment of dividends, asset sales, amendment of our certificate of incorporation or bylaws and other significant corporate transactions for so long as KKR and their affiliates retain significant ownership of us. KKR and their affiliates may also influence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continues to own a significant amount of our voting power, even if such amount is less than 50%, KKR will continue to be able to strongly influence or effectively control our decisions and, so long as KKR and their affiliates collectively own at least 5% of all outstanding shares of our stock entitled to vote generally in the election of directors, KKR will be able to nominate individuals to our board of directors under the stockholders agreement. The interests of KKR may not coincide with the interests of other holders of our common stock. See Note 12 to the financial statements included in this Quarterly Report.</w:t>
      </w:r>
    </w:p>
    <w:p>
      <w:pPr>
        <w:spacing w:after="0" w:line="7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the ordinary course of their business activities, KKR and their affiliates may engage in activities where their interests conflict with our interests or those of our stockholders. Our amended and restated certificate of incorporation provides that any of KKR, any of their affiliates or any director who is not employed by us (including any non-employee director who serves as one of our officers in both his or her director and officer capacities) or his or her affiliates do not have any duty to refrain from engaging, directly or indirectly, in the same business activities or similar business activities or lines of business in which we operate. KKR and their affiliates also may pursue acquisition opportunities that may be complementary to our business and, as a result, those acquisition opportunities may not be available to us. In addition, KKR may have an interest in pursuing acquisitions, divestitures and other transactions that, in their judgment, could enhance their investment, even though such transactions might involve risks to you.</w:t>
      </w:r>
    </w:p>
    <w:p>
      <w:pPr>
        <w:spacing w:after="0" w:line="69"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In addition, KKR and their affiliates will be able to significantly influence the outcome of all matters requiring stockholder approval, including the election of our board of directors and potential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9"/>
              </w:rPr>
              <w:t>Exhibit Number</w:t>
            </w:r>
          </w:p>
        </w:tc>
        <w:tc>
          <w:tcPr>
            <w:tcW w:w="974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 of Exhibit</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FF"/>
            </w:tcBorders>
            <w:shd w:val="clear" w:color="auto" w:fill="CCEEFF"/>
          </w:tcPr>
          <w:p>
            <w:pPr>
              <w:spacing w:after="0" w:line="182"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CCEEFF"/>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Certification of Periodic Report by Chief Executive Officer under Section 302 of the Sarbanes-Oxley Act of 2002.</w:t>
            </w:r>
          </w:p>
        </w:tc>
      </w:tr>
      <w:tr>
        <w:trPr>
          <w:trHeight w:val="189"/>
        </w:trPr>
        <w:tc>
          <w:tcPr>
            <w:tcW w:w="520" w:type="dxa"/>
            <w:vAlign w:val="bottom"/>
            <w:gridSpan w:val="3"/>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rPr>
              <w:t>Certification of Periodic Report by Chief Financial Officer under Section 302 of the Sarbanes-Oxley Act of 2002.</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189"/>
        </w:trPr>
        <w:tc>
          <w:tcPr>
            <w:tcW w:w="150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97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Oxley Act of 2002.</w:t>
            </w:r>
          </w:p>
        </w:tc>
      </w:tr>
      <w:tr>
        <w:trPr>
          <w:trHeight w:val="189"/>
        </w:trPr>
        <w:tc>
          <w:tcPr>
            <w:tcW w:w="1500" w:type="dxa"/>
            <w:vAlign w:val="bottom"/>
            <w:gridSpan w:val="4"/>
          </w:tcPr>
          <w:p>
            <w:pPr>
              <w:ind w:left="2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 Sarbanes-</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80"/>
              <w:spacing w:after="0" w:line="196" w:lineRule="exact"/>
              <w:rPr>
                <w:sz w:val="20"/>
                <w:szCs w:val="20"/>
                <w:color w:val="auto"/>
              </w:rPr>
            </w:pPr>
            <w:r>
              <w:rPr>
                <w:rFonts w:ascii="Arial" w:cs="Arial" w:eastAsia="Arial" w:hAnsi="Arial"/>
                <w:sz w:val="18"/>
                <w:szCs w:val="18"/>
                <w:color w:val="auto"/>
              </w:rPr>
              <w:t>Oxley Act of 2002.</w:t>
            </w:r>
          </w:p>
        </w:tc>
      </w:tr>
      <w:tr>
        <w:trPr>
          <w:trHeight w:val="176"/>
        </w:trPr>
        <w:tc>
          <w:tcPr>
            <w:tcW w:w="2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2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Definition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229"/>
        </w:trPr>
        <w:tc>
          <w:tcPr>
            <w:tcW w:w="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740" w:type="dxa"/>
            <w:vAlign w:val="bottom"/>
            <w:shd w:val="clear" w:color="auto" w:fill="CCEEFF"/>
          </w:tcPr>
          <w:p>
            <w:pPr>
              <w:spacing w:after="0"/>
              <w:rPr>
                <w:sz w:val="23"/>
                <w:szCs w:val="23"/>
                <w:color w:val="auto"/>
              </w:rPr>
            </w:pPr>
          </w:p>
        </w:tc>
      </w:tr>
      <w:tr>
        <w:trPr>
          <w:trHeight w:val="229"/>
        </w:trPr>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Furnished herewith</w:t>
            </w: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June 8, 2021 on its behalf by the undersigned, thereto duly authorized.</w:t>
      </w:r>
    </w:p>
    <w:p>
      <w:pPr>
        <w:spacing w:after="0" w:line="200" w:lineRule="exact"/>
        <w:rPr>
          <w:sz w:val="20"/>
          <w:szCs w:val="20"/>
          <w:color w:val="auto"/>
        </w:rPr>
      </w:pPr>
    </w:p>
    <w:p>
      <w:pPr>
        <w:spacing w:after="0" w:line="2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Ken C. Hicks</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Michael P. Mullican</w:t>
            </w:r>
          </w:p>
        </w:tc>
      </w:tr>
      <w:tr>
        <w:trPr>
          <w:trHeight w:val="230"/>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09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May 1,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260" w:type="dxa"/>
            <w:vAlign w:val="bottom"/>
          </w:tcPr>
          <w:p>
            <w:pPr>
              <w:ind w:left="4400"/>
              <w:spacing w:after="0"/>
              <w:rPr>
                <w:sz w:val="20"/>
                <w:szCs w:val="20"/>
                <w:color w:val="auto"/>
              </w:rPr>
            </w:pPr>
            <w:r>
              <w:rPr>
                <w:rFonts w:ascii="Arial" w:cs="Arial" w:eastAsia="Arial" w:hAnsi="Arial"/>
                <w:sz w:val="18"/>
                <w:szCs w:val="18"/>
                <w:color w:val="auto"/>
              </w:rPr>
              <w:t>Date:</w:t>
            </w:r>
          </w:p>
        </w:tc>
        <w:tc>
          <w:tcPr>
            <w:tcW w:w="1400" w:type="dxa"/>
            <w:vAlign w:val="bottom"/>
          </w:tcPr>
          <w:p>
            <w:pPr>
              <w:ind w:left="480"/>
              <w:spacing w:after="0"/>
              <w:rPr>
                <w:sz w:val="20"/>
                <w:szCs w:val="20"/>
                <w:color w:val="auto"/>
              </w:rPr>
            </w:pPr>
            <w:r>
              <w:rPr>
                <w:rFonts w:ascii="Arial" w:cs="Arial" w:eastAsia="Arial" w:hAnsi="Arial"/>
                <w:sz w:val="18"/>
                <w:szCs w:val="18"/>
                <w:color w:val="auto"/>
                <w:w w:val="86"/>
              </w:rPr>
              <w:t>June 8,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2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P. Mullican, certify that:</w:t>
      </w:r>
    </w:p>
    <w:p>
      <w:pPr>
        <w:spacing w:after="0" w:line="117"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May 1,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260" w:type="dxa"/>
            <w:vAlign w:val="bottom"/>
          </w:tcPr>
          <w:p>
            <w:pPr>
              <w:ind w:left="4400"/>
              <w:spacing w:after="0"/>
              <w:rPr>
                <w:sz w:val="20"/>
                <w:szCs w:val="20"/>
                <w:color w:val="auto"/>
              </w:rPr>
            </w:pPr>
            <w:r>
              <w:rPr>
                <w:rFonts w:ascii="Arial" w:cs="Arial" w:eastAsia="Arial" w:hAnsi="Arial"/>
                <w:sz w:val="18"/>
                <w:szCs w:val="18"/>
                <w:color w:val="auto"/>
              </w:rPr>
              <w:t>Date:</w:t>
            </w:r>
          </w:p>
        </w:tc>
        <w:tc>
          <w:tcPr>
            <w:tcW w:w="1400" w:type="dxa"/>
            <w:vAlign w:val="bottom"/>
          </w:tcPr>
          <w:p>
            <w:pPr>
              <w:ind w:left="480"/>
              <w:spacing w:after="0"/>
              <w:rPr>
                <w:sz w:val="20"/>
                <w:szCs w:val="20"/>
                <w:color w:val="auto"/>
              </w:rPr>
            </w:pPr>
            <w:r>
              <w:rPr>
                <w:rFonts w:ascii="Arial" w:cs="Arial" w:eastAsia="Arial" w:hAnsi="Arial"/>
                <w:sz w:val="18"/>
                <w:szCs w:val="18"/>
                <w:color w:val="auto"/>
                <w:w w:val="86"/>
              </w:rPr>
              <w:t>June 8,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2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Academy Sports and Outdoors, Inc. (the “Company”) for the quarterly period ended May 1, 2021, as filed with the Securities and Exchange Commission on the date hereof (the “Report”), I, Ken C. Hicks, Chairman, President and Chief Executive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  KEN C. HICKS</w:t>
            </w:r>
          </w:p>
        </w:tc>
        <w:tc>
          <w:tcPr>
            <w:tcW w:w="4040" w:type="dxa"/>
            <w:vAlign w:val="bottom"/>
            <w:gridSpan w:val="2"/>
          </w:tcPr>
          <w:p>
            <w:pPr>
              <w:ind w:left="2700"/>
              <w:spacing w:after="0"/>
              <w:rPr>
                <w:sz w:val="20"/>
                <w:szCs w:val="20"/>
                <w:color w:val="auto"/>
              </w:rPr>
            </w:pPr>
            <w:r>
              <w:rPr>
                <w:rFonts w:ascii="Arial" w:cs="Arial" w:eastAsia="Arial" w:hAnsi="Arial"/>
                <w:sz w:val="18"/>
                <w:szCs w:val="18"/>
                <w:color w:val="auto"/>
                <w:w w:val="86"/>
              </w:rPr>
              <w:t>Date: June 8, 2021</w:t>
            </w:r>
          </w:p>
        </w:tc>
      </w:tr>
      <w:tr>
        <w:trPr>
          <w:trHeight w:val="222"/>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Ken C. Hicks</w:t>
            </w:r>
          </w:p>
        </w:tc>
        <w:tc>
          <w:tcPr>
            <w:tcW w:w="3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3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Academy Sports and Outdoors, Inc. (the “Company”) for the quarterly period ended May 1, 2021, as filed with the Securities and Exchange Commission on the date hereof (the “Report”), I, Michael P. Mullican, Executive Vice President and Chief Financial Officer of the Company, do hereby certify, pursuant to 18 U.S.C. Section 1350, as adopted pursuant to Section 906 of the Sarbanes-Oxley Act of 2002, that:</w:t>
      </w:r>
    </w:p>
    <w:p>
      <w:pPr>
        <w:spacing w:after="0" w:line="7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  MICHAEL P. MULLICAN</w:t>
            </w:r>
          </w:p>
        </w:tc>
        <w:tc>
          <w:tcPr>
            <w:tcW w:w="3900" w:type="dxa"/>
            <w:vAlign w:val="bottom"/>
            <w:gridSpan w:val="2"/>
          </w:tcPr>
          <w:p>
            <w:pPr>
              <w:ind w:left="2560"/>
              <w:spacing w:after="0"/>
              <w:rPr>
                <w:sz w:val="20"/>
                <w:szCs w:val="20"/>
                <w:color w:val="auto"/>
              </w:rPr>
            </w:pPr>
            <w:r>
              <w:rPr>
                <w:rFonts w:ascii="Arial" w:cs="Arial" w:eastAsia="Arial" w:hAnsi="Arial"/>
                <w:sz w:val="18"/>
                <w:szCs w:val="18"/>
                <w:color w:val="auto"/>
                <w:w w:val="86"/>
              </w:rPr>
              <w:t>Date: June 8, 2021</w:t>
            </w:r>
          </w:p>
        </w:tc>
      </w:tr>
      <w:tr>
        <w:trPr>
          <w:trHeight w:val="222"/>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Mullican</w:t>
            </w:r>
          </w:p>
        </w:tc>
        <w:tc>
          <w:tcPr>
            <w:tcW w:w="2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9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96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amp;"/>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2021-06-08T15:10:09Z</dcterms:created>
  <dcterms:modified xsi:type="dcterms:W3CDTF">2021-06-08T15:10:09Z</dcterms:modified>
</cp:coreProperties>
</file>