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HICKS KEN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NORTH MASON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Chairman, 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122,330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420,820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shares withheld to cover the Reporting Person's tax liability in connection with the vesting of restricted stock units previously granted to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7"/>
        <w:spacing w:after="0" w:line="292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190,596 shares of common stock, par value $0.01 per share ("Common Stock"), issued in settlement of restricted stock units previously granted under the Issuer's 2011 Unit Incentive Plan, or the 2011 Equity Plan, that fully vested due to a Change of Control (as defined in the 2011 Equity Plan) that resulted from the Issuer's secondary public offering that closed on May 10, 2021.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Janet Morrow,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75746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2021-05-11T19:39:15Z</dcterms:created>
  <dcterms:modified xsi:type="dcterms:W3CDTF">2021-05-11T19:39:15Z</dcterms:modified>
</cp:coreProperties>
</file>