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356870</wp:posOffset>
            </wp:positionH>
            <wp:positionV relativeFrom="page">
              <wp:posOffset>260350</wp:posOffset>
            </wp:positionV>
            <wp:extent cx="64808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0810" cy="5715"/>
                    </a:xfrm>
                    <a:prstGeom prst="rect">
                      <a:avLst/>
                    </a:prstGeom>
                    <a:noFill/>
                  </pic:spPr>
                </pic:pic>
              </a:graphicData>
            </a:graphic>
          </wp:anchor>
        </w:drawing>
        <w:drawing>
          <wp:anchor simplePos="0" relativeHeight="251657728" behindDoc="1" locked="0" layoutInCell="0" allowOverlap="1">
            <wp:simplePos x="0" y="0"/>
            <wp:positionH relativeFrom="page">
              <wp:posOffset>356870</wp:posOffset>
            </wp:positionH>
            <wp:positionV relativeFrom="page">
              <wp:posOffset>277495</wp:posOffset>
            </wp:positionV>
            <wp:extent cx="648081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0810" cy="5715"/>
                    </a:xfrm>
                    <a:prstGeom prst="rect">
                      <a:avLst/>
                    </a:prstGeom>
                    <a:noFill/>
                  </pic:spPr>
                </pic:pic>
              </a:graphicData>
            </a:graphic>
          </wp:anchor>
        </w:drawing>
        <w:t>UNITED STATES</w:t>
      </w:r>
    </w:p>
    <w:p>
      <w:pPr>
        <w:spacing w:after="0" w:line="46" w:lineRule="exact"/>
        <w:rPr>
          <w:sz w:val="24"/>
          <w:szCs w:val="24"/>
          <w:color w:val="auto"/>
        </w:rPr>
      </w:pPr>
    </w:p>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42" w:lineRule="exact"/>
        <w:rPr>
          <w:sz w:val="24"/>
          <w:szCs w:val="24"/>
          <w:color w:val="auto"/>
        </w:rPr>
      </w:pPr>
    </w:p>
    <w:p>
      <w:pPr>
        <w:jc w:val="center"/>
        <w:ind w:right="-108"/>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2051685</wp:posOffset>
            </wp:positionH>
            <wp:positionV relativeFrom="paragraph">
              <wp:posOffset>93345</wp:posOffset>
            </wp:positionV>
            <wp:extent cx="217741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7415" cy="5715"/>
                    </a:xfrm>
                    <a:prstGeom prst="rect">
                      <a:avLst/>
                    </a:prstGeom>
                    <a:noFill/>
                  </pic:spPr>
                </pic:pic>
              </a:graphicData>
            </a:graphic>
          </wp:anchor>
        </w:drawing>
      </w:r>
    </w:p>
    <w:p>
      <w:pPr>
        <w:spacing w:after="0" w:line="234" w:lineRule="exact"/>
        <w:rPr>
          <w:sz w:val="24"/>
          <w:szCs w:val="24"/>
          <w:color w:val="auto"/>
        </w:rPr>
      </w:pPr>
    </w:p>
    <w:p>
      <w:pPr>
        <w:jc w:val="center"/>
        <w:ind w:right="-108"/>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2051685</wp:posOffset>
            </wp:positionH>
            <wp:positionV relativeFrom="paragraph">
              <wp:posOffset>93345</wp:posOffset>
            </wp:positionV>
            <wp:extent cx="21774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7415" cy="5715"/>
                    </a:xfrm>
                    <a:prstGeom prst="rect">
                      <a:avLst/>
                    </a:prstGeom>
                    <a:noFill/>
                  </pic:spPr>
                </pic:pic>
              </a:graphicData>
            </a:graphic>
          </wp:anchor>
        </w:drawing>
      </w:r>
    </w:p>
    <w:p>
      <w:pPr>
        <w:spacing w:after="0" w:line="237" w:lineRule="exact"/>
        <w:rPr>
          <w:sz w:val="24"/>
          <w:szCs w:val="24"/>
          <w:color w:val="auto"/>
        </w:rPr>
      </w:pPr>
    </w:p>
    <w:p>
      <w:pPr>
        <w:jc w:val="center"/>
        <w:ind w:right="-108"/>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49" w:lineRule="exact"/>
        <w:rPr>
          <w:sz w:val="24"/>
          <w:szCs w:val="24"/>
          <w:color w:val="auto"/>
        </w:rPr>
      </w:pPr>
    </w:p>
    <w:p>
      <w:pPr>
        <w:jc w:val="center"/>
        <w:ind w:right="-108"/>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112" w:lineRule="exact"/>
        <w:rPr>
          <w:sz w:val="24"/>
          <w:szCs w:val="24"/>
          <w:color w:val="auto"/>
        </w:rPr>
      </w:pPr>
    </w:p>
    <w:p>
      <w:pPr>
        <w:jc w:val="center"/>
        <w:ind w:right="-108"/>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2051685</wp:posOffset>
            </wp:positionH>
            <wp:positionV relativeFrom="paragraph">
              <wp:posOffset>98425</wp:posOffset>
            </wp:positionV>
            <wp:extent cx="21774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77415" cy="5715"/>
                    </a:xfrm>
                    <a:prstGeom prst="rect">
                      <a:avLst/>
                    </a:prstGeom>
                    <a:noFill/>
                  </pic:spPr>
                </pic:pic>
              </a:graphicData>
            </a:graphic>
          </wp:anchor>
        </w:drawing>
        <w:drawing>
          <wp:anchor simplePos="0" relativeHeight="251657728" behindDoc="1" locked="0" layoutInCell="0" allowOverlap="1">
            <wp:simplePos x="0" y="0"/>
            <wp:positionH relativeFrom="column">
              <wp:posOffset>2520315</wp:posOffset>
            </wp:positionH>
            <wp:positionV relativeFrom="paragraph">
              <wp:posOffset>235585</wp:posOffset>
            </wp:positionV>
            <wp:extent cx="1423035"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08"/>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57" w:lineRule="exact"/>
        <w:rPr>
          <w:sz w:val="24"/>
          <w:szCs w:val="24"/>
          <w:color w:val="auto"/>
        </w:rPr>
      </w:pPr>
    </w:p>
    <w:p>
      <w:pPr>
        <w:jc w:val="center"/>
        <w:ind w:right="-108"/>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2051685</wp:posOffset>
            </wp:positionH>
            <wp:positionV relativeFrom="paragraph">
              <wp:posOffset>91440</wp:posOffset>
            </wp:positionV>
            <wp:extent cx="21774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7415" cy="5715"/>
                    </a:xfrm>
                    <a:prstGeom prst="rect">
                      <a:avLst/>
                    </a:prstGeom>
                    <a:noFill/>
                  </pic:spPr>
                </pic:pic>
              </a:graphicData>
            </a:graphic>
          </wp:anchor>
        </w:drawing>
      </w:r>
    </w:p>
    <w:p>
      <w:pPr>
        <w:sectPr>
          <w:pgSz w:w="11900" w:h="16838" w:orient="portrait"/>
          <w:cols w:equalWidth="0" w:num="1">
            <w:col w:w="10089"/>
          </w:cols>
          <w:pgMar w:left="571" w:top="542" w:right="1239" w:bottom="1440" w:gutter="0" w:footer="0" w:header="0"/>
        </w:sectPr>
      </w:pPr>
    </w:p>
    <w:p>
      <w:pPr>
        <w:spacing w:after="0" w:line="262" w:lineRule="exact"/>
        <w:rPr>
          <w:sz w:val="24"/>
          <w:szCs w:val="24"/>
          <w:color w:val="auto"/>
        </w:rPr>
      </w:pPr>
    </w:p>
    <w:p>
      <w:pPr>
        <w:ind w:left="1589"/>
        <w:spacing w:after="0"/>
        <w:rPr>
          <w:sz w:val="20"/>
          <w:szCs w:val="20"/>
          <w:color w:val="auto"/>
        </w:rPr>
      </w:pPr>
      <w:r>
        <w:rPr>
          <w:rFonts w:ascii="Times New Roman" w:cs="Times New Roman" w:eastAsia="Times New Roman" w:hAnsi="Times New Roman"/>
          <w:sz w:val="8"/>
          <w:szCs w:val="8"/>
          <w:b w:val="1"/>
          <w:bCs w:val="1"/>
          <w:color w:val="auto"/>
        </w:rPr>
        <w:t>Delaware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0"/>
          <w:szCs w:val="10"/>
          <w:b w:val="1"/>
          <w:bCs w:val="1"/>
          <w:color w:val="auto"/>
        </w:rPr>
        <w:t>001-39589</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85-1800912</w:t>
      </w:r>
    </w:p>
    <w:p>
      <w:pPr>
        <w:spacing w:after="0" w:line="104" w:lineRule="exact"/>
        <w:rPr>
          <w:sz w:val="24"/>
          <w:szCs w:val="24"/>
          <w:color w:val="auto"/>
        </w:rPr>
      </w:pPr>
    </w:p>
    <w:p>
      <w:pPr>
        <w:sectPr>
          <w:pgSz w:w="11900" w:h="16838" w:orient="portrait"/>
          <w:cols w:equalWidth="0" w:num="3">
            <w:col w:w="4129" w:space="720"/>
            <w:col w:w="2780" w:space="720"/>
            <w:col w:w="1740"/>
          </w:cols>
          <w:pgMar w:left="571" w:top="542" w:right="1239" w:bottom="1440" w:gutter="0" w:footer="0" w:header="0"/>
          <w:type w:val="continuous"/>
        </w:sectPr>
      </w:pPr>
    </w:p>
    <w:p>
      <w:pPr>
        <w:ind w:left="1109"/>
        <w:spacing w:after="0"/>
        <w:rPr>
          <w:sz w:val="20"/>
          <w:szCs w:val="20"/>
          <w:color w:val="auto"/>
        </w:rPr>
      </w:pPr>
      <w:r>
        <w:rPr>
          <w:rFonts w:ascii="Times New Roman" w:cs="Times New Roman" w:eastAsia="Times New Roman" w:hAnsi="Times New Roman"/>
          <w:sz w:val="10"/>
          <w:szCs w:val="10"/>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(I.R.S. Employer</w:t>
      </w:r>
    </w:p>
    <w:p>
      <w:pPr>
        <w:spacing w:after="0" w:line="91" w:lineRule="exact"/>
        <w:rPr>
          <w:sz w:val="24"/>
          <w:szCs w:val="24"/>
          <w:color w:val="auto"/>
        </w:rPr>
      </w:pPr>
    </w:p>
    <w:p>
      <w:pPr>
        <w:sectPr>
          <w:pgSz w:w="11900" w:h="16838" w:orient="portrait"/>
          <w:cols w:equalWidth="0" w:num="3">
            <w:col w:w="3929" w:space="720"/>
            <w:col w:w="2820" w:space="720"/>
            <w:col w:w="1900"/>
          </w:cols>
          <w:pgMar w:left="571" w:top="542" w:right="1239" w:bottom="1440" w:gutter="0" w:footer="0" w:header="0"/>
          <w:type w:val="continuous"/>
        </w:sectPr>
      </w:pPr>
    </w:p>
    <w:p>
      <w:pPr>
        <w:ind w:left="1429"/>
        <w:spacing w:after="0"/>
        <w:rPr>
          <w:sz w:val="20"/>
          <w:szCs w:val="20"/>
          <w:color w:val="auto"/>
        </w:rPr>
      </w:pPr>
      <w:r>
        <w:rPr>
          <w:rFonts w:ascii="Times New Roman" w:cs="Times New Roman" w:eastAsia="Times New Roman" w:hAnsi="Times New Roman"/>
          <w:sz w:val="10"/>
          <w:szCs w:val="10"/>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106" w:lineRule="exact"/>
        <w:rPr>
          <w:sz w:val="24"/>
          <w:szCs w:val="24"/>
          <w:color w:val="auto"/>
        </w:rPr>
      </w:pPr>
    </w:p>
    <w:p>
      <w:pPr>
        <w:sectPr>
          <w:pgSz w:w="11900" w:h="16838" w:orient="portrait"/>
          <w:cols w:equalWidth="0" w:num="3">
            <w:col w:w="4029" w:space="720"/>
            <w:col w:w="2680" w:space="720"/>
            <w:col w:w="1940"/>
          </w:cols>
          <w:pgMar w:left="571" w:top="542" w:right="1239" w:bottom="1440" w:gutter="0" w:footer="0" w:header="0"/>
          <w:type w:val="continuous"/>
        </w:sectPr>
      </w:pPr>
    </w:p>
    <w:p>
      <w:pPr>
        <w:ind w:left="4449"/>
        <w:spacing w:after="0"/>
        <w:rPr>
          <w:sz w:val="20"/>
          <w:szCs w:val="20"/>
          <w:color w:val="auto"/>
        </w:rPr>
      </w:pPr>
      <w:r>
        <w:rPr>
          <w:rFonts w:ascii="Times New Roman" w:cs="Times New Roman" w:eastAsia="Times New Roman" w:hAnsi="Times New Roman"/>
          <w:sz w:val="11"/>
          <w:szCs w:val="11"/>
          <w:b w:val="1"/>
          <w:bCs w:val="1"/>
          <w:color w:val="auto"/>
        </w:rPr>
        <w:t>1800 North Mason Road</w:t>
      </w:r>
    </w:p>
    <w:p>
      <w:pPr>
        <w:spacing w:after="0" w:line="36" w:lineRule="exact"/>
        <w:rPr>
          <w:sz w:val="24"/>
          <w:szCs w:val="24"/>
          <w:color w:val="auto"/>
        </w:rPr>
      </w:pPr>
    </w:p>
    <w:p>
      <w:pPr>
        <w:ind w:left="4589"/>
        <w:spacing w:after="0"/>
        <w:rPr>
          <w:sz w:val="20"/>
          <w:szCs w:val="20"/>
          <w:color w:val="auto"/>
        </w:rPr>
      </w:pPr>
      <w:r>
        <w:rPr>
          <w:rFonts w:ascii="Times New Roman" w:cs="Times New Roman" w:eastAsia="Times New Roman" w:hAnsi="Times New Roman"/>
          <w:sz w:val="11"/>
          <w:szCs w:val="11"/>
          <w:b w:val="1"/>
          <w:bCs w:val="1"/>
          <w:color w:val="auto"/>
        </w:rPr>
        <w:t>Katy, Texas 77449</w:t>
      </w:r>
    </w:p>
    <w:p>
      <w:pPr>
        <w:spacing w:after="0" w:line="27" w:lineRule="exact"/>
        <w:rPr>
          <w:sz w:val="24"/>
          <w:szCs w:val="24"/>
          <w:color w:val="auto"/>
        </w:rPr>
      </w:pPr>
    </w:p>
    <w:p>
      <w:pPr>
        <w:ind w:left="3909"/>
        <w:spacing w:after="0"/>
        <w:rPr>
          <w:sz w:val="20"/>
          <w:szCs w:val="20"/>
          <w:color w:val="auto"/>
        </w:rPr>
      </w:pPr>
      <w:r>
        <w:rPr>
          <w:rFonts w:ascii="Times New Roman" w:cs="Times New Roman" w:eastAsia="Times New Roman" w:hAnsi="Times New Roman"/>
          <w:sz w:val="10"/>
          <w:szCs w:val="10"/>
          <w:i w:val="1"/>
          <w:iCs w:val="1"/>
          <w:color w:val="auto"/>
        </w:rPr>
        <w:t>(Address of principal executive offices, including Zip Code)</w:t>
      </w:r>
    </w:p>
    <w:p>
      <w:pPr>
        <w:spacing w:after="0" w:line="119" w:lineRule="exact"/>
        <w:rPr>
          <w:sz w:val="24"/>
          <w:szCs w:val="24"/>
          <w:color w:val="auto"/>
        </w:rPr>
      </w:pPr>
    </w:p>
    <w:p>
      <w:pPr>
        <w:ind w:left="4669"/>
        <w:spacing w:after="0"/>
        <w:rPr>
          <w:sz w:val="20"/>
          <w:szCs w:val="20"/>
          <w:color w:val="auto"/>
        </w:rPr>
      </w:pPr>
      <w:r>
        <w:rPr>
          <w:rFonts w:ascii="Times New Roman" w:cs="Times New Roman" w:eastAsia="Times New Roman" w:hAnsi="Times New Roman"/>
          <w:sz w:val="11"/>
          <w:szCs w:val="11"/>
          <w:b w:val="1"/>
          <w:bCs w:val="1"/>
          <w:color w:val="auto"/>
        </w:rPr>
        <w:t>(281) 646-5200</w:t>
      </w:r>
    </w:p>
    <w:p>
      <w:pPr>
        <w:spacing w:after="0" w:line="63" w:lineRule="exact"/>
        <w:rPr>
          <w:sz w:val="24"/>
          <w:szCs w:val="24"/>
          <w:color w:val="auto"/>
        </w:rPr>
      </w:pPr>
    </w:p>
    <w:p>
      <w:pPr>
        <w:jc w:val="center"/>
        <w:ind w:right="-208"/>
        <w:spacing w:after="0"/>
        <w:rPr>
          <w:sz w:val="20"/>
          <w:szCs w:val="20"/>
          <w:color w:val="auto"/>
        </w:rPr>
      </w:pPr>
      <w:r>
        <w:rPr>
          <w:rFonts w:ascii="Times New Roman" w:cs="Times New Roman" w:eastAsia="Times New Roman" w:hAnsi="Times New Roman"/>
          <w:sz w:val="11"/>
          <w:szCs w:val="11"/>
          <w:i w:val="1"/>
          <w:iCs w:val="1"/>
          <w:color w:val="auto"/>
        </w:rPr>
        <w:t>(Registrant’s telephone number, including area code)</w:t>
      </w:r>
    </w:p>
    <w:p>
      <w:pPr>
        <w:spacing w:after="0" w:line="180" w:lineRule="exact"/>
        <w:rPr>
          <w:sz w:val="24"/>
          <w:szCs w:val="24"/>
          <w:color w:val="auto"/>
        </w:rPr>
      </w:pPr>
    </w:p>
    <w:p>
      <w:pPr>
        <w:ind w:left="4809"/>
        <w:spacing w:after="0"/>
        <w:rPr>
          <w:sz w:val="20"/>
          <w:szCs w:val="20"/>
          <w:color w:val="auto"/>
        </w:rPr>
      </w:pPr>
      <w:r>
        <w:rPr>
          <w:rFonts w:ascii="Times New Roman" w:cs="Times New Roman" w:eastAsia="Times New Roman" w:hAnsi="Times New Roman"/>
          <w:sz w:val="11"/>
          <w:szCs w:val="11"/>
          <w:b w:val="1"/>
          <w:bCs w:val="1"/>
          <w:color w:val="auto"/>
        </w:rPr>
        <w:t>Not Applicable</w:t>
      </w:r>
    </w:p>
    <w:p>
      <w:pPr>
        <w:spacing w:after="0" w:line="36" w:lineRule="exact"/>
        <w:rPr>
          <w:sz w:val="24"/>
          <w:szCs w:val="24"/>
          <w:color w:val="auto"/>
        </w:rPr>
      </w:pPr>
    </w:p>
    <w:p>
      <w:pPr>
        <w:ind w:left="3669"/>
        <w:spacing w:after="0"/>
        <w:rPr>
          <w:sz w:val="20"/>
          <w:szCs w:val="20"/>
          <w:color w:val="auto"/>
        </w:rPr>
      </w:pPr>
      <w:r>
        <w:rPr>
          <w:rFonts w:ascii="Times New Roman" w:cs="Times New Roman" w:eastAsia="Times New Roman" w:hAnsi="Times New Roman"/>
          <w:sz w:val="11"/>
          <w:szCs w:val="11"/>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2051685</wp:posOffset>
            </wp:positionH>
            <wp:positionV relativeFrom="paragraph">
              <wp:posOffset>86995</wp:posOffset>
            </wp:positionV>
            <wp:extent cx="217741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7415" cy="5715"/>
                    </a:xfrm>
                    <a:prstGeom prst="rect">
                      <a:avLst/>
                    </a:prstGeom>
                    <a:noFill/>
                  </pic:spPr>
                </pic:pic>
              </a:graphicData>
            </a:graphic>
          </wp:anchor>
        </w:drawing>
      </w:r>
    </w:p>
    <w:p>
      <w:pPr>
        <w:sectPr>
          <w:pgSz w:w="11900" w:h="16838" w:orient="portrait"/>
          <w:cols w:equalWidth="0" w:num="1">
            <w:col w:w="10089"/>
          </w:cols>
          <w:pgMar w:left="571" w:top="542" w:right="1239" w:bottom="1440" w:gutter="0" w:footer="0" w:header="0"/>
          <w:type w:val="continuous"/>
        </w:sectPr>
      </w:pPr>
    </w:p>
    <w:p>
      <w:pPr>
        <w:spacing w:after="0" w:line="254" w:lineRule="exact"/>
        <w:rPr>
          <w:sz w:val="24"/>
          <w:szCs w:val="24"/>
          <w:color w:val="auto"/>
        </w:rPr>
      </w:pPr>
    </w:p>
    <w:p>
      <w:pPr>
        <w:ind w:left="9"/>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129" w:hanging="127"/>
        <w:spacing w:after="0"/>
        <w:tabs>
          <w:tab w:leader="none" w:pos="129"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35" w:lineRule="exact"/>
        <w:rPr>
          <w:rFonts w:ascii="MS PGothic" w:cs="MS PGothic" w:eastAsia="MS PGothic" w:hAnsi="MS PGothic"/>
          <w:sz w:val="11"/>
          <w:szCs w:val="11"/>
          <w:color w:val="auto"/>
        </w:rPr>
      </w:pPr>
    </w:p>
    <w:p>
      <w:pPr>
        <w:ind w:left="129" w:hanging="129"/>
        <w:spacing w:after="0"/>
        <w:tabs>
          <w:tab w:leader="none" w:pos="129"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35" w:lineRule="exact"/>
        <w:rPr>
          <w:rFonts w:ascii="MS PGothic" w:cs="MS PGothic" w:eastAsia="MS PGothic" w:hAnsi="MS PGothic"/>
          <w:sz w:val="11"/>
          <w:szCs w:val="11"/>
          <w:color w:val="auto"/>
        </w:rPr>
      </w:pPr>
    </w:p>
    <w:p>
      <w:pPr>
        <w:ind w:left="129" w:hanging="129"/>
        <w:spacing w:after="0"/>
        <w:tabs>
          <w:tab w:leader="none" w:pos="129"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35" w:lineRule="exact"/>
        <w:rPr>
          <w:rFonts w:ascii="MS PGothic" w:cs="MS PGothic" w:eastAsia="MS PGothic" w:hAnsi="MS PGothic"/>
          <w:sz w:val="11"/>
          <w:szCs w:val="11"/>
          <w:color w:val="auto"/>
        </w:rPr>
      </w:pPr>
    </w:p>
    <w:p>
      <w:pPr>
        <w:ind w:left="129" w:hanging="129"/>
        <w:spacing w:after="0"/>
        <w:tabs>
          <w:tab w:leader="none" w:pos="129"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97" w:lineRule="exact"/>
        <w:rPr>
          <w:sz w:val="24"/>
          <w:szCs w:val="24"/>
          <w:color w:val="auto"/>
        </w:rPr>
      </w:pPr>
    </w:p>
    <w:tbl>
      <w:tblPr>
        <w:tblLayout w:type="fixed"/>
        <w:tblInd w:w="649" w:type="dxa"/>
        <w:tblCellMar>
          <w:top w:w="0" w:type="dxa"/>
          <w:left w:w="0" w:type="dxa"/>
          <w:bottom w:w="0" w:type="dxa"/>
          <w:right w:w="0" w:type="dxa"/>
        </w:tblCellMar>
      </w:tblPr>
      <w:tr>
        <w:trPr>
          <w:trHeight w:val="142"/>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60" w:type="dxa"/>
            <w:vAlign w:val="bottom"/>
            <w:gridSpan w:val="3"/>
          </w:tcPr>
          <w:p>
            <w:pPr>
              <w:ind w:left="60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2000" w:type="dxa"/>
            <w:vAlign w:val="bottom"/>
          </w:tcPr>
          <w:p>
            <w:pPr>
              <w:spacing w:after="0"/>
              <w:rPr>
                <w:sz w:val="12"/>
                <w:szCs w:val="12"/>
                <w:color w:val="auto"/>
              </w:rPr>
            </w:pPr>
          </w:p>
        </w:tc>
      </w:tr>
      <w:tr>
        <w:trPr>
          <w:trHeight w:val="139"/>
        </w:trPr>
        <w:tc>
          <w:tcPr>
            <w:tcW w:w="560" w:type="dxa"/>
            <w:vAlign w:val="bottom"/>
          </w:tcPr>
          <w:p>
            <w:pPr>
              <w:spacing w:after="0"/>
              <w:rPr>
                <w:sz w:val="12"/>
                <w:szCs w:val="12"/>
                <w:color w:val="auto"/>
              </w:rPr>
            </w:pPr>
          </w:p>
        </w:tc>
        <w:tc>
          <w:tcPr>
            <w:tcW w:w="1960" w:type="dxa"/>
            <w:vAlign w:val="bottom"/>
            <w:gridSpan w:val="2"/>
          </w:tcPr>
          <w:p>
            <w:pPr>
              <w:jc w:val="center"/>
              <w:ind w:right="116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1340" w:type="dxa"/>
            <w:vAlign w:val="bottom"/>
          </w:tcPr>
          <w:p>
            <w:pPr>
              <w:spacing w:after="0"/>
              <w:rPr>
                <w:sz w:val="12"/>
                <w:szCs w:val="12"/>
                <w:color w:val="auto"/>
              </w:rPr>
            </w:pPr>
          </w:p>
        </w:tc>
        <w:tc>
          <w:tcPr>
            <w:tcW w:w="2920" w:type="dxa"/>
            <w:vAlign w:val="bottom"/>
            <w:gridSpan w:val="2"/>
          </w:tcPr>
          <w:p>
            <w:pPr>
              <w:jc w:val="center"/>
              <w:ind w:right="206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20"/>
        </w:trPr>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65"/>
        </w:trPr>
        <w:tc>
          <w:tcPr>
            <w:tcW w:w="2520" w:type="dxa"/>
            <w:vAlign w:val="bottom"/>
            <w:gridSpan w:val="3"/>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7"/>
              </w:rPr>
              <w:t>Common Stock, $0.01 par value per share</w:t>
            </w:r>
          </w:p>
        </w:tc>
        <w:tc>
          <w:tcPr>
            <w:tcW w:w="1340" w:type="dxa"/>
            <w:vAlign w:val="bottom"/>
          </w:tcPr>
          <w:p>
            <w:pPr>
              <w:spacing w:after="0"/>
              <w:rPr>
                <w:sz w:val="14"/>
                <w:szCs w:val="14"/>
                <w:color w:val="auto"/>
              </w:rPr>
            </w:pPr>
          </w:p>
        </w:tc>
        <w:tc>
          <w:tcPr>
            <w:tcW w:w="2920" w:type="dxa"/>
            <w:vAlign w:val="bottom"/>
            <w:gridSpan w:val="2"/>
          </w:tcPr>
          <w:p>
            <w:pPr>
              <w:jc w:val="center"/>
              <w:ind w:right="2060"/>
              <w:spacing w:after="0"/>
              <w:rPr>
                <w:sz w:val="20"/>
                <w:szCs w:val="20"/>
                <w:color w:val="auto"/>
              </w:rPr>
            </w:pPr>
            <w:r>
              <w:rPr>
                <w:rFonts w:ascii="Times New Roman" w:cs="Times New Roman" w:eastAsia="Times New Roman" w:hAnsi="Times New Roman"/>
                <w:sz w:val="11"/>
                <w:szCs w:val="11"/>
                <w:b w:val="1"/>
                <w:bCs w:val="1"/>
                <w:color w:val="auto"/>
                <w:w w:val="97"/>
              </w:rPr>
              <w:t>ASO</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The Nasdaq Stock Market LLC</w:t>
            </w:r>
          </w:p>
        </w:tc>
      </w:tr>
    </w:tbl>
    <w:p>
      <w:pPr>
        <w:spacing w:after="0" w:line="130" w:lineRule="exact"/>
        <w:rPr>
          <w:sz w:val="24"/>
          <w:szCs w:val="24"/>
          <w:color w:val="auto"/>
        </w:rPr>
      </w:pPr>
    </w:p>
    <w:p>
      <w:pPr>
        <w:ind w:left="9" w:right="60"/>
        <w:spacing w:after="0" w:line="258" w:lineRule="auto"/>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23" w:lineRule="exact"/>
        <w:rPr>
          <w:sz w:val="24"/>
          <w:szCs w:val="24"/>
          <w:color w:val="auto"/>
        </w:rPr>
      </w:pPr>
    </w:p>
    <w:p>
      <w:pPr>
        <w:ind w:left="9"/>
        <w:spacing w:after="0" w:line="141"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-189230</wp:posOffset>
            </wp:positionH>
            <wp:positionV relativeFrom="paragraph">
              <wp:posOffset>260350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648081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081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648081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0810" cy="5715"/>
                    </a:xfrm>
                    <a:prstGeom prst="rect">
                      <a:avLst/>
                    </a:prstGeom>
                    <a:noFill/>
                  </pic:spPr>
                </pic:pic>
              </a:graphicData>
            </a:graphic>
          </wp:anchor>
        </w:drawing>
      </w:r>
    </w:p>
    <w:p>
      <w:pPr>
        <w:sectPr>
          <w:pgSz w:w="11900" w:h="16838" w:orient="portrait"/>
          <w:cols w:equalWidth="0" w:num="1">
            <w:col w:w="10089"/>
          </w:cols>
          <w:pgMar w:left="571" w:top="542" w:right="1239" w:bottom="1440" w:gutter="0" w:footer="0" w:header="0"/>
          <w:type w:val="continuous"/>
        </w:sectPr>
      </w:pPr>
    </w:p>
    <w:bookmarkStart w:id="1" w:name="page2"/>
    <w:bookmarkEnd w:id="1"/>
    <w:p>
      <w:pPr>
        <w:ind w:left="26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63" w:lineRule="exact"/>
        <w:rPr>
          <w:sz w:val="20"/>
          <w:szCs w:val="20"/>
          <w:color w:val="auto"/>
        </w:rPr>
      </w:pPr>
    </w:p>
    <w:p>
      <w:pPr>
        <w:jc w:val="both"/>
        <w:ind w:right="20" w:firstLine="267"/>
        <w:spacing w:after="0" w:line="279" w:lineRule="auto"/>
        <w:rPr>
          <w:sz w:val="20"/>
          <w:szCs w:val="20"/>
          <w:color w:val="auto"/>
        </w:rPr>
      </w:pPr>
      <w:r>
        <w:rPr>
          <w:rFonts w:ascii="Times New Roman" w:cs="Times New Roman" w:eastAsia="Times New Roman" w:hAnsi="Times New Roman"/>
          <w:sz w:val="12"/>
          <w:szCs w:val="12"/>
          <w:color w:val="auto"/>
        </w:rPr>
        <w:t>On June 9, 2026, Academy Sports and Outdoors, Inc. (the “Company”) issued a press release announcing financial results for the quarter ended May 2, 2026. A copy of the press release is furnished herewith as Exhibit 99.1 and incorporated by reference herein.</w:t>
      </w:r>
    </w:p>
    <w:p>
      <w:pPr>
        <w:spacing w:after="0" w:line="120" w:lineRule="exact"/>
        <w:rPr>
          <w:sz w:val="20"/>
          <w:szCs w:val="20"/>
          <w:color w:val="auto"/>
        </w:rPr>
      </w:pPr>
    </w:p>
    <w:p>
      <w:pPr>
        <w:jc w:val="both"/>
        <w:ind w:firstLine="267"/>
        <w:spacing w:after="0" w:line="257"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(the "Securities Act"), or the Exchange Act, except as shall be expressly set forth by specific reference in such a filing.</w:t>
      </w:r>
    </w:p>
    <w:p>
      <w:pPr>
        <w:spacing w:after="0" w:line="129"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On June 9, 2026, the Company posted the First Quarter 2026 Earnings Presentation to its website at investors.academy.com. A copy of the presentation is attached hereto as Exhibit 99.2.</w:t>
      </w:r>
    </w:p>
    <w:p>
      <w:pPr>
        <w:spacing w:after="0" w:line="168"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2"/>
          <w:szCs w:val="12"/>
          <w:color w:val="auto"/>
        </w:rPr>
        <w:t>The information contained under this Item 7.01, including Exhibit 99.2, is being furnished and shall not be deemed to be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28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the Exhibit Index immediately preceding the signature page hereto, which is incorporated herein by reference.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740" w:type="dxa"/>
            <w:vAlign w:val="bottom"/>
          </w:tcPr>
          <w:p>
            <w:pPr>
              <w:ind w:left="430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33"/>
        </w:trPr>
        <w:tc>
          <w:tcPr>
            <w:tcW w:w="1480" w:type="dxa"/>
            <w:vAlign w:val="bottom"/>
            <w:tcBorders>
              <w:top w:val="single" w:sz="8" w:color="auto"/>
            </w:tcBorders>
            <w:gridSpan w:val="3"/>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p>
        </w:tc>
        <w:tc>
          <w:tcPr>
            <w:tcW w:w="80" w:type="dxa"/>
            <w:vAlign w:val="bottom"/>
            <w:tcBorders>
              <w:top w:val="single" w:sz="8" w:color="CCEEFF"/>
            </w:tcBorders>
            <w:shd w:val="clear" w:color="auto" w:fill="CCEEFF"/>
          </w:tcPr>
          <w:p>
            <w:pPr>
              <w:spacing w:after="0"/>
              <w:rPr>
                <w:sz w:val="11"/>
                <w:szCs w:val="11"/>
                <w:color w:val="auto"/>
              </w:rPr>
            </w:pPr>
          </w:p>
        </w:tc>
        <w:tc>
          <w:tcPr>
            <w:tcW w:w="974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Academy Sports and Outdoors, Inc. Press Release, dated June 9, 2026.</w:t>
            </w:r>
          </w:p>
        </w:tc>
      </w:tr>
      <w:tr>
        <w:trPr>
          <w:trHeight w:val="25"/>
        </w:trPr>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740" w:type="dxa"/>
            <w:vAlign w:val="bottom"/>
            <w:tcBorders>
              <w:top w:val="single" w:sz="8" w:color="CCEEFF"/>
            </w:tcBorders>
            <w:shd w:val="clear" w:color="auto" w:fill="CCEEFF"/>
          </w:tcPr>
          <w:p>
            <w:pPr>
              <w:spacing w:after="0"/>
              <w:rPr>
                <w:sz w:val="2"/>
                <w:szCs w:val="2"/>
                <w:color w:val="auto"/>
              </w:rPr>
            </w:pPr>
          </w:p>
        </w:tc>
      </w:tr>
      <w:tr>
        <w:trPr>
          <w:trHeight w:val="135"/>
        </w:trPr>
        <w:tc>
          <w:tcPr>
            <w:tcW w:w="148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2</w:t>
            </w:r>
          </w:p>
        </w:tc>
        <w:tc>
          <w:tcPr>
            <w:tcW w:w="80" w:type="dxa"/>
            <w:vAlign w:val="bottom"/>
          </w:tcPr>
          <w:p>
            <w:pPr>
              <w:spacing w:after="0"/>
              <w:rPr>
                <w:sz w:val="11"/>
                <w:szCs w:val="11"/>
                <w:color w:val="auto"/>
              </w:rPr>
            </w:pPr>
          </w:p>
        </w:tc>
        <w:tc>
          <w:tcPr>
            <w:tcW w:w="97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First Quarter 2026 Earnings Presentation, dated June 9, 2026.</w:t>
            </w:r>
          </w:p>
        </w:tc>
      </w:tr>
      <w:tr>
        <w:trPr>
          <w:trHeight w:val="25"/>
        </w:trPr>
        <w:tc>
          <w:tcPr>
            <w:tcW w:w="1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180"/>
        </w:trPr>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99"/>
              </w:rPr>
              <w:t>104</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1161"/>
        </w:trPr>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89" w:right="2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66" w:lineRule="exact"/>
        <w:rPr>
          <w:sz w:val="20"/>
          <w:szCs w:val="20"/>
          <w:color w:val="auto"/>
        </w:rPr>
      </w:pPr>
    </w:p>
    <w:tbl>
      <w:tblPr>
        <w:tblLayout w:type="fixed"/>
        <w:tblInd w:w="5500" w:type="dxa"/>
        <w:tblCellMar>
          <w:top w:w="0" w:type="dxa"/>
          <w:left w:w="0" w:type="dxa"/>
          <w:bottom w:w="0" w:type="dxa"/>
          <w:right w:w="0" w:type="dxa"/>
        </w:tblCellMar>
      </w:tblPr>
      <w:tr>
        <w:trPr>
          <w:trHeight w:val="155"/>
        </w:trPr>
        <w:tc>
          <w:tcPr>
            <w:tcW w:w="1580" w:type="dxa"/>
            <w:vAlign w:val="bottom"/>
          </w:tcPr>
          <w:p>
            <w:pPr>
              <w:spacing w:after="0"/>
              <w:rPr>
                <w:sz w:val="13"/>
                <w:szCs w:val="13"/>
                <w:color w:val="auto"/>
              </w:rPr>
            </w:pPr>
          </w:p>
        </w:tc>
        <w:tc>
          <w:tcPr>
            <w:tcW w:w="402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ACADEMY SPORTS AND OUTDOORS, INC.</w:t>
            </w:r>
          </w:p>
        </w:tc>
      </w:tr>
      <w:tr>
        <w:trPr>
          <w:trHeight w:val="423"/>
        </w:trPr>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Date: June 9, 2026</w:t>
            </w:r>
          </w:p>
        </w:tc>
        <w:tc>
          <w:tcPr>
            <w:tcW w:w="1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By:</w:t>
            </w: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Brandy Treadway</w:t>
            </w:r>
          </w:p>
        </w:tc>
      </w:tr>
      <w:tr>
        <w:trPr>
          <w:trHeight w:val="160"/>
        </w:trPr>
        <w:tc>
          <w:tcPr>
            <w:tcW w:w="1580" w:type="dxa"/>
            <w:vAlign w:val="bottom"/>
          </w:tcPr>
          <w:p>
            <w:pPr>
              <w:spacing w:after="0"/>
              <w:rPr>
                <w:sz w:val="13"/>
                <w:szCs w:val="13"/>
                <w:color w:val="auto"/>
              </w:rPr>
            </w:pPr>
          </w:p>
        </w:tc>
        <w:tc>
          <w:tcPr>
            <w:tcW w:w="1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Name:</w:t>
            </w:r>
          </w:p>
        </w:tc>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Brandy Treadway</w:t>
            </w:r>
          </w:p>
        </w:tc>
      </w:tr>
      <w:tr>
        <w:trPr>
          <w:trHeight w:val="169"/>
        </w:trPr>
        <w:tc>
          <w:tcPr>
            <w:tcW w:w="1580" w:type="dxa"/>
            <w:vAlign w:val="bottom"/>
          </w:tcPr>
          <w:p>
            <w:pPr>
              <w:spacing w:after="0"/>
              <w:rPr>
                <w:sz w:val="14"/>
                <w:szCs w:val="14"/>
                <w:color w:val="auto"/>
              </w:rPr>
            </w:pPr>
          </w:p>
        </w:tc>
        <w:tc>
          <w:tcPr>
            <w:tcW w:w="1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Title:</w:t>
            </w:r>
          </w:p>
        </w:tc>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Chief Legal Officer and</w:t>
            </w:r>
          </w:p>
        </w:tc>
      </w:tr>
      <w:tr>
        <w:trPr>
          <w:trHeight w:val="155"/>
        </w:trPr>
        <w:tc>
          <w:tcPr>
            <w:tcW w:w="1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Corporate Secretary</w:t>
            </w:r>
          </w:p>
        </w:tc>
      </w:tr>
    </w:tbl>
    <w:p>
      <w:pPr>
        <w:sectPr>
          <w:pgSz w:w="11900" w:h="16838" w:orient="portrait"/>
          <w:cols w:equalWidth="0" w:num="1">
            <w:col w:w="11100"/>
          </w:cols>
          <w:pgMar w:left="500" w:top="989"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12065</wp:posOffset>
            </wp:positionV>
            <wp:extent cx="2245995" cy="594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4599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Academy Sports + Outdoors Reports First Quarter Fiscal 2026 Results</w:t>
      </w:r>
    </w:p>
    <w:p>
      <w:pPr>
        <w:spacing w:after="0" w:line="171" w:lineRule="exact"/>
        <w:rPr>
          <w:sz w:val="20"/>
          <w:szCs w:val="20"/>
          <w:color w:val="auto"/>
        </w:rPr>
      </w:pPr>
    </w:p>
    <w:p>
      <w:pPr>
        <w:jc w:val="center"/>
        <w:ind w:right="-207"/>
        <w:spacing w:after="0"/>
        <w:rPr>
          <w:sz w:val="20"/>
          <w:szCs w:val="20"/>
          <w:color w:val="auto"/>
        </w:rPr>
      </w:pPr>
      <w:r>
        <w:rPr>
          <w:rFonts w:ascii="Arial" w:cs="Arial" w:eastAsia="Arial" w:hAnsi="Arial"/>
          <w:sz w:val="12"/>
          <w:szCs w:val="12"/>
          <w:i w:val="1"/>
          <w:iCs w:val="1"/>
          <w:color w:val="auto"/>
        </w:rPr>
        <w:t>First Quarter Sales Growth of 6.7%; Comparable Sales Growth of 2.9%</w:t>
      </w:r>
    </w:p>
    <w:p>
      <w:pPr>
        <w:spacing w:after="0" w:line="168" w:lineRule="exact"/>
        <w:rPr>
          <w:sz w:val="20"/>
          <w:szCs w:val="20"/>
          <w:color w:val="auto"/>
        </w:rPr>
      </w:pPr>
    </w:p>
    <w:p>
      <w:pPr>
        <w:jc w:val="center"/>
        <w:ind w:right="-207"/>
        <w:spacing w:after="0"/>
        <w:rPr>
          <w:sz w:val="20"/>
          <w:szCs w:val="20"/>
          <w:color w:val="auto"/>
        </w:rPr>
      </w:pPr>
      <w:r>
        <w:rPr>
          <w:rFonts w:ascii="Arial" w:cs="Arial" w:eastAsia="Arial" w:hAnsi="Arial"/>
          <w:sz w:val="12"/>
          <w:szCs w:val="12"/>
          <w:i w:val="1"/>
          <w:iCs w:val="1"/>
          <w:color w:val="auto"/>
        </w:rPr>
        <w:t>eCommerce Sales Increase of 17.4%</w:t>
      </w:r>
    </w:p>
    <w:p>
      <w:pPr>
        <w:spacing w:after="0" w:line="159" w:lineRule="exact"/>
        <w:rPr>
          <w:sz w:val="20"/>
          <w:szCs w:val="20"/>
          <w:color w:val="auto"/>
        </w:rPr>
      </w:pPr>
    </w:p>
    <w:p>
      <w:pPr>
        <w:jc w:val="center"/>
        <w:ind w:right="-207"/>
        <w:spacing w:after="0"/>
        <w:rPr>
          <w:sz w:val="20"/>
          <w:szCs w:val="20"/>
          <w:color w:val="auto"/>
        </w:rPr>
      </w:pPr>
      <w:r>
        <w:rPr>
          <w:rFonts w:ascii="Arial" w:cs="Arial" w:eastAsia="Arial" w:hAnsi="Arial"/>
          <w:sz w:val="12"/>
          <w:szCs w:val="12"/>
          <w:i w:val="1"/>
          <w:iCs w:val="1"/>
          <w:color w:val="auto"/>
        </w:rPr>
        <w:t>New Stores Comp Positive High Single Digits</w:t>
      </w:r>
    </w:p>
    <w:p>
      <w:pPr>
        <w:spacing w:after="0" w:line="159" w:lineRule="exact"/>
        <w:rPr>
          <w:sz w:val="20"/>
          <w:szCs w:val="20"/>
          <w:color w:val="auto"/>
        </w:rPr>
      </w:pPr>
    </w:p>
    <w:p>
      <w:pPr>
        <w:jc w:val="center"/>
        <w:ind w:right="-207"/>
        <w:spacing w:after="0"/>
        <w:rPr>
          <w:sz w:val="20"/>
          <w:szCs w:val="20"/>
          <w:color w:val="auto"/>
        </w:rPr>
      </w:pPr>
      <w:r>
        <w:rPr>
          <w:rFonts w:ascii="Arial" w:cs="Arial" w:eastAsia="Arial" w:hAnsi="Arial"/>
          <w:sz w:val="12"/>
          <w:szCs w:val="12"/>
          <w:i w:val="1"/>
          <w:iCs w:val="1"/>
          <w:color w:val="auto"/>
        </w:rPr>
        <w:t>First Quarter Diluted GAAP EPS of $0.80; up 17.6%; Adjusted EPS of $0.93; up 22.4%</w:t>
      </w:r>
    </w:p>
    <w:p>
      <w:pPr>
        <w:spacing w:after="0" w:line="168" w:lineRule="exact"/>
        <w:rPr>
          <w:sz w:val="20"/>
          <w:szCs w:val="20"/>
          <w:color w:val="auto"/>
        </w:rPr>
      </w:pPr>
    </w:p>
    <w:p>
      <w:pPr>
        <w:jc w:val="center"/>
        <w:ind w:right="-207"/>
        <w:spacing w:after="0"/>
        <w:rPr>
          <w:sz w:val="20"/>
          <w:szCs w:val="20"/>
          <w:color w:val="auto"/>
        </w:rPr>
      </w:pPr>
      <w:r>
        <w:rPr>
          <w:rFonts w:ascii="Arial" w:cs="Arial" w:eastAsia="Arial" w:hAnsi="Arial"/>
          <w:sz w:val="12"/>
          <w:szCs w:val="12"/>
          <w:i w:val="1"/>
          <w:iCs w:val="1"/>
          <w:color w:val="auto"/>
        </w:rPr>
        <w:t>Opened Two New Stores in Ohio and Oklahoma</w:t>
      </w:r>
    </w:p>
    <w:p>
      <w:pPr>
        <w:spacing w:after="0" w:line="159" w:lineRule="exact"/>
        <w:rPr>
          <w:sz w:val="20"/>
          <w:szCs w:val="20"/>
          <w:color w:val="auto"/>
        </w:rPr>
      </w:pPr>
    </w:p>
    <w:p>
      <w:pPr>
        <w:jc w:val="center"/>
        <w:ind w:right="-207"/>
        <w:spacing w:after="0"/>
        <w:rPr>
          <w:sz w:val="20"/>
          <w:szCs w:val="20"/>
          <w:color w:val="auto"/>
        </w:rPr>
      </w:pPr>
      <w:r>
        <w:rPr>
          <w:rFonts w:ascii="Arial" w:cs="Arial" w:eastAsia="Arial" w:hAnsi="Arial"/>
          <w:sz w:val="12"/>
          <w:szCs w:val="12"/>
          <w:i w:val="1"/>
          <w:iCs w:val="1"/>
          <w:color w:val="auto"/>
        </w:rPr>
        <w:t>Company Raises Guidance Based on First Quarter Performance</w:t>
      </w:r>
    </w:p>
    <w:p>
      <w:pPr>
        <w:spacing w:after="0" w:line="310" w:lineRule="exact"/>
        <w:rPr>
          <w:sz w:val="20"/>
          <w:szCs w:val="20"/>
          <w:color w:val="auto"/>
        </w:rPr>
      </w:pPr>
    </w:p>
    <w:p>
      <w:pPr>
        <w:ind w:left="8" w:firstLine="216"/>
        <w:spacing w:after="0" w:line="270" w:lineRule="auto"/>
        <w:rPr>
          <w:sz w:val="20"/>
          <w:szCs w:val="20"/>
          <w:color w:val="auto"/>
        </w:rPr>
      </w:pPr>
      <w:r>
        <w:rPr>
          <w:rFonts w:ascii="Arial" w:cs="Arial" w:eastAsia="Arial" w:hAnsi="Arial"/>
          <w:sz w:val="12"/>
          <w:szCs w:val="12"/>
          <w:b w:val="1"/>
          <w:bCs w:val="1"/>
          <w:color w:val="auto"/>
        </w:rPr>
        <w:t xml:space="preserve">KATY, TEXAS (Globe Newswire — June 9, 2026) </w:t>
      </w:r>
      <w:r>
        <w:rPr>
          <w:rFonts w:ascii="Arial" w:cs="Arial" w:eastAsia="Arial" w:hAnsi="Arial"/>
          <w:sz w:val="12"/>
          <w:szCs w:val="12"/>
          <w:color w:val="auto"/>
        </w:rPr>
        <w:t>– Academy Sports and Outdoors, Inc. (Nasdaq: ASO) (</w:t>
      </w:r>
      <w:r>
        <w:rPr>
          <w:rFonts w:ascii="Arial" w:cs="Arial" w:eastAsia="Arial" w:hAnsi="Arial"/>
          <w:sz w:val="12"/>
          <w:szCs w:val="12"/>
          <w:i w:val="1"/>
          <w:iCs w:val="1"/>
          <w:color w:val="auto"/>
        </w:rPr>
        <w:t>“</w:t>
      </w:r>
      <w:r>
        <w:rPr>
          <w:rFonts w:ascii="Arial" w:cs="Arial" w:eastAsia="Arial" w:hAnsi="Arial"/>
          <w:sz w:val="12"/>
          <w:szCs w:val="12"/>
          <w:color w:val="auto"/>
        </w:rPr>
        <w:t>Academy</w:t>
      </w:r>
      <w:r>
        <w:rPr>
          <w:rFonts w:ascii="Arial" w:cs="Arial" w:eastAsia="Arial" w:hAnsi="Arial"/>
          <w:sz w:val="12"/>
          <w:szCs w:val="12"/>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or the</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w:t>
      </w:r>
      <w:r>
        <w:rPr>
          <w:rFonts w:ascii="Arial" w:cs="Arial" w:eastAsia="Arial" w:hAnsi="Arial"/>
          <w:sz w:val="12"/>
          <w:szCs w:val="12"/>
          <w:color w:val="auto"/>
        </w:rPr>
        <w:t>Company</w:t>
      </w:r>
      <w:r>
        <w:rPr>
          <w:rFonts w:ascii="Arial" w:cs="Arial" w:eastAsia="Arial" w:hAnsi="Arial"/>
          <w:sz w:val="12"/>
          <w:szCs w:val="12"/>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 today announced its financial results for the first quarter ended May 2,</w:t>
      </w:r>
      <w:r>
        <w:rPr>
          <w:rFonts w:ascii="Arial" w:cs="Arial" w:eastAsia="Arial" w:hAnsi="Arial"/>
          <w:sz w:val="12"/>
          <w:szCs w:val="12"/>
          <w:b w:val="1"/>
          <w:bCs w:val="1"/>
          <w:color w:val="auto"/>
        </w:rPr>
        <w:t xml:space="preserve"> </w:t>
      </w:r>
      <w:r>
        <w:rPr>
          <w:rFonts w:ascii="Arial" w:cs="Arial" w:eastAsia="Arial" w:hAnsi="Arial"/>
          <w:sz w:val="12"/>
          <w:szCs w:val="12"/>
          <w:color w:val="auto"/>
        </w:rPr>
        <w:t>2026.</w:t>
      </w:r>
    </w:p>
    <w:p>
      <w:pPr>
        <w:spacing w:after="0" w:line="131" w:lineRule="exact"/>
        <w:rPr>
          <w:sz w:val="20"/>
          <w:szCs w:val="20"/>
          <w:color w:val="auto"/>
        </w:rPr>
      </w:pPr>
    </w:p>
    <w:p>
      <w:pPr>
        <w:ind w:left="8" w:right="100"/>
        <w:spacing w:after="0" w:line="260" w:lineRule="auto"/>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color w:val="auto"/>
        </w:rPr>
        <w:t>We were pleased with the continued improvement in our results in Q1, with total sales up 6.7%, driven by increases in both traffic and average ticket," said Steve Lawrence, Chief Executive Officer. "Based on our</w:t>
      </w:r>
      <w:r>
        <w:rPr>
          <w:rFonts w:ascii="Arial" w:cs="Arial" w:eastAsia="Arial" w:hAnsi="Arial"/>
          <w:sz w:val="12"/>
          <w:szCs w:val="12"/>
          <w:i w:val="1"/>
          <w:iCs w:val="1"/>
          <w:color w:val="auto"/>
        </w:rPr>
        <w:t xml:space="preserve"> </w:t>
      </w:r>
      <w:r>
        <w:rPr>
          <w:rFonts w:ascii="Arial" w:cs="Arial" w:eastAsia="Arial" w:hAnsi="Arial"/>
          <w:sz w:val="12"/>
          <w:szCs w:val="12"/>
          <w:color w:val="auto"/>
        </w:rPr>
        <w:t>Q1 performance, we are raising the low end of our full-year guidance. While we expect inflationary pressures to continue impacting consumer spending for the remainder of the year, our goal is to build on the momentum in our business. We plan to accomplish this by methodically executing against our long-range strategies as we continue to offer customers compelling assortments at outstanding values.</w:t>
      </w:r>
      <w:r>
        <w:rPr>
          <w:rFonts w:ascii="Arial" w:cs="Arial" w:eastAsia="Arial" w:hAnsi="Arial"/>
          <w:sz w:val="12"/>
          <w:szCs w:val="12"/>
          <w:i w:val="1"/>
          <w:iCs w:val="1"/>
          <w:color w:val="auto"/>
        </w:rPr>
        <w:t>”</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99"/>
        </w:trPr>
        <w:tc>
          <w:tcPr>
            <w:tcW w:w="3580" w:type="dxa"/>
            <w:vAlign w:val="bottom"/>
            <w:vMerge w:val="restart"/>
            <w:shd w:val="clear" w:color="auto" w:fill="0E32E1"/>
          </w:tcPr>
          <w:p>
            <w:pPr>
              <w:spacing w:after="0"/>
              <w:rPr>
                <w:sz w:val="20"/>
                <w:szCs w:val="20"/>
                <w:color w:val="auto"/>
              </w:rPr>
            </w:pPr>
            <w:r>
              <w:rPr>
                <w:rFonts w:ascii="Arial" w:cs="Arial" w:eastAsia="Arial" w:hAnsi="Arial"/>
                <w:sz w:val="13"/>
                <w:szCs w:val="13"/>
                <w:b w:val="1"/>
                <w:bCs w:val="1"/>
                <w:color w:val="FFFFFF"/>
              </w:rPr>
              <w:t>First Quarter Operating Results</w:t>
            </w:r>
          </w:p>
        </w:tc>
        <w:tc>
          <w:tcPr>
            <w:tcW w:w="4600" w:type="dxa"/>
            <w:vAlign w:val="bottom"/>
            <w:gridSpan w:val="3"/>
            <w:shd w:val="clear" w:color="auto" w:fill="0E32E1"/>
          </w:tcPr>
          <w:p>
            <w:pPr>
              <w:jc w:val="right"/>
              <w:ind w:right="699"/>
              <w:spacing w:after="0"/>
              <w:rPr>
                <w:sz w:val="20"/>
                <w:szCs w:val="20"/>
                <w:color w:val="auto"/>
              </w:rPr>
            </w:pPr>
            <w:r>
              <w:rPr>
                <w:rFonts w:ascii="Arial" w:cs="Arial" w:eastAsia="Arial" w:hAnsi="Arial"/>
                <w:sz w:val="13"/>
                <w:szCs w:val="13"/>
                <w:b w:val="1"/>
                <w:bCs w:val="1"/>
                <w:color w:val="FFFFFF"/>
              </w:rPr>
              <w:t>Thirteen Weeks Ended</w:t>
            </w:r>
          </w:p>
        </w:tc>
        <w:tc>
          <w:tcPr>
            <w:tcW w:w="1120" w:type="dxa"/>
            <w:vAlign w:val="bottom"/>
            <w:shd w:val="clear" w:color="auto" w:fill="0E32E1"/>
          </w:tcPr>
          <w:p>
            <w:pPr>
              <w:spacing w:after="0"/>
              <w:rPr>
                <w:sz w:val="17"/>
                <w:szCs w:val="17"/>
                <w:color w:val="auto"/>
              </w:rPr>
            </w:pPr>
          </w:p>
        </w:tc>
        <w:tc>
          <w:tcPr>
            <w:tcW w:w="2000" w:type="dxa"/>
            <w:vAlign w:val="bottom"/>
            <w:shd w:val="clear" w:color="auto" w:fill="0E32E1"/>
          </w:tcPr>
          <w:p>
            <w:pPr>
              <w:ind w:left="500"/>
              <w:spacing w:after="0"/>
              <w:rPr>
                <w:sz w:val="20"/>
                <w:szCs w:val="20"/>
                <w:color w:val="auto"/>
              </w:rPr>
            </w:pPr>
            <w:r>
              <w:rPr>
                <w:rFonts w:ascii="Arial" w:cs="Arial" w:eastAsia="Arial" w:hAnsi="Arial"/>
                <w:sz w:val="13"/>
                <w:szCs w:val="13"/>
                <w:b w:val="1"/>
                <w:bCs w:val="1"/>
                <w:color w:val="FFFFFF"/>
              </w:rPr>
              <w:t>Change</w:t>
            </w:r>
          </w:p>
        </w:tc>
        <w:tc>
          <w:tcPr>
            <w:tcW w:w="0" w:type="dxa"/>
            <w:vAlign w:val="bottom"/>
          </w:tcPr>
          <w:p>
            <w:pPr>
              <w:spacing w:after="0"/>
              <w:rPr>
                <w:sz w:val="1"/>
                <w:szCs w:val="1"/>
                <w:color w:val="auto"/>
              </w:rPr>
            </w:pPr>
          </w:p>
        </w:tc>
      </w:tr>
      <w:tr>
        <w:trPr>
          <w:trHeight w:val="68"/>
        </w:trPr>
        <w:tc>
          <w:tcPr>
            <w:tcW w:w="3580" w:type="dxa"/>
            <w:vAlign w:val="bottom"/>
            <w:vMerge w:val="continue"/>
            <w:shd w:val="clear" w:color="auto" w:fill="0E32E1"/>
          </w:tcPr>
          <w:p>
            <w:pPr>
              <w:spacing w:after="0"/>
              <w:rPr>
                <w:sz w:val="5"/>
                <w:szCs w:val="5"/>
                <w:color w:val="auto"/>
              </w:rPr>
            </w:pPr>
          </w:p>
        </w:tc>
        <w:tc>
          <w:tcPr>
            <w:tcW w:w="2500" w:type="dxa"/>
            <w:vAlign w:val="bottom"/>
            <w:vMerge w:val="restart"/>
            <w:shd w:val="clear" w:color="auto" w:fill="0E32E1"/>
          </w:tcPr>
          <w:p>
            <w:pPr>
              <w:jc w:val="right"/>
              <w:spacing w:after="0"/>
              <w:rPr>
                <w:sz w:val="20"/>
                <w:szCs w:val="20"/>
                <w:color w:val="auto"/>
              </w:rPr>
            </w:pPr>
            <w:r>
              <w:rPr>
                <w:rFonts w:ascii="Arial" w:cs="Arial" w:eastAsia="Arial" w:hAnsi="Arial"/>
                <w:sz w:val="13"/>
                <w:szCs w:val="13"/>
                <w:b w:val="1"/>
                <w:bCs w:val="1"/>
                <w:color w:val="FFFFFF"/>
              </w:rPr>
              <w:t>May 2, 2026</w:t>
            </w:r>
          </w:p>
        </w:tc>
        <w:tc>
          <w:tcPr>
            <w:tcW w:w="620" w:type="dxa"/>
            <w:vAlign w:val="bottom"/>
            <w:shd w:val="clear" w:color="auto" w:fill="0E32E1"/>
          </w:tcPr>
          <w:p>
            <w:pPr>
              <w:spacing w:after="0"/>
              <w:rPr>
                <w:sz w:val="5"/>
                <w:szCs w:val="5"/>
                <w:color w:val="auto"/>
              </w:rPr>
            </w:pPr>
          </w:p>
        </w:tc>
        <w:tc>
          <w:tcPr>
            <w:tcW w:w="1480" w:type="dxa"/>
            <w:vAlign w:val="bottom"/>
            <w:vMerge w:val="restart"/>
            <w:shd w:val="clear" w:color="auto" w:fill="0E32E1"/>
          </w:tcPr>
          <w:p>
            <w:pPr>
              <w:jc w:val="right"/>
              <w:spacing w:after="0"/>
              <w:rPr>
                <w:sz w:val="20"/>
                <w:szCs w:val="20"/>
                <w:color w:val="auto"/>
              </w:rPr>
            </w:pPr>
            <w:r>
              <w:rPr>
                <w:rFonts w:ascii="Arial" w:cs="Arial" w:eastAsia="Arial" w:hAnsi="Arial"/>
                <w:sz w:val="13"/>
                <w:szCs w:val="13"/>
                <w:b w:val="1"/>
                <w:bCs w:val="1"/>
                <w:color w:val="FFFFFF"/>
              </w:rPr>
              <w:t>May 3, 2025</w:t>
            </w:r>
          </w:p>
        </w:tc>
        <w:tc>
          <w:tcPr>
            <w:tcW w:w="1120" w:type="dxa"/>
            <w:vAlign w:val="bottom"/>
            <w:shd w:val="clear" w:color="auto" w:fill="0E32E1"/>
          </w:tcPr>
          <w:p>
            <w:pPr>
              <w:spacing w:after="0"/>
              <w:rPr>
                <w:sz w:val="5"/>
                <w:szCs w:val="5"/>
                <w:color w:val="auto"/>
              </w:rPr>
            </w:pPr>
          </w:p>
        </w:tc>
        <w:tc>
          <w:tcPr>
            <w:tcW w:w="2000" w:type="dxa"/>
            <w:vAlign w:val="bottom"/>
            <w:vMerge w:val="restart"/>
            <w:shd w:val="clear" w:color="auto" w:fill="0E32E1"/>
          </w:tcPr>
          <w:p>
            <w:pPr>
              <w:jc w:val="center"/>
              <w:ind w:right="459"/>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29"/>
        </w:trPr>
        <w:tc>
          <w:tcPr>
            <w:tcW w:w="3580" w:type="dxa"/>
            <w:vAlign w:val="bottom"/>
            <w:shd w:val="clear" w:color="auto" w:fill="0E32E1"/>
          </w:tcPr>
          <w:p>
            <w:pPr>
              <w:spacing w:after="0"/>
              <w:rPr>
                <w:sz w:val="20"/>
                <w:szCs w:val="20"/>
                <w:color w:val="auto"/>
              </w:rPr>
            </w:pPr>
            <w:r>
              <w:rPr>
                <w:rFonts w:ascii="Arial" w:cs="Arial" w:eastAsia="Arial" w:hAnsi="Arial"/>
                <w:sz w:val="8"/>
                <w:szCs w:val="8"/>
                <w:b w:val="1"/>
                <w:bCs w:val="1"/>
                <w:color w:val="FFFFFF"/>
              </w:rPr>
              <w:t>($ in millions, except per share data)</w:t>
            </w:r>
          </w:p>
        </w:tc>
        <w:tc>
          <w:tcPr>
            <w:tcW w:w="2500" w:type="dxa"/>
            <w:vAlign w:val="bottom"/>
            <w:vMerge w:val="continue"/>
            <w:shd w:val="clear" w:color="auto" w:fill="0E32E1"/>
          </w:tcPr>
          <w:p>
            <w:pPr>
              <w:spacing w:after="0"/>
              <w:rPr>
                <w:sz w:val="11"/>
                <w:szCs w:val="11"/>
                <w:color w:val="auto"/>
              </w:rPr>
            </w:pPr>
          </w:p>
        </w:tc>
        <w:tc>
          <w:tcPr>
            <w:tcW w:w="620" w:type="dxa"/>
            <w:vAlign w:val="bottom"/>
            <w:shd w:val="clear" w:color="auto" w:fill="0E32E1"/>
          </w:tcPr>
          <w:p>
            <w:pPr>
              <w:spacing w:after="0"/>
              <w:rPr>
                <w:sz w:val="11"/>
                <w:szCs w:val="11"/>
                <w:color w:val="auto"/>
              </w:rPr>
            </w:pPr>
          </w:p>
        </w:tc>
        <w:tc>
          <w:tcPr>
            <w:tcW w:w="1480" w:type="dxa"/>
            <w:vAlign w:val="bottom"/>
            <w:vMerge w:val="continue"/>
            <w:shd w:val="clear" w:color="auto" w:fill="0E32E1"/>
          </w:tcPr>
          <w:p>
            <w:pPr>
              <w:spacing w:after="0"/>
              <w:rPr>
                <w:sz w:val="11"/>
                <w:szCs w:val="11"/>
                <w:color w:val="auto"/>
              </w:rPr>
            </w:pPr>
          </w:p>
        </w:tc>
        <w:tc>
          <w:tcPr>
            <w:tcW w:w="1120" w:type="dxa"/>
            <w:vAlign w:val="bottom"/>
            <w:shd w:val="clear" w:color="auto" w:fill="0E32E1"/>
          </w:tcPr>
          <w:p>
            <w:pPr>
              <w:spacing w:after="0"/>
              <w:rPr>
                <w:sz w:val="11"/>
                <w:szCs w:val="11"/>
                <w:color w:val="auto"/>
              </w:rPr>
            </w:pPr>
          </w:p>
        </w:tc>
        <w:tc>
          <w:tcPr>
            <w:tcW w:w="2000" w:type="dxa"/>
            <w:vAlign w:val="bottom"/>
            <w:vMerge w:val="continue"/>
            <w:shd w:val="clear" w:color="auto" w:fill="0E32E1"/>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DBDBDB"/>
          </w:tcPr>
          <w:p>
            <w:pPr>
              <w:spacing w:after="0"/>
              <w:rPr>
                <w:sz w:val="20"/>
                <w:szCs w:val="20"/>
                <w:color w:val="auto"/>
              </w:rPr>
            </w:pPr>
            <w:r>
              <w:rPr>
                <w:rFonts w:ascii="Arial" w:cs="Arial" w:eastAsia="Arial" w:hAnsi="Arial"/>
                <w:sz w:val="12"/>
                <w:szCs w:val="12"/>
                <w:color w:val="auto"/>
              </w:rPr>
              <w:t>Net sales</w:t>
            </w:r>
          </w:p>
        </w:tc>
        <w:tc>
          <w:tcPr>
            <w:tcW w:w="2500" w:type="dxa"/>
            <w:vAlign w:val="bottom"/>
            <w:shd w:val="clear" w:color="auto" w:fill="DBDBDB"/>
          </w:tcPr>
          <w:p>
            <w:pPr>
              <w:jc w:val="right"/>
              <w:ind w:right="1319"/>
              <w:spacing w:after="0"/>
              <w:rPr>
                <w:sz w:val="20"/>
                <w:szCs w:val="20"/>
                <w:color w:val="auto"/>
              </w:rPr>
            </w:pPr>
            <w:r>
              <w:rPr>
                <w:rFonts w:ascii="Arial" w:cs="Arial" w:eastAsia="Arial" w:hAnsi="Arial"/>
                <w:sz w:val="12"/>
                <w:szCs w:val="12"/>
                <w:color w:val="auto"/>
              </w:rPr>
              <w:t>$</w:t>
            </w:r>
          </w:p>
        </w:tc>
        <w:tc>
          <w:tcPr>
            <w:tcW w:w="62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rPr>
              <w:t>1,442.0</w:t>
            </w:r>
          </w:p>
        </w:tc>
        <w:tc>
          <w:tcPr>
            <w:tcW w:w="1480" w:type="dxa"/>
            <w:vAlign w:val="bottom"/>
            <w:shd w:val="clear" w:color="auto" w:fill="DBDBDB"/>
          </w:tcPr>
          <w:p>
            <w:pPr>
              <w:jc w:val="right"/>
              <w:ind w:right="1339"/>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DBDB"/>
          </w:tcPr>
          <w:p>
            <w:pPr>
              <w:jc w:val="right"/>
              <w:ind w:right="600"/>
              <w:spacing w:after="0"/>
              <w:rPr>
                <w:sz w:val="20"/>
                <w:szCs w:val="20"/>
                <w:color w:val="auto"/>
              </w:rPr>
            </w:pPr>
            <w:r>
              <w:rPr>
                <w:rFonts w:ascii="Arial" w:cs="Arial" w:eastAsia="Arial" w:hAnsi="Arial"/>
                <w:sz w:val="12"/>
                <w:szCs w:val="12"/>
                <w:color w:val="auto"/>
              </w:rPr>
              <w:t>1,351.4</w:t>
            </w:r>
          </w:p>
        </w:tc>
        <w:tc>
          <w:tcPr>
            <w:tcW w:w="2000" w:type="dxa"/>
            <w:vAlign w:val="bottom"/>
            <w:shd w:val="clear" w:color="auto" w:fill="DBDBDB"/>
          </w:tcPr>
          <w:p>
            <w:pPr>
              <w:jc w:val="center"/>
              <w:ind w:right="459"/>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20"/>
                <w:szCs w:val="20"/>
                <w:color w:val="auto"/>
              </w:rPr>
            </w:pPr>
            <w:r>
              <w:rPr>
                <w:rFonts w:ascii="Arial" w:cs="Arial" w:eastAsia="Arial" w:hAnsi="Arial"/>
                <w:sz w:val="12"/>
                <w:szCs w:val="12"/>
                <w:color w:val="auto"/>
              </w:rPr>
              <w:t>Comparable sales</w:t>
            </w:r>
          </w:p>
        </w:tc>
        <w:tc>
          <w:tcPr>
            <w:tcW w:w="2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2.9 %</w:t>
            </w:r>
          </w:p>
        </w:tc>
        <w:tc>
          <w:tcPr>
            <w:tcW w:w="1480" w:type="dxa"/>
            <w:vAlign w:val="bottom"/>
          </w:tcPr>
          <w:p>
            <w:pPr>
              <w:spacing w:after="0"/>
              <w:rPr>
                <w:sz w:val="14"/>
                <w:szCs w:val="14"/>
                <w:color w:val="auto"/>
              </w:rPr>
            </w:pPr>
          </w:p>
        </w:tc>
        <w:tc>
          <w:tcPr>
            <w:tcW w:w="1120" w:type="dxa"/>
            <w:vAlign w:val="bottom"/>
          </w:tcPr>
          <w:p>
            <w:pPr>
              <w:jc w:val="right"/>
              <w:ind w:right="460"/>
              <w:spacing w:after="0"/>
              <w:rPr>
                <w:sz w:val="20"/>
                <w:szCs w:val="20"/>
                <w:color w:val="auto"/>
              </w:rPr>
            </w:pPr>
            <w:r>
              <w:rPr>
                <w:rFonts w:ascii="Arial" w:cs="Arial" w:eastAsia="Arial" w:hAnsi="Arial"/>
                <w:sz w:val="12"/>
                <w:szCs w:val="12"/>
                <w:color w:val="auto"/>
              </w:rPr>
              <w:t>(3.7)%</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80" w:type="dxa"/>
            <w:vAlign w:val="bottom"/>
            <w:shd w:val="clear" w:color="auto" w:fill="DBDBDB"/>
          </w:tcPr>
          <w:p>
            <w:pPr>
              <w:spacing w:after="0"/>
              <w:rPr>
                <w:sz w:val="20"/>
                <w:szCs w:val="20"/>
                <w:color w:val="auto"/>
              </w:rPr>
            </w:pPr>
            <w:r>
              <w:rPr>
                <w:rFonts w:ascii="Arial" w:cs="Arial" w:eastAsia="Arial" w:hAnsi="Arial"/>
                <w:sz w:val="12"/>
                <w:szCs w:val="12"/>
                <w:color w:val="auto"/>
              </w:rPr>
              <w:t>Income before income tax</w:t>
            </w:r>
          </w:p>
        </w:tc>
        <w:tc>
          <w:tcPr>
            <w:tcW w:w="2500" w:type="dxa"/>
            <w:vAlign w:val="bottom"/>
            <w:shd w:val="clear" w:color="auto" w:fill="DBDBDB"/>
          </w:tcPr>
          <w:p>
            <w:pPr>
              <w:jc w:val="right"/>
              <w:ind w:right="1319"/>
              <w:spacing w:after="0"/>
              <w:rPr>
                <w:sz w:val="20"/>
                <w:szCs w:val="20"/>
                <w:color w:val="auto"/>
              </w:rPr>
            </w:pPr>
            <w:r>
              <w:rPr>
                <w:rFonts w:ascii="Arial" w:cs="Arial" w:eastAsia="Arial" w:hAnsi="Arial"/>
                <w:sz w:val="12"/>
                <w:szCs w:val="12"/>
                <w:color w:val="auto"/>
              </w:rPr>
              <w:t>$</w:t>
            </w:r>
          </w:p>
        </w:tc>
        <w:tc>
          <w:tcPr>
            <w:tcW w:w="62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rPr>
              <w:t>68.9</w:t>
            </w:r>
          </w:p>
        </w:tc>
        <w:tc>
          <w:tcPr>
            <w:tcW w:w="1480" w:type="dxa"/>
            <w:vAlign w:val="bottom"/>
            <w:shd w:val="clear" w:color="auto" w:fill="DBDBDB"/>
          </w:tcPr>
          <w:p>
            <w:pPr>
              <w:jc w:val="right"/>
              <w:ind w:right="1339"/>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DBDB"/>
          </w:tcPr>
          <w:p>
            <w:pPr>
              <w:jc w:val="right"/>
              <w:ind w:right="600"/>
              <w:spacing w:after="0"/>
              <w:rPr>
                <w:sz w:val="20"/>
                <w:szCs w:val="20"/>
                <w:color w:val="auto"/>
              </w:rPr>
            </w:pPr>
            <w:r>
              <w:rPr>
                <w:rFonts w:ascii="Arial" w:cs="Arial" w:eastAsia="Arial" w:hAnsi="Arial"/>
                <w:sz w:val="12"/>
                <w:szCs w:val="12"/>
                <w:color w:val="auto"/>
              </w:rPr>
              <w:t>63.0</w:t>
            </w:r>
          </w:p>
        </w:tc>
        <w:tc>
          <w:tcPr>
            <w:tcW w:w="2000" w:type="dxa"/>
            <w:vAlign w:val="bottom"/>
            <w:shd w:val="clear" w:color="auto" w:fill="DBDBDB"/>
          </w:tcPr>
          <w:p>
            <w:pPr>
              <w:jc w:val="center"/>
              <w:ind w:right="459"/>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20"/>
                <w:szCs w:val="20"/>
                <w:color w:val="auto"/>
              </w:rPr>
            </w:pPr>
            <w:r>
              <w:rPr>
                <w:rFonts w:ascii="Arial" w:cs="Arial" w:eastAsia="Arial" w:hAnsi="Arial"/>
                <w:sz w:val="12"/>
                <w:szCs w:val="12"/>
                <w:color w:val="auto"/>
              </w:rPr>
              <w:t>Net income</w:t>
            </w:r>
          </w:p>
        </w:tc>
        <w:tc>
          <w:tcPr>
            <w:tcW w:w="2500" w:type="dxa"/>
            <w:vAlign w:val="bottom"/>
          </w:tcPr>
          <w:p>
            <w:pPr>
              <w:jc w:val="right"/>
              <w:ind w:right="1319"/>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52.7</w:t>
            </w:r>
          </w:p>
        </w:tc>
        <w:tc>
          <w:tcPr>
            <w:tcW w:w="1480" w:type="dxa"/>
            <w:vAlign w:val="bottom"/>
          </w:tcPr>
          <w:p>
            <w:pPr>
              <w:jc w:val="right"/>
              <w:ind w:right="1339"/>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00"/>
              <w:spacing w:after="0"/>
              <w:rPr>
                <w:sz w:val="20"/>
                <w:szCs w:val="20"/>
                <w:color w:val="auto"/>
              </w:rPr>
            </w:pPr>
            <w:r>
              <w:rPr>
                <w:rFonts w:ascii="Arial" w:cs="Arial" w:eastAsia="Arial" w:hAnsi="Arial"/>
                <w:sz w:val="12"/>
                <w:szCs w:val="12"/>
                <w:color w:val="auto"/>
              </w:rPr>
              <w:t>46.1</w:t>
            </w:r>
          </w:p>
        </w:tc>
        <w:tc>
          <w:tcPr>
            <w:tcW w:w="2000" w:type="dxa"/>
            <w:vAlign w:val="bottom"/>
          </w:tcPr>
          <w:p>
            <w:pPr>
              <w:jc w:val="center"/>
              <w:ind w:right="439"/>
              <w:spacing w:after="0"/>
              <w:rPr>
                <w:sz w:val="20"/>
                <w:szCs w:val="20"/>
                <w:color w:val="auto"/>
              </w:rPr>
            </w:pPr>
            <w:r>
              <w:rPr>
                <w:rFonts w:ascii="Arial" w:cs="Arial" w:eastAsia="Arial" w:hAnsi="Arial"/>
                <w:sz w:val="12"/>
                <w:szCs w:val="12"/>
                <w:color w:val="auto"/>
                <w:w w:val="99"/>
              </w:rPr>
              <w:t>14.3%</w:t>
            </w:r>
          </w:p>
        </w:tc>
        <w:tc>
          <w:tcPr>
            <w:tcW w:w="0" w:type="dxa"/>
            <w:vAlign w:val="bottom"/>
          </w:tcPr>
          <w:p>
            <w:pPr>
              <w:spacing w:after="0"/>
              <w:rPr>
                <w:sz w:val="1"/>
                <w:szCs w:val="1"/>
                <w:color w:val="auto"/>
              </w:rPr>
            </w:pPr>
          </w:p>
        </w:tc>
      </w:tr>
      <w:tr>
        <w:trPr>
          <w:trHeight w:val="188"/>
        </w:trPr>
        <w:tc>
          <w:tcPr>
            <w:tcW w:w="3580" w:type="dxa"/>
            <w:vAlign w:val="bottom"/>
            <w:shd w:val="clear" w:color="auto" w:fill="DBDBDB"/>
          </w:tcPr>
          <w:p>
            <w:pPr>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5"/>
                <w:szCs w:val="15"/>
                <w:color w:val="auto"/>
                <w:vertAlign w:val="superscript"/>
              </w:rPr>
              <w:t>(1)</w:t>
            </w:r>
          </w:p>
        </w:tc>
        <w:tc>
          <w:tcPr>
            <w:tcW w:w="2500" w:type="dxa"/>
            <w:vAlign w:val="bottom"/>
            <w:shd w:val="clear" w:color="auto" w:fill="DBDBDB"/>
          </w:tcPr>
          <w:p>
            <w:pPr>
              <w:jc w:val="right"/>
              <w:ind w:right="1319"/>
              <w:spacing w:after="0"/>
              <w:rPr>
                <w:sz w:val="20"/>
                <w:szCs w:val="20"/>
                <w:color w:val="auto"/>
              </w:rPr>
            </w:pPr>
            <w:r>
              <w:rPr>
                <w:rFonts w:ascii="Arial" w:cs="Arial" w:eastAsia="Arial" w:hAnsi="Arial"/>
                <w:sz w:val="12"/>
                <w:szCs w:val="12"/>
                <w:color w:val="auto"/>
              </w:rPr>
              <w:t>$</w:t>
            </w:r>
          </w:p>
        </w:tc>
        <w:tc>
          <w:tcPr>
            <w:tcW w:w="62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rPr>
              <w:t>61.2</w:t>
            </w:r>
          </w:p>
        </w:tc>
        <w:tc>
          <w:tcPr>
            <w:tcW w:w="1480" w:type="dxa"/>
            <w:vAlign w:val="bottom"/>
            <w:shd w:val="clear" w:color="auto" w:fill="DBDBDB"/>
          </w:tcPr>
          <w:p>
            <w:pPr>
              <w:jc w:val="right"/>
              <w:ind w:right="1339"/>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DBDB"/>
          </w:tcPr>
          <w:p>
            <w:pPr>
              <w:jc w:val="right"/>
              <w:ind w:right="600"/>
              <w:spacing w:after="0"/>
              <w:rPr>
                <w:sz w:val="20"/>
                <w:szCs w:val="20"/>
                <w:color w:val="auto"/>
              </w:rPr>
            </w:pPr>
            <w:r>
              <w:rPr>
                <w:rFonts w:ascii="Arial" w:cs="Arial" w:eastAsia="Arial" w:hAnsi="Arial"/>
                <w:sz w:val="12"/>
                <w:szCs w:val="12"/>
                <w:color w:val="auto"/>
              </w:rPr>
              <w:t>51.6</w:t>
            </w:r>
          </w:p>
        </w:tc>
        <w:tc>
          <w:tcPr>
            <w:tcW w:w="2000" w:type="dxa"/>
            <w:vAlign w:val="bottom"/>
            <w:shd w:val="clear" w:color="auto" w:fill="DBDBDB"/>
          </w:tcPr>
          <w:p>
            <w:pPr>
              <w:jc w:val="center"/>
              <w:ind w:right="439"/>
              <w:spacing w:after="0"/>
              <w:rPr>
                <w:sz w:val="20"/>
                <w:szCs w:val="20"/>
                <w:color w:val="auto"/>
              </w:rPr>
            </w:pPr>
            <w:r>
              <w:rPr>
                <w:rFonts w:ascii="Arial" w:cs="Arial" w:eastAsia="Arial" w:hAnsi="Arial"/>
                <w:sz w:val="12"/>
                <w:szCs w:val="12"/>
                <w:color w:val="auto"/>
                <w:w w:val="99"/>
              </w:rPr>
              <w:t>18.6%</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20"/>
                <w:szCs w:val="20"/>
                <w:color w:val="auto"/>
              </w:rPr>
            </w:pPr>
            <w:r>
              <w:rPr>
                <w:rFonts w:ascii="Arial" w:cs="Arial" w:eastAsia="Arial" w:hAnsi="Arial"/>
                <w:sz w:val="12"/>
                <w:szCs w:val="12"/>
                <w:color w:val="auto"/>
              </w:rPr>
              <w:t>Earnings per common share, diluted</w:t>
            </w:r>
          </w:p>
        </w:tc>
        <w:tc>
          <w:tcPr>
            <w:tcW w:w="2500" w:type="dxa"/>
            <w:vAlign w:val="bottom"/>
          </w:tcPr>
          <w:p>
            <w:pPr>
              <w:jc w:val="right"/>
              <w:ind w:right="1319"/>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0.80</w:t>
            </w:r>
          </w:p>
        </w:tc>
        <w:tc>
          <w:tcPr>
            <w:tcW w:w="1480" w:type="dxa"/>
            <w:vAlign w:val="bottom"/>
          </w:tcPr>
          <w:p>
            <w:pPr>
              <w:jc w:val="right"/>
              <w:ind w:right="1339"/>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00"/>
              <w:spacing w:after="0"/>
              <w:rPr>
                <w:sz w:val="20"/>
                <w:szCs w:val="20"/>
                <w:color w:val="auto"/>
              </w:rPr>
            </w:pPr>
            <w:r>
              <w:rPr>
                <w:rFonts w:ascii="Arial" w:cs="Arial" w:eastAsia="Arial" w:hAnsi="Arial"/>
                <w:sz w:val="12"/>
                <w:szCs w:val="12"/>
                <w:color w:val="auto"/>
              </w:rPr>
              <w:t>0.68</w:t>
            </w:r>
          </w:p>
        </w:tc>
        <w:tc>
          <w:tcPr>
            <w:tcW w:w="2000" w:type="dxa"/>
            <w:vAlign w:val="bottom"/>
          </w:tcPr>
          <w:p>
            <w:pPr>
              <w:jc w:val="center"/>
              <w:ind w:right="439"/>
              <w:spacing w:after="0"/>
              <w:rPr>
                <w:sz w:val="20"/>
                <w:szCs w:val="20"/>
                <w:color w:val="auto"/>
              </w:rPr>
            </w:pPr>
            <w:r>
              <w:rPr>
                <w:rFonts w:ascii="Arial" w:cs="Arial" w:eastAsia="Arial" w:hAnsi="Arial"/>
                <w:sz w:val="12"/>
                <w:szCs w:val="12"/>
                <w:color w:val="auto"/>
                <w:w w:val="99"/>
              </w:rPr>
              <w:t>17.6%</w:t>
            </w:r>
          </w:p>
        </w:tc>
        <w:tc>
          <w:tcPr>
            <w:tcW w:w="0" w:type="dxa"/>
            <w:vAlign w:val="bottom"/>
          </w:tcPr>
          <w:p>
            <w:pPr>
              <w:spacing w:after="0"/>
              <w:rPr>
                <w:sz w:val="1"/>
                <w:szCs w:val="1"/>
                <w:color w:val="auto"/>
              </w:rPr>
            </w:pPr>
          </w:p>
        </w:tc>
      </w:tr>
      <w:tr>
        <w:trPr>
          <w:trHeight w:val="188"/>
        </w:trPr>
        <w:tc>
          <w:tcPr>
            <w:tcW w:w="3580" w:type="dxa"/>
            <w:vAlign w:val="bottom"/>
            <w:shd w:val="clear" w:color="auto" w:fill="DBDBDB"/>
          </w:tcPr>
          <w:p>
            <w:pPr>
              <w:spacing w:after="0"/>
              <w:rPr>
                <w:sz w:val="20"/>
                <w:szCs w:val="20"/>
                <w:color w:val="auto"/>
              </w:rPr>
            </w:pPr>
            <w:r>
              <w:rPr>
                <w:rFonts w:ascii="Arial" w:cs="Arial" w:eastAsia="Arial" w:hAnsi="Arial"/>
                <w:sz w:val="12"/>
                <w:szCs w:val="12"/>
                <w:color w:val="auto"/>
              </w:rPr>
              <w:t>Adjusted earnings per common share, diluted</w:t>
            </w:r>
            <w:r>
              <w:rPr>
                <w:rFonts w:ascii="Arial" w:cs="Arial" w:eastAsia="Arial" w:hAnsi="Arial"/>
                <w:sz w:val="15"/>
                <w:szCs w:val="15"/>
                <w:color w:val="auto"/>
                <w:vertAlign w:val="superscript"/>
              </w:rPr>
              <w:t>(1)</w:t>
            </w:r>
          </w:p>
        </w:tc>
        <w:tc>
          <w:tcPr>
            <w:tcW w:w="2500" w:type="dxa"/>
            <w:vAlign w:val="bottom"/>
            <w:shd w:val="clear" w:color="auto" w:fill="DBDBDB"/>
          </w:tcPr>
          <w:p>
            <w:pPr>
              <w:jc w:val="right"/>
              <w:ind w:right="1319"/>
              <w:spacing w:after="0"/>
              <w:rPr>
                <w:sz w:val="20"/>
                <w:szCs w:val="20"/>
                <w:color w:val="auto"/>
              </w:rPr>
            </w:pPr>
            <w:r>
              <w:rPr>
                <w:rFonts w:ascii="Arial" w:cs="Arial" w:eastAsia="Arial" w:hAnsi="Arial"/>
                <w:sz w:val="12"/>
                <w:szCs w:val="12"/>
                <w:color w:val="auto"/>
              </w:rPr>
              <w:t>$</w:t>
            </w:r>
          </w:p>
        </w:tc>
        <w:tc>
          <w:tcPr>
            <w:tcW w:w="62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rPr>
              <w:t>0.93</w:t>
            </w:r>
          </w:p>
        </w:tc>
        <w:tc>
          <w:tcPr>
            <w:tcW w:w="1480" w:type="dxa"/>
            <w:vAlign w:val="bottom"/>
            <w:shd w:val="clear" w:color="auto" w:fill="DBDBDB"/>
          </w:tcPr>
          <w:p>
            <w:pPr>
              <w:jc w:val="right"/>
              <w:ind w:right="1339"/>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DBDB"/>
          </w:tcPr>
          <w:p>
            <w:pPr>
              <w:jc w:val="right"/>
              <w:ind w:right="600"/>
              <w:spacing w:after="0"/>
              <w:rPr>
                <w:sz w:val="20"/>
                <w:szCs w:val="20"/>
                <w:color w:val="auto"/>
              </w:rPr>
            </w:pPr>
            <w:r>
              <w:rPr>
                <w:rFonts w:ascii="Arial" w:cs="Arial" w:eastAsia="Arial" w:hAnsi="Arial"/>
                <w:sz w:val="12"/>
                <w:szCs w:val="12"/>
                <w:color w:val="auto"/>
              </w:rPr>
              <w:t>0.76</w:t>
            </w:r>
          </w:p>
        </w:tc>
        <w:tc>
          <w:tcPr>
            <w:tcW w:w="2000" w:type="dxa"/>
            <w:vAlign w:val="bottom"/>
            <w:shd w:val="clear" w:color="auto" w:fill="DBDBDB"/>
          </w:tcPr>
          <w:p>
            <w:pPr>
              <w:jc w:val="center"/>
              <w:ind w:right="439"/>
              <w:spacing w:after="0"/>
              <w:rPr>
                <w:sz w:val="20"/>
                <w:szCs w:val="20"/>
                <w:color w:val="auto"/>
              </w:rPr>
            </w:pPr>
            <w:r>
              <w:rPr>
                <w:rFonts w:ascii="Arial" w:cs="Arial" w:eastAsia="Arial" w:hAnsi="Arial"/>
                <w:sz w:val="12"/>
                <w:szCs w:val="12"/>
                <w:color w:val="auto"/>
                <w:w w:val="99"/>
              </w:rPr>
              <w:t>22.4%</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8" w:right="160" w:hanging="8"/>
        <w:spacing w:after="0" w:line="281" w:lineRule="auto"/>
        <w:tabs>
          <w:tab w:leader="none" w:pos="134" w:val="left"/>
        </w:tabs>
        <w:numPr>
          <w:ilvl w:val="0"/>
          <w:numId w:val="2"/>
        </w:numPr>
        <w:rPr>
          <w:rFonts w:ascii="Arial" w:cs="Arial" w:eastAsia="Arial" w:hAnsi="Arial"/>
          <w:sz w:val="8"/>
          <w:szCs w:val="8"/>
          <w:color w:val="auto"/>
        </w:rPr>
      </w:pPr>
      <w:r>
        <w:rPr>
          <w:rFonts w:ascii="Arial" w:cs="Arial" w:eastAsia="Arial" w:hAnsi="Arial"/>
          <w:sz w:val="8"/>
          <w:szCs w:val="8"/>
          <w:color w:val="auto"/>
        </w:rPr>
        <w:t>Adjusted net income and adjusted earnings per common share (EPS), diluted are non-GAAP measures. See "Non-GAAP Measures" and "Reconciliations of GAAP to Non-GAAP Financial Measures" below for reconciliations of non-GAAP financial measures to their most directly comparable GAAP financial measures.</w:t>
      </w:r>
    </w:p>
    <w:p>
      <w:pPr>
        <w:spacing w:after="0" w:line="166" w:lineRule="exact"/>
        <w:rPr>
          <w:sz w:val="20"/>
          <w:szCs w:val="20"/>
          <w:color w:val="auto"/>
        </w:rPr>
      </w:pPr>
    </w:p>
    <w:tbl>
      <w:tblPr>
        <w:tblLayout w:type="fixed"/>
        <w:tblInd w:w="108" w:type="dxa"/>
        <w:tblCellMar>
          <w:top w:w="0" w:type="dxa"/>
          <w:left w:w="0" w:type="dxa"/>
          <w:bottom w:w="0" w:type="dxa"/>
          <w:right w:w="0" w:type="dxa"/>
        </w:tblCellMar>
      </w:tblPr>
      <w:tr>
        <w:trPr>
          <w:trHeight w:val="198"/>
        </w:trPr>
        <w:tc>
          <w:tcPr>
            <w:tcW w:w="4520" w:type="dxa"/>
            <w:vAlign w:val="bottom"/>
            <w:shd w:val="clear" w:color="auto" w:fill="0E32E1"/>
          </w:tcPr>
          <w:p>
            <w:pPr>
              <w:spacing w:after="0"/>
              <w:rPr>
                <w:sz w:val="17"/>
                <w:szCs w:val="17"/>
                <w:color w:val="auto"/>
              </w:rPr>
            </w:pPr>
          </w:p>
        </w:tc>
        <w:tc>
          <w:tcPr>
            <w:tcW w:w="1520" w:type="dxa"/>
            <w:vAlign w:val="bottom"/>
            <w:shd w:val="clear" w:color="auto" w:fill="0E32E1"/>
          </w:tcPr>
          <w:p>
            <w:pPr>
              <w:spacing w:after="0"/>
              <w:rPr>
                <w:sz w:val="17"/>
                <w:szCs w:val="17"/>
                <w:color w:val="auto"/>
              </w:rPr>
            </w:pPr>
          </w:p>
        </w:tc>
        <w:tc>
          <w:tcPr>
            <w:tcW w:w="2400" w:type="dxa"/>
            <w:vAlign w:val="bottom"/>
            <w:gridSpan w:val="2"/>
            <w:shd w:val="clear" w:color="auto" w:fill="0E32E1"/>
          </w:tcPr>
          <w:p>
            <w:pPr>
              <w:jc w:val="right"/>
              <w:ind w:right="899"/>
              <w:spacing w:after="0"/>
              <w:rPr>
                <w:sz w:val="20"/>
                <w:szCs w:val="20"/>
                <w:color w:val="auto"/>
              </w:rPr>
            </w:pPr>
            <w:r>
              <w:rPr>
                <w:rFonts w:ascii="Arial" w:cs="Arial" w:eastAsia="Arial" w:hAnsi="Arial"/>
                <w:sz w:val="13"/>
                <w:szCs w:val="13"/>
                <w:b w:val="1"/>
                <w:bCs w:val="1"/>
                <w:color w:val="FFFFFF"/>
              </w:rPr>
              <w:t>Thirteen Weeks Ended</w:t>
            </w:r>
          </w:p>
        </w:tc>
        <w:tc>
          <w:tcPr>
            <w:tcW w:w="960" w:type="dxa"/>
            <w:vAlign w:val="bottom"/>
            <w:shd w:val="clear" w:color="auto" w:fill="0E32E1"/>
          </w:tcPr>
          <w:p>
            <w:pPr>
              <w:spacing w:after="0"/>
              <w:rPr>
                <w:sz w:val="17"/>
                <w:szCs w:val="17"/>
                <w:color w:val="auto"/>
              </w:rPr>
            </w:pPr>
          </w:p>
        </w:tc>
        <w:tc>
          <w:tcPr>
            <w:tcW w:w="1700" w:type="dxa"/>
            <w:vAlign w:val="bottom"/>
            <w:shd w:val="clear" w:color="auto" w:fill="0E32E1"/>
          </w:tcPr>
          <w:p>
            <w:pPr>
              <w:ind w:left="420"/>
              <w:spacing w:after="0"/>
              <w:rPr>
                <w:sz w:val="20"/>
                <w:szCs w:val="20"/>
                <w:color w:val="auto"/>
              </w:rPr>
            </w:pPr>
            <w:r>
              <w:rPr>
                <w:rFonts w:ascii="Arial" w:cs="Arial" w:eastAsia="Arial" w:hAnsi="Arial"/>
                <w:sz w:val="13"/>
                <w:szCs w:val="13"/>
                <w:b w:val="1"/>
                <w:bCs w:val="1"/>
                <w:color w:val="FFFFFF"/>
              </w:rPr>
              <w:t>Change</w:t>
            </w:r>
          </w:p>
        </w:tc>
      </w:tr>
      <w:tr>
        <w:trPr>
          <w:trHeight w:val="198"/>
        </w:trPr>
        <w:tc>
          <w:tcPr>
            <w:tcW w:w="4520" w:type="dxa"/>
            <w:vAlign w:val="bottom"/>
            <w:shd w:val="clear" w:color="auto" w:fill="0E32E1"/>
          </w:tcPr>
          <w:p>
            <w:pPr>
              <w:spacing w:after="0"/>
              <w:rPr>
                <w:sz w:val="20"/>
                <w:szCs w:val="20"/>
                <w:color w:val="auto"/>
              </w:rPr>
            </w:pPr>
            <w:r>
              <w:rPr>
                <w:rFonts w:ascii="Arial" w:cs="Arial" w:eastAsia="Arial" w:hAnsi="Arial"/>
                <w:sz w:val="13"/>
                <w:szCs w:val="13"/>
                <w:b w:val="1"/>
                <w:bCs w:val="1"/>
                <w:color w:val="FFFFFF"/>
              </w:rPr>
              <w:t xml:space="preserve">Balance Sheet </w:t>
            </w:r>
            <w:r>
              <w:rPr>
                <w:rFonts w:ascii="Arial" w:cs="Arial" w:eastAsia="Arial" w:hAnsi="Arial"/>
                <w:sz w:val="9"/>
                <w:szCs w:val="9"/>
                <w:b w:val="1"/>
                <w:bCs w:val="1"/>
                <w:color w:val="FFFFFF"/>
              </w:rPr>
              <w:t>($ in millions)</w:t>
            </w:r>
          </w:p>
        </w:tc>
        <w:tc>
          <w:tcPr>
            <w:tcW w:w="1520" w:type="dxa"/>
            <w:vAlign w:val="bottom"/>
            <w:shd w:val="clear" w:color="auto" w:fill="0E32E1"/>
          </w:tcPr>
          <w:p>
            <w:pPr>
              <w:jc w:val="right"/>
              <w:spacing w:after="0"/>
              <w:rPr>
                <w:sz w:val="20"/>
                <w:szCs w:val="20"/>
                <w:color w:val="auto"/>
              </w:rPr>
            </w:pPr>
            <w:r>
              <w:rPr>
                <w:rFonts w:ascii="Arial" w:cs="Arial" w:eastAsia="Arial" w:hAnsi="Arial"/>
                <w:sz w:val="13"/>
                <w:szCs w:val="13"/>
                <w:b w:val="1"/>
                <w:bCs w:val="1"/>
                <w:color w:val="FFFFFF"/>
              </w:rPr>
              <w:t>May 2, 2026</w:t>
            </w:r>
          </w:p>
        </w:tc>
        <w:tc>
          <w:tcPr>
            <w:tcW w:w="720" w:type="dxa"/>
            <w:vAlign w:val="bottom"/>
            <w:shd w:val="clear" w:color="auto" w:fill="0E32E1"/>
          </w:tcPr>
          <w:p>
            <w:pPr>
              <w:spacing w:after="0"/>
              <w:rPr>
                <w:sz w:val="17"/>
                <w:szCs w:val="17"/>
                <w:color w:val="auto"/>
              </w:rPr>
            </w:pPr>
          </w:p>
        </w:tc>
        <w:tc>
          <w:tcPr>
            <w:tcW w:w="1680" w:type="dxa"/>
            <w:vAlign w:val="bottom"/>
            <w:shd w:val="clear" w:color="auto" w:fill="0E32E1"/>
          </w:tcPr>
          <w:p>
            <w:pPr>
              <w:jc w:val="right"/>
              <w:ind w:right="99"/>
              <w:spacing w:after="0"/>
              <w:rPr>
                <w:sz w:val="20"/>
                <w:szCs w:val="20"/>
                <w:color w:val="auto"/>
              </w:rPr>
            </w:pPr>
            <w:r>
              <w:rPr>
                <w:rFonts w:ascii="Arial" w:cs="Arial" w:eastAsia="Arial" w:hAnsi="Arial"/>
                <w:sz w:val="13"/>
                <w:szCs w:val="13"/>
                <w:b w:val="1"/>
                <w:bCs w:val="1"/>
                <w:color w:val="FFFFFF"/>
              </w:rPr>
              <w:t>May 3, 2025</w:t>
            </w:r>
          </w:p>
        </w:tc>
        <w:tc>
          <w:tcPr>
            <w:tcW w:w="960" w:type="dxa"/>
            <w:vAlign w:val="bottom"/>
            <w:shd w:val="clear" w:color="auto" w:fill="0E32E1"/>
          </w:tcPr>
          <w:p>
            <w:pPr>
              <w:spacing w:after="0"/>
              <w:rPr>
                <w:sz w:val="17"/>
                <w:szCs w:val="17"/>
                <w:color w:val="auto"/>
              </w:rPr>
            </w:pPr>
          </w:p>
        </w:tc>
        <w:tc>
          <w:tcPr>
            <w:tcW w:w="1700" w:type="dxa"/>
            <w:vAlign w:val="bottom"/>
            <w:shd w:val="clear" w:color="auto" w:fill="0E32E1"/>
          </w:tcPr>
          <w:p>
            <w:pPr>
              <w:jc w:val="center"/>
              <w:ind w:right="318"/>
              <w:spacing w:after="0"/>
              <w:rPr>
                <w:sz w:val="20"/>
                <w:szCs w:val="20"/>
                <w:color w:val="auto"/>
              </w:rPr>
            </w:pPr>
            <w:r>
              <w:rPr>
                <w:rFonts w:ascii="Arial" w:cs="Arial" w:eastAsia="Arial" w:hAnsi="Arial"/>
                <w:sz w:val="13"/>
                <w:szCs w:val="13"/>
                <w:b w:val="1"/>
                <w:bCs w:val="1"/>
                <w:color w:val="FFFFFF"/>
              </w:rPr>
              <w:t>%</w:t>
            </w:r>
          </w:p>
        </w:tc>
      </w:tr>
      <w:tr>
        <w:trPr>
          <w:trHeight w:val="180"/>
        </w:trPr>
        <w:tc>
          <w:tcPr>
            <w:tcW w:w="4520" w:type="dxa"/>
            <w:vAlign w:val="bottom"/>
            <w:shd w:val="clear" w:color="auto" w:fill="DBDBDB"/>
          </w:tcPr>
          <w:p>
            <w:pPr>
              <w:spacing w:after="0"/>
              <w:rPr>
                <w:sz w:val="20"/>
                <w:szCs w:val="20"/>
                <w:color w:val="auto"/>
              </w:rPr>
            </w:pPr>
            <w:r>
              <w:rPr>
                <w:rFonts w:ascii="Arial" w:cs="Arial" w:eastAsia="Arial" w:hAnsi="Arial"/>
                <w:sz w:val="12"/>
                <w:szCs w:val="12"/>
                <w:color w:val="auto"/>
              </w:rPr>
              <w:t>Cash and cash equivalents</w:t>
            </w:r>
          </w:p>
        </w:tc>
        <w:tc>
          <w:tcPr>
            <w:tcW w:w="1520" w:type="dxa"/>
            <w:vAlign w:val="bottom"/>
            <w:shd w:val="clear" w:color="auto" w:fill="DBDBDB"/>
          </w:tcPr>
          <w:p>
            <w:pPr>
              <w:jc w:val="right"/>
              <w:ind w:right="137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337.8</w:t>
            </w:r>
          </w:p>
        </w:tc>
        <w:tc>
          <w:tcPr>
            <w:tcW w:w="1680" w:type="dxa"/>
            <w:vAlign w:val="bottom"/>
            <w:shd w:val="clear" w:color="auto" w:fill="DBDBDB"/>
          </w:tcPr>
          <w:p>
            <w:pPr>
              <w:jc w:val="right"/>
              <w:ind w:right="1519"/>
              <w:spacing w:after="0"/>
              <w:rPr>
                <w:sz w:val="20"/>
                <w:szCs w:val="20"/>
                <w:color w:val="auto"/>
              </w:rPr>
            </w:pPr>
            <w:r>
              <w:rPr>
                <w:rFonts w:ascii="Arial" w:cs="Arial" w:eastAsia="Arial" w:hAnsi="Arial"/>
                <w:sz w:val="12"/>
                <w:szCs w:val="12"/>
                <w:color w:val="auto"/>
              </w:rPr>
              <w:t>$</w:t>
            </w:r>
          </w:p>
        </w:tc>
        <w:tc>
          <w:tcPr>
            <w:tcW w:w="960" w:type="dxa"/>
            <w:vAlign w:val="bottom"/>
            <w:shd w:val="clear" w:color="auto" w:fill="DBDBDB"/>
          </w:tcPr>
          <w:p>
            <w:pPr>
              <w:jc w:val="right"/>
              <w:ind w:right="360"/>
              <w:spacing w:after="0"/>
              <w:rPr>
                <w:sz w:val="20"/>
                <w:szCs w:val="20"/>
                <w:color w:val="auto"/>
              </w:rPr>
            </w:pPr>
            <w:r>
              <w:rPr>
                <w:rFonts w:ascii="Arial" w:cs="Arial" w:eastAsia="Arial" w:hAnsi="Arial"/>
                <w:sz w:val="12"/>
                <w:szCs w:val="12"/>
                <w:color w:val="auto"/>
              </w:rPr>
              <w:t>285.1</w:t>
            </w:r>
          </w:p>
        </w:tc>
        <w:tc>
          <w:tcPr>
            <w:tcW w:w="1700" w:type="dxa"/>
            <w:vAlign w:val="bottom"/>
            <w:shd w:val="clear" w:color="auto" w:fill="DBDBDB"/>
          </w:tcPr>
          <w:p>
            <w:pPr>
              <w:jc w:val="center"/>
              <w:ind w:right="298"/>
              <w:spacing w:after="0"/>
              <w:rPr>
                <w:sz w:val="20"/>
                <w:szCs w:val="20"/>
                <w:color w:val="auto"/>
              </w:rPr>
            </w:pPr>
            <w:r>
              <w:rPr>
                <w:rFonts w:ascii="Arial" w:cs="Arial" w:eastAsia="Arial" w:hAnsi="Arial"/>
                <w:sz w:val="12"/>
                <w:szCs w:val="12"/>
                <w:color w:val="auto"/>
                <w:w w:val="99"/>
              </w:rPr>
              <w:t>18.5%</w:t>
            </w:r>
          </w:p>
        </w:tc>
      </w:tr>
      <w:tr>
        <w:trPr>
          <w:trHeight w:val="180"/>
        </w:trPr>
        <w:tc>
          <w:tcPr>
            <w:tcW w:w="4520" w:type="dxa"/>
            <w:vAlign w:val="bottom"/>
          </w:tcPr>
          <w:p>
            <w:pPr>
              <w:spacing w:after="0"/>
              <w:rPr>
                <w:sz w:val="20"/>
                <w:szCs w:val="20"/>
                <w:color w:val="auto"/>
              </w:rPr>
            </w:pPr>
            <w:r>
              <w:rPr>
                <w:rFonts w:ascii="Arial" w:cs="Arial" w:eastAsia="Arial" w:hAnsi="Arial"/>
                <w:sz w:val="12"/>
                <w:szCs w:val="12"/>
                <w:color w:val="auto"/>
              </w:rPr>
              <w:t>Merchandise inventories, net</w:t>
            </w:r>
            <w:r>
              <w:rPr>
                <w:rFonts w:ascii="Arial" w:cs="Arial" w:eastAsia="Arial" w:hAnsi="Arial"/>
                <w:sz w:val="15"/>
                <w:szCs w:val="15"/>
                <w:color w:val="auto"/>
                <w:vertAlign w:val="superscript"/>
              </w:rPr>
              <w:t>(1)</w:t>
            </w:r>
          </w:p>
        </w:tc>
        <w:tc>
          <w:tcPr>
            <w:tcW w:w="1520" w:type="dxa"/>
            <w:vAlign w:val="bottom"/>
          </w:tcPr>
          <w:p>
            <w:pPr>
              <w:jc w:val="right"/>
              <w:ind w:right="1379"/>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1,654.4</w:t>
            </w:r>
          </w:p>
        </w:tc>
        <w:tc>
          <w:tcPr>
            <w:tcW w:w="1680" w:type="dxa"/>
            <w:vAlign w:val="bottom"/>
          </w:tcPr>
          <w:p>
            <w:pPr>
              <w:jc w:val="right"/>
              <w:ind w:right="151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360"/>
              <w:spacing w:after="0"/>
              <w:rPr>
                <w:sz w:val="20"/>
                <w:szCs w:val="20"/>
                <w:color w:val="auto"/>
              </w:rPr>
            </w:pPr>
            <w:r>
              <w:rPr>
                <w:rFonts w:ascii="Arial" w:cs="Arial" w:eastAsia="Arial" w:hAnsi="Arial"/>
                <w:sz w:val="12"/>
                <w:szCs w:val="12"/>
                <w:color w:val="auto"/>
              </w:rPr>
              <w:t>1,560.0</w:t>
            </w:r>
          </w:p>
        </w:tc>
        <w:tc>
          <w:tcPr>
            <w:tcW w:w="1700" w:type="dxa"/>
            <w:vAlign w:val="bottom"/>
          </w:tcPr>
          <w:p>
            <w:pPr>
              <w:jc w:val="center"/>
              <w:ind w:right="318"/>
              <w:spacing w:after="0"/>
              <w:rPr>
                <w:sz w:val="20"/>
                <w:szCs w:val="20"/>
                <w:color w:val="auto"/>
              </w:rPr>
            </w:pPr>
            <w:r>
              <w:rPr>
                <w:rFonts w:ascii="Arial" w:cs="Arial" w:eastAsia="Arial" w:hAnsi="Arial"/>
                <w:sz w:val="12"/>
                <w:szCs w:val="12"/>
                <w:color w:val="auto"/>
              </w:rPr>
              <w:t>6.1%</w:t>
            </w:r>
          </w:p>
        </w:tc>
      </w:tr>
      <w:tr>
        <w:trPr>
          <w:trHeight w:val="180"/>
        </w:trPr>
        <w:tc>
          <w:tcPr>
            <w:tcW w:w="4520" w:type="dxa"/>
            <w:vAlign w:val="bottom"/>
            <w:shd w:val="clear" w:color="auto" w:fill="DBDBDB"/>
          </w:tcPr>
          <w:p>
            <w:pPr>
              <w:spacing w:after="0"/>
              <w:rPr>
                <w:sz w:val="20"/>
                <w:szCs w:val="20"/>
                <w:color w:val="auto"/>
              </w:rPr>
            </w:pPr>
            <w:r>
              <w:rPr>
                <w:rFonts w:ascii="Arial" w:cs="Arial" w:eastAsia="Arial" w:hAnsi="Arial"/>
                <w:sz w:val="12"/>
                <w:szCs w:val="12"/>
                <w:color w:val="auto"/>
              </w:rPr>
              <w:t>Long-term debt, net</w:t>
            </w:r>
          </w:p>
        </w:tc>
        <w:tc>
          <w:tcPr>
            <w:tcW w:w="1520" w:type="dxa"/>
            <w:vAlign w:val="bottom"/>
            <w:shd w:val="clear" w:color="auto" w:fill="DBDBDB"/>
          </w:tcPr>
          <w:p>
            <w:pPr>
              <w:jc w:val="right"/>
              <w:ind w:right="137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480.3</w:t>
            </w:r>
          </w:p>
        </w:tc>
        <w:tc>
          <w:tcPr>
            <w:tcW w:w="1680" w:type="dxa"/>
            <w:vAlign w:val="bottom"/>
            <w:shd w:val="clear" w:color="auto" w:fill="DBDBDB"/>
          </w:tcPr>
          <w:p>
            <w:pPr>
              <w:jc w:val="right"/>
              <w:ind w:right="1519"/>
              <w:spacing w:after="0"/>
              <w:rPr>
                <w:sz w:val="20"/>
                <w:szCs w:val="20"/>
                <w:color w:val="auto"/>
              </w:rPr>
            </w:pPr>
            <w:r>
              <w:rPr>
                <w:rFonts w:ascii="Arial" w:cs="Arial" w:eastAsia="Arial" w:hAnsi="Arial"/>
                <w:sz w:val="12"/>
                <w:szCs w:val="12"/>
                <w:color w:val="auto"/>
              </w:rPr>
              <w:t>$</w:t>
            </w:r>
          </w:p>
        </w:tc>
        <w:tc>
          <w:tcPr>
            <w:tcW w:w="960" w:type="dxa"/>
            <w:vAlign w:val="bottom"/>
            <w:shd w:val="clear" w:color="auto" w:fill="DBDBDB"/>
          </w:tcPr>
          <w:p>
            <w:pPr>
              <w:jc w:val="right"/>
              <w:ind w:right="360"/>
              <w:spacing w:after="0"/>
              <w:rPr>
                <w:sz w:val="20"/>
                <w:szCs w:val="20"/>
                <w:color w:val="auto"/>
              </w:rPr>
            </w:pPr>
            <w:r>
              <w:rPr>
                <w:rFonts w:ascii="Arial" w:cs="Arial" w:eastAsia="Arial" w:hAnsi="Arial"/>
                <w:sz w:val="12"/>
                <w:szCs w:val="12"/>
                <w:color w:val="auto"/>
              </w:rPr>
              <w:t>482.2</w:t>
            </w:r>
          </w:p>
        </w:tc>
        <w:tc>
          <w:tcPr>
            <w:tcW w:w="1700" w:type="dxa"/>
            <w:vAlign w:val="bottom"/>
            <w:shd w:val="clear" w:color="auto" w:fill="DBDBDB"/>
          </w:tcPr>
          <w:p>
            <w:pPr>
              <w:jc w:val="center"/>
              <w:ind w:right="318"/>
              <w:spacing w:after="0"/>
              <w:rPr>
                <w:sz w:val="20"/>
                <w:szCs w:val="20"/>
                <w:color w:val="auto"/>
              </w:rPr>
            </w:pPr>
            <w:r>
              <w:rPr>
                <w:rFonts w:ascii="Arial" w:cs="Arial" w:eastAsia="Arial" w:hAnsi="Arial"/>
                <w:sz w:val="12"/>
                <w:szCs w:val="12"/>
                <w:color w:val="auto"/>
              </w:rPr>
              <w:t>(0.4)%</w:t>
            </w:r>
          </w:p>
        </w:tc>
      </w:tr>
    </w:tbl>
    <w:p>
      <w:pPr>
        <w:spacing w:after="0" w:line="42" w:lineRule="exact"/>
        <w:rPr>
          <w:sz w:val="20"/>
          <w:szCs w:val="20"/>
          <w:color w:val="auto"/>
        </w:rPr>
      </w:pPr>
    </w:p>
    <w:p>
      <w:pPr>
        <w:ind w:left="8"/>
        <w:spacing w:after="0"/>
        <w:rPr>
          <w:sz w:val="20"/>
          <w:szCs w:val="20"/>
          <w:color w:val="auto"/>
        </w:rPr>
      </w:pPr>
      <w:r>
        <w:rPr>
          <w:rFonts w:ascii="Arial" w:cs="Arial" w:eastAsia="Arial" w:hAnsi="Arial"/>
          <w:sz w:val="8"/>
          <w:szCs w:val="8"/>
          <w:color w:val="auto"/>
        </w:rPr>
        <w:t>(1) As of May 2, 2026 inventory per store was down 6.8% in units and down 0.8% in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w:t>
      </w:r>
    </w:p>
    <w:p>
      <w:pPr>
        <w:sectPr>
          <w:pgSz w:w="11900" w:h="16838" w:orient="portrait"/>
          <w:cols w:equalWidth="0" w:num="1">
            <w:col w:w="11308"/>
          </w:cols>
          <w:pgMar w:left="292" w:top="337" w:right="299" w:bottom="1440" w:gutter="0" w:footer="0" w:header="0"/>
        </w:sectPr>
      </w:pPr>
    </w:p>
    <w:bookmarkStart w:id="4" w:name="page5"/>
    <w:bookmarkEnd w:id="4"/>
    <w:tbl>
      <w:tblPr>
        <w:tblLayout w:type="fixed"/>
        <w:tblInd w:w="180" w:type="dxa"/>
        <w:tblCellMar>
          <w:top w:w="0" w:type="dxa"/>
          <w:left w:w="0" w:type="dxa"/>
          <w:bottom w:w="0" w:type="dxa"/>
          <w:right w:w="0" w:type="dxa"/>
        </w:tblCellMar>
      </w:tblPr>
      <w:tr>
        <w:trPr>
          <w:trHeight w:val="198"/>
        </w:trPr>
        <w:tc>
          <w:tcPr>
            <w:tcW w:w="4440" w:type="dxa"/>
            <w:vAlign w:val="bottom"/>
            <w:shd w:val="clear" w:color="auto" w:fill="0E32E1"/>
          </w:tcPr>
          <w:p>
            <w:pPr>
              <w:spacing w:after="0"/>
              <w:rPr>
                <w:sz w:val="17"/>
                <w:szCs w:val="17"/>
                <w:color w:val="auto"/>
              </w:rPr>
            </w:pPr>
          </w:p>
        </w:tc>
        <w:tc>
          <w:tcPr>
            <w:tcW w:w="1500" w:type="dxa"/>
            <w:vAlign w:val="bottom"/>
            <w:shd w:val="clear" w:color="auto" w:fill="0E32E1"/>
          </w:tcPr>
          <w:p>
            <w:pPr>
              <w:spacing w:after="0"/>
              <w:rPr>
                <w:sz w:val="17"/>
                <w:szCs w:val="17"/>
                <w:color w:val="auto"/>
              </w:rPr>
            </w:pPr>
          </w:p>
        </w:tc>
        <w:tc>
          <w:tcPr>
            <w:tcW w:w="2460" w:type="dxa"/>
            <w:vAlign w:val="bottom"/>
            <w:gridSpan w:val="2"/>
            <w:shd w:val="clear" w:color="auto" w:fill="0E32E1"/>
          </w:tcPr>
          <w:p>
            <w:pPr>
              <w:jc w:val="right"/>
              <w:ind w:right="958"/>
              <w:spacing w:after="0"/>
              <w:rPr>
                <w:sz w:val="20"/>
                <w:szCs w:val="20"/>
                <w:color w:val="auto"/>
              </w:rPr>
            </w:pPr>
            <w:r>
              <w:rPr>
                <w:rFonts w:ascii="Arial" w:cs="Arial" w:eastAsia="Arial" w:hAnsi="Arial"/>
                <w:sz w:val="13"/>
                <w:szCs w:val="13"/>
                <w:b w:val="1"/>
                <w:bCs w:val="1"/>
                <w:color w:val="FFFFFF"/>
              </w:rPr>
              <w:t>Thirteen Weeks Ended</w:t>
            </w:r>
          </w:p>
        </w:tc>
        <w:tc>
          <w:tcPr>
            <w:tcW w:w="880" w:type="dxa"/>
            <w:vAlign w:val="bottom"/>
            <w:shd w:val="clear" w:color="auto" w:fill="0E32E1"/>
          </w:tcPr>
          <w:p>
            <w:pPr>
              <w:spacing w:after="0"/>
              <w:rPr>
                <w:sz w:val="17"/>
                <w:szCs w:val="17"/>
                <w:color w:val="auto"/>
              </w:rPr>
            </w:pPr>
          </w:p>
        </w:tc>
        <w:tc>
          <w:tcPr>
            <w:tcW w:w="1660" w:type="dxa"/>
            <w:vAlign w:val="bottom"/>
            <w:shd w:val="clear" w:color="auto" w:fill="0E32E1"/>
          </w:tcPr>
          <w:p>
            <w:pPr>
              <w:jc w:val="right"/>
              <w:ind w:right="717"/>
              <w:spacing w:after="0"/>
              <w:rPr>
                <w:sz w:val="20"/>
                <w:szCs w:val="20"/>
                <w:color w:val="auto"/>
              </w:rPr>
            </w:pPr>
            <w:r>
              <w:rPr>
                <w:rFonts w:ascii="Arial" w:cs="Arial" w:eastAsia="Arial" w:hAnsi="Arial"/>
                <w:sz w:val="13"/>
                <w:szCs w:val="13"/>
                <w:b w:val="1"/>
                <w:bCs w:val="1"/>
                <w:color w:val="FFFFFF"/>
              </w:rPr>
              <w:t>Change</w:t>
            </w:r>
          </w:p>
        </w:tc>
      </w:tr>
      <w:tr>
        <w:trPr>
          <w:trHeight w:val="198"/>
        </w:trPr>
        <w:tc>
          <w:tcPr>
            <w:tcW w:w="4440" w:type="dxa"/>
            <w:vAlign w:val="bottom"/>
            <w:shd w:val="clear" w:color="auto" w:fill="0E32E1"/>
          </w:tcPr>
          <w:p>
            <w:pPr>
              <w:spacing w:after="0"/>
              <w:rPr>
                <w:sz w:val="20"/>
                <w:szCs w:val="20"/>
                <w:color w:val="auto"/>
              </w:rPr>
            </w:pPr>
            <w:r>
              <w:rPr>
                <w:rFonts w:ascii="Arial" w:cs="Arial" w:eastAsia="Arial" w:hAnsi="Arial"/>
                <w:sz w:val="13"/>
                <w:szCs w:val="13"/>
                <w:b w:val="1"/>
                <w:bCs w:val="1"/>
                <w:color w:val="FFFFFF"/>
              </w:rPr>
              <w:t xml:space="preserve">Capital Allocation </w:t>
            </w:r>
            <w:r>
              <w:rPr>
                <w:rFonts w:ascii="Arial" w:cs="Arial" w:eastAsia="Arial" w:hAnsi="Arial"/>
                <w:sz w:val="9"/>
                <w:szCs w:val="9"/>
                <w:b w:val="1"/>
                <w:bCs w:val="1"/>
                <w:color w:val="FFFFFF"/>
              </w:rPr>
              <w:t>($ in millions)</w:t>
            </w:r>
          </w:p>
        </w:tc>
        <w:tc>
          <w:tcPr>
            <w:tcW w:w="1500" w:type="dxa"/>
            <w:vAlign w:val="bottom"/>
            <w:shd w:val="clear" w:color="auto" w:fill="0E32E1"/>
          </w:tcPr>
          <w:p>
            <w:pPr>
              <w:jc w:val="right"/>
              <w:spacing w:after="0"/>
              <w:rPr>
                <w:sz w:val="20"/>
                <w:szCs w:val="20"/>
                <w:color w:val="auto"/>
              </w:rPr>
            </w:pPr>
            <w:r>
              <w:rPr>
                <w:rFonts w:ascii="Arial" w:cs="Arial" w:eastAsia="Arial" w:hAnsi="Arial"/>
                <w:sz w:val="13"/>
                <w:szCs w:val="13"/>
                <w:b w:val="1"/>
                <w:bCs w:val="1"/>
                <w:color w:val="FFFFFF"/>
              </w:rPr>
              <w:t>May 2, 2026</w:t>
            </w:r>
          </w:p>
        </w:tc>
        <w:tc>
          <w:tcPr>
            <w:tcW w:w="720" w:type="dxa"/>
            <w:vAlign w:val="bottom"/>
            <w:shd w:val="clear" w:color="auto" w:fill="0E32E1"/>
          </w:tcPr>
          <w:p>
            <w:pPr>
              <w:spacing w:after="0"/>
              <w:rPr>
                <w:sz w:val="17"/>
                <w:szCs w:val="17"/>
                <w:color w:val="auto"/>
              </w:rPr>
            </w:pPr>
          </w:p>
        </w:tc>
        <w:tc>
          <w:tcPr>
            <w:tcW w:w="1740" w:type="dxa"/>
            <w:vAlign w:val="bottom"/>
            <w:shd w:val="clear" w:color="auto" w:fill="0E32E1"/>
          </w:tcPr>
          <w:p>
            <w:pPr>
              <w:jc w:val="right"/>
              <w:ind w:right="178"/>
              <w:spacing w:after="0"/>
              <w:rPr>
                <w:sz w:val="20"/>
                <w:szCs w:val="20"/>
                <w:color w:val="auto"/>
              </w:rPr>
            </w:pPr>
            <w:r>
              <w:rPr>
                <w:rFonts w:ascii="Arial" w:cs="Arial" w:eastAsia="Arial" w:hAnsi="Arial"/>
                <w:sz w:val="13"/>
                <w:szCs w:val="13"/>
                <w:b w:val="1"/>
                <w:bCs w:val="1"/>
                <w:color w:val="FFFFFF"/>
              </w:rPr>
              <w:t>May 3, 2025</w:t>
            </w:r>
          </w:p>
        </w:tc>
        <w:tc>
          <w:tcPr>
            <w:tcW w:w="880" w:type="dxa"/>
            <w:vAlign w:val="bottom"/>
            <w:shd w:val="clear" w:color="auto" w:fill="0E32E1"/>
          </w:tcPr>
          <w:p>
            <w:pPr>
              <w:spacing w:after="0"/>
              <w:rPr>
                <w:sz w:val="17"/>
                <w:szCs w:val="17"/>
                <w:color w:val="auto"/>
              </w:rPr>
            </w:pPr>
          </w:p>
        </w:tc>
        <w:tc>
          <w:tcPr>
            <w:tcW w:w="1660" w:type="dxa"/>
            <w:vAlign w:val="bottom"/>
            <w:shd w:val="clear" w:color="auto" w:fill="0E32E1"/>
          </w:tcPr>
          <w:p>
            <w:pPr>
              <w:jc w:val="right"/>
              <w:ind w:right="897"/>
              <w:spacing w:after="0"/>
              <w:rPr>
                <w:sz w:val="20"/>
                <w:szCs w:val="20"/>
                <w:color w:val="auto"/>
              </w:rPr>
            </w:pPr>
            <w:r>
              <w:rPr>
                <w:rFonts w:ascii="Arial" w:cs="Arial" w:eastAsia="Arial" w:hAnsi="Arial"/>
                <w:sz w:val="13"/>
                <w:szCs w:val="13"/>
                <w:b w:val="1"/>
                <w:bCs w:val="1"/>
                <w:color w:val="FFFFFF"/>
              </w:rPr>
              <w:t>%</w:t>
            </w:r>
          </w:p>
        </w:tc>
      </w:tr>
      <w:tr>
        <w:trPr>
          <w:trHeight w:val="180"/>
        </w:trPr>
        <w:tc>
          <w:tcPr>
            <w:tcW w:w="4440" w:type="dxa"/>
            <w:vAlign w:val="bottom"/>
            <w:shd w:val="clear" w:color="auto" w:fill="DBDBDB"/>
          </w:tcPr>
          <w:p>
            <w:pPr>
              <w:spacing w:after="0"/>
              <w:rPr>
                <w:sz w:val="20"/>
                <w:szCs w:val="20"/>
                <w:color w:val="auto"/>
              </w:rPr>
            </w:pPr>
            <w:r>
              <w:rPr>
                <w:rFonts w:ascii="Arial" w:cs="Arial" w:eastAsia="Arial" w:hAnsi="Arial"/>
                <w:sz w:val="12"/>
                <w:szCs w:val="12"/>
                <w:color w:val="auto"/>
              </w:rPr>
              <w:t xml:space="preserve">Share repurchases </w:t>
            </w:r>
            <w:r>
              <w:rPr>
                <w:rFonts w:ascii="Arial" w:cs="Arial" w:eastAsia="Arial" w:hAnsi="Arial"/>
                <w:sz w:val="15"/>
                <w:szCs w:val="15"/>
                <w:color w:val="auto"/>
                <w:vertAlign w:val="superscript"/>
              </w:rPr>
              <w:t>(1)</w:t>
            </w:r>
          </w:p>
        </w:tc>
        <w:tc>
          <w:tcPr>
            <w:tcW w:w="1500" w:type="dxa"/>
            <w:vAlign w:val="bottom"/>
            <w:shd w:val="clear" w:color="auto" w:fill="DBDBDB"/>
          </w:tcPr>
          <w:p>
            <w:pPr>
              <w:jc w:val="right"/>
              <w:ind w:right="1358"/>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99.3</w:t>
            </w:r>
          </w:p>
        </w:tc>
        <w:tc>
          <w:tcPr>
            <w:tcW w:w="1740" w:type="dxa"/>
            <w:vAlign w:val="bottom"/>
            <w:shd w:val="clear" w:color="auto" w:fill="DBDBDB"/>
          </w:tcPr>
          <w:p>
            <w:pPr>
              <w:jc w:val="right"/>
              <w:ind w:right="1578"/>
              <w:spacing w:after="0"/>
              <w:rPr>
                <w:sz w:val="20"/>
                <w:szCs w:val="20"/>
                <w:color w:val="auto"/>
              </w:rPr>
            </w:pPr>
            <w:r>
              <w:rPr>
                <w:rFonts w:ascii="Arial" w:cs="Arial" w:eastAsia="Arial" w:hAnsi="Arial"/>
                <w:sz w:val="12"/>
                <w:szCs w:val="12"/>
                <w:color w:val="auto"/>
              </w:rPr>
              <w:t>$</w:t>
            </w:r>
          </w:p>
        </w:tc>
        <w:tc>
          <w:tcPr>
            <w:tcW w:w="880" w:type="dxa"/>
            <w:vAlign w:val="bottom"/>
            <w:shd w:val="clear" w:color="auto" w:fill="DBDBDB"/>
          </w:tcPr>
          <w:p>
            <w:pPr>
              <w:jc w:val="right"/>
              <w:ind w:right="360"/>
              <w:spacing w:after="0"/>
              <w:rPr>
                <w:sz w:val="20"/>
                <w:szCs w:val="20"/>
                <w:color w:val="auto"/>
              </w:rPr>
            </w:pPr>
            <w:r>
              <w:rPr>
                <w:rFonts w:ascii="Arial" w:cs="Arial" w:eastAsia="Arial" w:hAnsi="Arial"/>
                <w:sz w:val="12"/>
                <w:szCs w:val="12"/>
                <w:color w:val="auto"/>
              </w:rPr>
              <w:t>99.9</w:t>
            </w:r>
          </w:p>
        </w:tc>
        <w:tc>
          <w:tcPr>
            <w:tcW w:w="1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(0.6)%</w:t>
            </w:r>
          </w:p>
        </w:tc>
      </w:tr>
      <w:tr>
        <w:trPr>
          <w:trHeight w:val="164"/>
        </w:trPr>
        <w:tc>
          <w:tcPr>
            <w:tcW w:w="4440" w:type="dxa"/>
            <w:vAlign w:val="bottom"/>
          </w:tcPr>
          <w:p>
            <w:pPr>
              <w:spacing w:after="0"/>
              <w:rPr>
                <w:sz w:val="20"/>
                <w:szCs w:val="20"/>
                <w:color w:val="auto"/>
              </w:rPr>
            </w:pPr>
            <w:r>
              <w:rPr>
                <w:rFonts w:ascii="Arial" w:cs="Arial" w:eastAsia="Arial" w:hAnsi="Arial"/>
                <w:sz w:val="12"/>
                <w:szCs w:val="12"/>
                <w:color w:val="auto"/>
              </w:rPr>
              <w:t>Dividends paid</w:t>
            </w:r>
          </w:p>
        </w:tc>
        <w:tc>
          <w:tcPr>
            <w:tcW w:w="1500" w:type="dxa"/>
            <w:vAlign w:val="bottom"/>
          </w:tcPr>
          <w:p>
            <w:pPr>
              <w:jc w:val="right"/>
              <w:ind w:right="1358"/>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9.6</w:t>
            </w:r>
          </w:p>
        </w:tc>
        <w:tc>
          <w:tcPr>
            <w:tcW w:w="1740" w:type="dxa"/>
            <w:vAlign w:val="bottom"/>
          </w:tcPr>
          <w:p>
            <w:pPr>
              <w:jc w:val="right"/>
              <w:ind w:right="15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60"/>
              <w:spacing w:after="0"/>
              <w:rPr>
                <w:sz w:val="20"/>
                <w:szCs w:val="20"/>
                <w:color w:val="auto"/>
              </w:rPr>
            </w:pPr>
            <w:r>
              <w:rPr>
                <w:rFonts w:ascii="Arial" w:cs="Arial" w:eastAsia="Arial" w:hAnsi="Arial"/>
                <w:sz w:val="12"/>
                <w:szCs w:val="12"/>
                <w:color w:val="auto"/>
              </w:rPr>
              <w:t>8.7</w:t>
            </w:r>
          </w:p>
        </w:tc>
        <w:tc>
          <w:tcPr>
            <w:tcW w:w="1660" w:type="dxa"/>
            <w:vAlign w:val="bottom"/>
          </w:tcPr>
          <w:p>
            <w:pPr>
              <w:jc w:val="right"/>
              <w:spacing w:after="0"/>
              <w:rPr>
                <w:sz w:val="20"/>
                <w:szCs w:val="20"/>
                <w:color w:val="auto"/>
              </w:rPr>
            </w:pPr>
            <w:r>
              <w:rPr>
                <w:rFonts w:ascii="Arial" w:cs="Arial" w:eastAsia="Arial" w:hAnsi="Arial"/>
                <w:sz w:val="12"/>
                <w:szCs w:val="12"/>
                <w:color w:val="auto"/>
              </w:rPr>
              <w:t>10.3 %</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8"/>
          <w:szCs w:val="8"/>
          <w:color w:val="auto"/>
        </w:rPr>
        <w:t>(1) Includes excise tax fees of $0.8 million and $0.9 million for the thirteen weeks ended May 2, 2026 and May 3, 2025, respectively.</w:t>
      </w:r>
    </w:p>
    <w:p>
      <w:pPr>
        <w:spacing w:after="0" w:line="150"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Subsequent to the end of the first quarter, Academy announced that its Board of Directors on June 4, 2026 declared a quarterly cash dividend with respect to the quarter ended May 2, 2026, of $0.15 per share of common stock. The dividend is payable on July 16, 2026, to stockholders of record as of the close of business on June 18, 2026.</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New Store Openings</w:t>
      </w:r>
    </w:p>
    <w:p>
      <w:pPr>
        <w:spacing w:after="0" w:line="18" w:lineRule="exact"/>
        <w:rPr>
          <w:sz w:val="20"/>
          <w:szCs w:val="20"/>
          <w:color w:val="auto"/>
        </w:rPr>
      </w:pPr>
    </w:p>
    <w:p>
      <w:pPr>
        <w:spacing w:after="0" w:line="249" w:lineRule="auto"/>
        <w:rPr>
          <w:sz w:val="20"/>
          <w:szCs w:val="20"/>
          <w:color w:val="auto"/>
        </w:rPr>
      </w:pPr>
      <w:r>
        <w:rPr>
          <w:rFonts w:ascii="Arial" w:cs="Arial" w:eastAsia="Arial" w:hAnsi="Arial"/>
          <w:sz w:val="12"/>
          <w:szCs w:val="12"/>
          <w:color w:val="auto"/>
        </w:rPr>
        <w:t>Academy opened two new stores during the first quarter, bringing its total to 324 locations. The Company plans to open three stores during the second quarter, with the remaining 15-20 to be opened in the second half of fiscal 2026.</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Academy Store Footprint Update</w:t>
      </w:r>
    </w:p>
    <w:p>
      <w:pPr>
        <w:spacing w:after="0" w:line="190" w:lineRule="exact"/>
        <w:rPr>
          <w:sz w:val="20"/>
          <w:szCs w:val="20"/>
          <w:color w:val="auto"/>
        </w:rPr>
      </w:pPr>
    </w:p>
    <w:tbl>
      <w:tblPr>
        <w:tblLayout w:type="fixed"/>
        <w:tblInd w:w="7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660" w:type="dxa"/>
            <w:vAlign w:val="bottom"/>
            <w:vMerge w:val="restart"/>
            <w:shd w:val="clear" w:color="auto" w:fill="0E32E1"/>
          </w:tcPr>
          <w:p>
            <w:pPr>
              <w:ind w:left="620"/>
              <w:spacing w:after="0"/>
              <w:rPr>
                <w:sz w:val="20"/>
                <w:szCs w:val="20"/>
                <w:color w:val="auto"/>
              </w:rPr>
            </w:pPr>
            <w:r>
              <w:rPr>
                <w:rFonts w:ascii="Arial" w:cs="Arial" w:eastAsia="Arial" w:hAnsi="Arial"/>
                <w:sz w:val="13"/>
                <w:szCs w:val="13"/>
                <w:color w:val="FFFFFF"/>
              </w:rPr>
              <w:t>Time Frame</w:t>
            </w:r>
          </w:p>
        </w:tc>
        <w:tc>
          <w:tcPr>
            <w:tcW w:w="4200" w:type="dxa"/>
            <w:vAlign w:val="bottom"/>
            <w:gridSpan w:val="2"/>
            <w:shd w:val="clear" w:color="auto" w:fill="0E32E1"/>
          </w:tcPr>
          <w:p>
            <w:pPr>
              <w:ind w:left="320"/>
              <w:spacing w:after="0"/>
              <w:rPr>
                <w:sz w:val="20"/>
                <w:szCs w:val="20"/>
                <w:color w:val="auto"/>
              </w:rPr>
            </w:pPr>
            <w:r>
              <w:rPr>
                <w:rFonts w:ascii="Arial" w:cs="Arial" w:eastAsia="Arial" w:hAnsi="Arial"/>
                <w:sz w:val="13"/>
                <w:szCs w:val="13"/>
                <w:color w:val="FFFFFF"/>
              </w:rPr>
              <w:t>Total stores open at beginning of Number of stores opened during</w:t>
            </w:r>
          </w:p>
        </w:tc>
        <w:tc>
          <w:tcPr>
            <w:tcW w:w="196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Number of stores closed during</w:t>
            </w:r>
          </w:p>
        </w:tc>
        <w:tc>
          <w:tcPr>
            <w:tcW w:w="192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Total stores open at end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60" w:type="dxa"/>
            <w:vAlign w:val="bottom"/>
            <w:vMerge w:val="continue"/>
            <w:shd w:val="clear" w:color="auto" w:fill="0E32E1"/>
          </w:tcPr>
          <w:p>
            <w:pPr>
              <w:spacing w:after="0"/>
              <w:rPr>
                <w:sz w:val="16"/>
                <w:szCs w:val="16"/>
                <w:color w:val="auto"/>
              </w:rPr>
            </w:pPr>
          </w:p>
        </w:tc>
        <w:tc>
          <w:tcPr>
            <w:tcW w:w="2300" w:type="dxa"/>
            <w:vAlign w:val="bottom"/>
            <w:shd w:val="clear" w:color="auto" w:fill="0E32E1"/>
          </w:tcPr>
          <w:p>
            <w:pPr>
              <w:jc w:val="center"/>
              <w:ind w:left="174"/>
              <w:spacing w:after="0"/>
              <w:rPr>
                <w:sz w:val="20"/>
                <w:szCs w:val="20"/>
                <w:color w:val="auto"/>
              </w:rPr>
            </w:pPr>
            <w:r>
              <w:rPr>
                <w:rFonts w:ascii="Arial" w:cs="Arial" w:eastAsia="Arial" w:hAnsi="Arial"/>
                <w:sz w:val="13"/>
                <w:szCs w:val="13"/>
                <w:color w:val="FFFFFF"/>
              </w:rPr>
              <w:t>the period</w:t>
            </w:r>
          </w:p>
        </w:tc>
        <w:tc>
          <w:tcPr>
            <w:tcW w:w="1900" w:type="dxa"/>
            <w:vAlign w:val="bottom"/>
            <w:shd w:val="clear" w:color="auto" w:fill="0E32E1"/>
          </w:tcPr>
          <w:p>
            <w:pPr>
              <w:jc w:val="center"/>
              <w:ind w:right="14"/>
              <w:spacing w:after="0"/>
              <w:rPr>
                <w:sz w:val="20"/>
                <w:szCs w:val="20"/>
                <w:color w:val="auto"/>
              </w:rPr>
            </w:pPr>
            <w:r>
              <w:rPr>
                <w:rFonts w:ascii="Arial" w:cs="Arial" w:eastAsia="Arial" w:hAnsi="Arial"/>
                <w:sz w:val="13"/>
                <w:szCs w:val="13"/>
                <w:color w:val="FFFFFF"/>
              </w:rPr>
              <w:t>the period</w:t>
            </w:r>
          </w:p>
        </w:tc>
        <w:tc>
          <w:tcPr>
            <w:tcW w:w="196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the period</w:t>
            </w:r>
          </w:p>
        </w:tc>
        <w:tc>
          <w:tcPr>
            <w:tcW w:w="1920" w:type="dxa"/>
            <w:vAlign w:val="bottom"/>
            <w:shd w:val="clear" w:color="auto" w:fill="0E32E1"/>
          </w:tcPr>
          <w:p>
            <w:pPr>
              <w:jc w:val="center"/>
              <w:spacing w:after="0"/>
              <w:rPr>
                <w:sz w:val="20"/>
                <w:szCs w:val="20"/>
                <w:color w:val="auto"/>
              </w:rPr>
            </w:pPr>
            <w:r>
              <w:rPr>
                <w:rFonts w:ascii="Arial" w:cs="Arial" w:eastAsia="Arial" w:hAnsi="Arial"/>
                <w:sz w:val="13"/>
                <w:szCs w:val="13"/>
                <w:color w:val="FFFFFF"/>
                <w:w w:val="99"/>
              </w:rPr>
              <w:t>period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1st Quarter 2025</w:t>
            </w:r>
          </w:p>
        </w:tc>
        <w:tc>
          <w:tcPr>
            <w:tcW w:w="2300" w:type="dxa"/>
            <w:vAlign w:val="bottom"/>
            <w:tcBorders>
              <w:bottom w:val="single" w:sz="8" w:color="DBDBDB"/>
            </w:tcBorders>
            <w:shd w:val="clear" w:color="auto" w:fill="DBDBDB"/>
          </w:tcPr>
          <w:p>
            <w:pPr>
              <w:jc w:val="center"/>
              <w:ind w:left="174"/>
              <w:spacing w:after="0"/>
              <w:rPr>
                <w:sz w:val="20"/>
                <w:szCs w:val="20"/>
                <w:color w:val="auto"/>
              </w:rPr>
            </w:pPr>
            <w:r>
              <w:rPr>
                <w:rFonts w:ascii="Arial" w:cs="Arial" w:eastAsia="Arial" w:hAnsi="Arial"/>
                <w:sz w:val="13"/>
                <w:szCs w:val="13"/>
                <w:color w:val="auto"/>
              </w:rPr>
              <w:t>298</w:t>
            </w:r>
          </w:p>
        </w:tc>
        <w:tc>
          <w:tcPr>
            <w:tcW w:w="1900" w:type="dxa"/>
            <w:vAlign w:val="bottom"/>
            <w:tcBorders>
              <w:bottom w:val="single" w:sz="8" w:color="DBDBDB"/>
            </w:tcBorders>
            <w:shd w:val="clear" w:color="auto" w:fill="DBDBDB"/>
          </w:tcPr>
          <w:p>
            <w:pPr>
              <w:jc w:val="center"/>
              <w:ind w:right="14"/>
              <w:spacing w:after="0"/>
              <w:rPr>
                <w:sz w:val="20"/>
                <w:szCs w:val="20"/>
                <w:color w:val="auto"/>
              </w:rPr>
            </w:pPr>
            <w:r>
              <w:rPr>
                <w:rFonts w:ascii="Arial" w:cs="Arial" w:eastAsia="Arial" w:hAnsi="Arial"/>
                <w:sz w:val="13"/>
                <w:szCs w:val="13"/>
                <w:color w:val="auto"/>
                <w:w w:val="82"/>
              </w:rPr>
              <w:t>5</w:t>
            </w:r>
          </w:p>
        </w:tc>
        <w:tc>
          <w:tcPr>
            <w:tcW w:w="19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9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303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660" w:type="dxa"/>
            <w:vAlign w:val="bottom"/>
          </w:tcPr>
          <w:p>
            <w:pPr>
              <w:ind w:left="20"/>
              <w:spacing w:after="0"/>
              <w:rPr>
                <w:sz w:val="20"/>
                <w:szCs w:val="20"/>
                <w:color w:val="auto"/>
              </w:rPr>
            </w:pPr>
            <w:r>
              <w:rPr>
                <w:rFonts w:ascii="Arial" w:cs="Arial" w:eastAsia="Arial" w:hAnsi="Arial"/>
                <w:sz w:val="13"/>
                <w:szCs w:val="13"/>
                <w:color w:val="auto"/>
              </w:rPr>
              <w:t>FY 2025</w:t>
            </w:r>
          </w:p>
        </w:tc>
        <w:tc>
          <w:tcPr>
            <w:tcW w:w="2300" w:type="dxa"/>
            <w:vAlign w:val="bottom"/>
          </w:tcPr>
          <w:p>
            <w:pPr>
              <w:jc w:val="center"/>
              <w:ind w:left="174"/>
              <w:spacing w:after="0"/>
              <w:rPr>
                <w:sz w:val="20"/>
                <w:szCs w:val="20"/>
                <w:color w:val="auto"/>
              </w:rPr>
            </w:pPr>
            <w:r>
              <w:rPr>
                <w:rFonts w:ascii="Arial" w:cs="Arial" w:eastAsia="Arial" w:hAnsi="Arial"/>
                <w:sz w:val="13"/>
                <w:szCs w:val="13"/>
                <w:color w:val="auto"/>
              </w:rPr>
              <w:t>298</w:t>
            </w:r>
          </w:p>
        </w:tc>
        <w:tc>
          <w:tcPr>
            <w:tcW w:w="1900" w:type="dxa"/>
            <w:vAlign w:val="bottom"/>
          </w:tcPr>
          <w:p>
            <w:pPr>
              <w:jc w:val="center"/>
              <w:ind w:right="14"/>
              <w:spacing w:after="0"/>
              <w:rPr>
                <w:sz w:val="20"/>
                <w:szCs w:val="20"/>
                <w:color w:val="auto"/>
              </w:rPr>
            </w:pPr>
            <w:r>
              <w:rPr>
                <w:rFonts w:ascii="Arial" w:cs="Arial" w:eastAsia="Arial" w:hAnsi="Arial"/>
                <w:sz w:val="13"/>
                <w:szCs w:val="13"/>
                <w:color w:val="auto"/>
                <w:w w:val="96"/>
              </w:rPr>
              <w:t>24</w:t>
            </w:r>
          </w:p>
        </w:tc>
        <w:tc>
          <w:tcPr>
            <w:tcW w:w="1960" w:type="dxa"/>
            <w:vAlign w:val="bottom"/>
          </w:tcPr>
          <w:p>
            <w:pPr>
              <w:jc w:val="center"/>
              <w:spacing w:after="0"/>
              <w:rPr>
                <w:sz w:val="20"/>
                <w:szCs w:val="20"/>
                <w:color w:val="auto"/>
              </w:rPr>
            </w:pPr>
            <w:r>
              <w:rPr>
                <w:rFonts w:ascii="Arial" w:cs="Arial" w:eastAsia="Arial" w:hAnsi="Arial"/>
                <w:sz w:val="13"/>
                <w:szCs w:val="13"/>
                <w:color w:val="auto"/>
              </w:rPr>
              <w:t>—</w:t>
            </w:r>
          </w:p>
        </w:tc>
        <w:tc>
          <w:tcPr>
            <w:tcW w:w="1920" w:type="dxa"/>
            <w:vAlign w:val="bottom"/>
          </w:tcPr>
          <w:p>
            <w:pPr>
              <w:jc w:val="center"/>
              <w:spacing w:after="0"/>
              <w:rPr>
                <w:sz w:val="20"/>
                <w:szCs w:val="20"/>
                <w:color w:val="auto"/>
              </w:rPr>
            </w:pPr>
            <w:r>
              <w:rPr>
                <w:rFonts w:ascii="Arial" w:cs="Arial" w:eastAsia="Arial" w:hAnsi="Arial"/>
                <w:sz w:val="13"/>
                <w:szCs w:val="13"/>
                <w:color w:val="auto"/>
              </w:rPr>
              <w:t>322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1st Quarter 2026</w:t>
            </w:r>
          </w:p>
        </w:tc>
        <w:tc>
          <w:tcPr>
            <w:tcW w:w="2300" w:type="dxa"/>
            <w:vAlign w:val="bottom"/>
            <w:tcBorders>
              <w:bottom w:val="single" w:sz="8" w:color="DBDBDB"/>
            </w:tcBorders>
            <w:shd w:val="clear" w:color="auto" w:fill="DBDBDB"/>
          </w:tcPr>
          <w:p>
            <w:pPr>
              <w:jc w:val="center"/>
              <w:ind w:left="174"/>
              <w:spacing w:after="0"/>
              <w:rPr>
                <w:sz w:val="20"/>
                <w:szCs w:val="20"/>
                <w:color w:val="auto"/>
              </w:rPr>
            </w:pPr>
            <w:r>
              <w:rPr>
                <w:rFonts w:ascii="Arial" w:cs="Arial" w:eastAsia="Arial" w:hAnsi="Arial"/>
                <w:sz w:val="13"/>
                <w:szCs w:val="13"/>
                <w:color w:val="auto"/>
              </w:rPr>
              <w:t>322</w:t>
            </w:r>
          </w:p>
        </w:tc>
        <w:tc>
          <w:tcPr>
            <w:tcW w:w="1900" w:type="dxa"/>
            <w:vAlign w:val="bottom"/>
            <w:tcBorders>
              <w:bottom w:val="single" w:sz="8" w:color="DBDBDB"/>
            </w:tcBorders>
            <w:shd w:val="clear" w:color="auto" w:fill="DBDBDB"/>
          </w:tcPr>
          <w:p>
            <w:pPr>
              <w:jc w:val="center"/>
              <w:ind w:right="14"/>
              <w:spacing w:after="0"/>
              <w:rPr>
                <w:sz w:val="20"/>
                <w:szCs w:val="20"/>
                <w:color w:val="auto"/>
              </w:rPr>
            </w:pPr>
            <w:r>
              <w:rPr>
                <w:rFonts w:ascii="Arial" w:cs="Arial" w:eastAsia="Arial" w:hAnsi="Arial"/>
                <w:sz w:val="13"/>
                <w:szCs w:val="13"/>
                <w:color w:val="auto"/>
                <w:w w:val="82"/>
              </w:rPr>
              <w:t>2</w:t>
            </w:r>
          </w:p>
        </w:tc>
        <w:tc>
          <w:tcPr>
            <w:tcW w:w="19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9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324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0E32E1"/>
          </w:tcPr>
          <w:p>
            <w:pPr>
              <w:spacing w:after="0"/>
              <w:rPr>
                <w:sz w:val="13"/>
                <w:szCs w:val="13"/>
                <w:color w:val="auto"/>
              </w:rPr>
            </w:pPr>
          </w:p>
        </w:tc>
        <w:tc>
          <w:tcPr>
            <w:tcW w:w="1660" w:type="dxa"/>
            <w:vAlign w:val="bottom"/>
            <w:shd w:val="clear" w:color="auto" w:fill="0E32E1"/>
          </w:tcPr>
          <w:p>
            <w:pPr>
              <w:spacing w:after="0"/>
              <w:rPr>
                <w:sz w:val="13"/>
                <w:szCs w:val="13"/>
                <w:color w:val="auto"/>
              </w:rPr>
            </w:pPr>
          </w:p>
        </w:tc>
        <w:tc>
          <w:tcPr>
            <w:tcW w:w="2300" w:type="dxa"/>
            <w:vAlign w:val="bottom"/>
            <w:shd w:val="clear" w:color="auto" w:fill="0E32E1"/>
          </w:tcPr>
          <w:p>
            <w:pPr>
              <w:jc w:val="center"/>
              <w:ind w:left="194"/>
              <w:spacing w:after="0"/>
              <w:rPr>
                <w:sz w:val="20"/>
                <w:szCs w:val="20"/>
                <w:color w:val="auto"/>
              </w:rPr>
            </w:pPr>
            <w:r>
              <w:rPr>
                <w:rFonts w:ascii="Arial" w:cs="Arial" w:eastAsia="Arial" w:hAnsi="Arial"/>
                <w:sz w:val="13"/>
                <w:szCs w:val="13"/>
                <w:color w:val="FFFFFF"/>
              </w:rPr>
              <w:t>Total gross square feet open at</w:t>
            </w:r>
          </w:p>
        </w:tc>
        <w:tc>
          <w:tcPr>
            <w:tcW w:w="190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Gross square feet for stores</w:t>
            </w:r>
          </w:p>
        </w:tc>
        <w:tc>
          <w:tcPr>
            <w:tcW w:w="196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Gross square feet for stores</w:t>
            </w:r>
          </w:p>
        </w:tc>
        <w:tc>
          <w:tcPr>
            <w:tcW w:w="192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Total gross square feet at the</w:t>
            </w:r>
          </w:p>
        </w:tc>
        <w:tc>
          <w:tcPr>
            <w:tcW w:w="20" w:type="dxa"/>
            <w:vAlign w:val="bottom"/>
            <w:shd w:val="clear" w:color="auto" w:fill="0E32E1"/>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0E32E1"/>
          </w:tcPr>
          <w:p>
            <w:pPr>
              <w:spacing w:after="0"/>
              <w:rPr>
                <w:sz w:val="16"/>
                <w:szCs w:val="16"/>
                <w:color w:val="auto"/>
              </w:rPr>
            </w:pPr>
          </w:p>
        </w:tc>
        <w:tc>
          <w:tcPr>
            <w:tcW w:w="1660" w:type="dxa"/>
            <w:vAlign w:val="bottom"/>
            <w:shd w:val="clear" w:color="auto" w:fill="0E32E1"/>
          </w:tcPr>
          <w:p>
            <w:pPr>
              <w:ind w:left="620"/>
              <w:spacing w:after="0"/>
              <w:rPr>
                <w:sz w:val="20"/>
                <w:szCs w:val="20"/>
                <w:color w:val="auto"/>
              </w:rPr>
            </w:pPr>
            <w:r>
              <w:rPr>
                <w:rFonts w:ascii="Arial" w:cs="Arial" w:eastAsia="Arial" w:hAnsi="Arial"/>
                <w:sz w:val="13"/>
                <w:szCs w:val="13"/>
                <w:color w:val="FFFFFF"/>
              </w:rPr>
              <w:t>Time Frame</w:t>
            </w:r>
          </w:p>
        </w:tc>
        <w:tc>
          <w:tcPr>
            <w:tcW w:w="2300" w:type="dxa"/>
            <w:vAlign w:val="bottom"/>
            <w:shd w:val="clear" w:color="auto" w:fill="0E32E1"/>
          </w:tcPr>
          <w:p>
            <w:pPr>
              <w:jc w:val="center"/>
              <w:ind w:left="194"/>
              <w:spacing w:after="0" w:line="194" w:lineRule="exact"/>
              <w:rPr>
                <w:sz w:val="20"/>
                <w:szCs w:val="20"/>
                <w:color w:val="auto"/>
              </w:rPr>
            </w:pPr>
            <w:r>
              <w:rPr>
                <w:rFonts w:ascii="Arial" w:cs="Arial" w:eastAsia="Arial" w:hAnsi="Arial"/>
                <w:sz w:val="13"/>
                <w:szCs w:val="13"/>
                <w:color w:val="FFFFFF"/>
                <w:w w:val="98"/>
              </w:rPr>
              <w:t>beginning of the period</w:t>
            </w:r>
            <w:r>
              <w:rPr>
                <w:rFonts w:ascii="Arial" w:cs="Arial" w:eastAsia="Arial" w:hAnsi="Arial"/>
                <w:sz w:val="17"/>
                <w:szCs w:val="17"/>
                <w:color w:val="FFFFFF"/>
                <w:w w:val="98"/>
                <w:vertAlign w:val="superscript"/>
              </w:rPr>
              <w:t>(1)</w:t>
            </w:r>
          </w:p>
        </w:tc>
        <w:tc>
          <w:tcPr>
            <w:tcW w:w="1900" w:type="dxa"/>
            <w:vAlign w:val="bottom"/>
            <w:shd w:val="clear" w:color="auto" w:fill="0E32E1"/>
          </w:tcPr>
          <w:p>
            <w:pPr>
              <w:jc w:val="center"/>
              <w:spacing w:after="0" w:line="194" w:lineRule="exact"/>
              <w:rPr>
                <w:sz w:val="20"/>
                <w:szCs w:val="20"/>
                <w:color w:val="auto"/>
              </w:rPr>
            </w:pPr>
            <w:r>
              <w:rPr>
                <w:rFonts w:ascii="Arial" w:cs="Arial" w:eastAsia="Arial" w:hAnsi="Arial"/>
                <w:sz w:val="13"/>
                <w:szCs w:val="13"/>
                <w:color w:val="FFFFFF"/>
                <w:w w:val="98"/>
              </w:rPr>
              <w:t>opened during the period</w:t>
            </w:r>
            <w:r>
              <w:rPr>
                <w:rFonts w:ascii="Arial" w:cs="Arial" w:eastAsia="Arial" w:hAnsi="Arial"/>
                <w:sz w:val="17"/>
                <w:szCs w:val="17"/>
                <w:color w:val="FFFFFF"/>
                <w:w w:val="98"/>
                <w:vertAlign w:val="superscript"/>
              </w:rPr>
              <w:t>(1)</w:t>
            </w:r>
          </w:p>
        </w:tc>
        <w:tc>
          <w:tcPr>
            <w:tcW w:w="196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closed during the period</w:t>
            </w:r>
          </w:p>
        </w:tc>
        <w:tc>
          <w:tcPr>
            <w:tcW w:w="1920" w:type="dxa"/>
            <w:vAlign w:val="bottom"/>
            <w:shd w:val="clear" w:color="auto" w:fill="0E32E1"/>
          </w:tcPr>
          <w:p>
            <w:pPr>
              <w:jc w:val="center"/>
              <w:spacing w:after="0" w:line="194" w:lineRule="exact"/>
              <w:rPr>
                <w:sz w:val="20"/>
                <w:szCs w:val="20"/>
                <w:color w:val="auto"/>
              </w:rPr>
            </w:pPr>
            <w:r>
              <w:rPr>
                <w:rFonts w:ascii="Arial" w:cs="Arial" w:eastAsia="Arial" w:hAnsi="Arial"/>
                <w:sz w:val="13"/>
                <w:szCs w:val="13"/>
                <w:color w:val="FFFFFF"/>
                <w:w w:val="98"/>
              </w:rPr>
              <w:t>end of the period</w:t>
            </w:r>
            <w:r>
              <w:rPr>
                <w:rFonts w:ascii="Arial" w:cs="Arial" w:eastAsia="Arial" w:hAnsi="Arial"/>
                <w:sz w:val="17"/>
                <w:szCs w:val="17"/>
                <w:color w:val="FFFFFF"/>
                <w:w w:val="98"/>
                <w:vertAlign w:val="superscript"/>
              </w:rPr>
              <w:t>(1)</w:t>
            </w:r>
          </w:p>
        </w:tc>
        <w:tc>
          <w:tcPr>
            <w:tcW w:w="20" w:type="dxa"/>
            <w:vAlign w:val="bottom"/>
            <w:shd w:val="clear" w:color="auto" w:fill="0E32E1"/>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68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3"/>
                <w:szCs w:val="13"/>
                <w:color w:val="auto"/>
              </w:rPr>
              <w:t>1st Quarter 2025</w:t>
            </w:r>
          </w:p>
        </w:tc>
        <w:tc>
          <w:tcPr>
            <w:tcW w:w="2300" w:type="dxa"/>
            <w:vAlign w:val="bottom"/>
            <w:tcBorders>
              <w:bottom w:val="single" w:sz="8" w:color="DBDBDB"/>
            </w:tcBorders>
            <w:shd w:val="clear" w:color="auto" w:fill="DBDBDB"/>
          </w:tcPr>
          <w:p>
            <w:pPr>
              <w:jc w:val="center"/>
              <w:ind w:left="194"/>
              <w:spacing w:after="0"/>
              <w:rPr>
                <w:sz w:val="20"/>
                <w:szCs w:val="20"/>
                <w:color w:val="auto"/>
              </w:rPr>
            </w:pPr>
            <w:r>
              <w:rPr>
                <w:rFonts w:ascii="Arial" w:cs="Arial" w:eastAsia="Arial" w:hAnsi="Arial"/>
                <w:sz w:val="13"/>
                <w:szCs w:val="13"/>
                <w:color w:val="auto"/>
              </w:rPr>
              <w:t>20,604</w:t>
            </w:r>
          </w:p>
        </w:tc>
        <w:tc>
          <w:tcPr>
            <w:tcW w:w="19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275</w:t>
            </w:r>
          </w:p>
        </w:tc>
        <w:tc>
          <w:tcPr>
            <w:tcW w:w="1960" w:type="dxa"/>
            <w:vAlign w:val="bottom"/>
            <w:tcBorders>
              <w:bottom w:val="single" w:sz="8" w:color="DBDBDB"/>
            </w:tcBorders>
            <w:shd w:val="clear" w:color="auto" w:fill="DBDBDB"/>
          </w:tcPr>
          <w:p>
            <w:pPr>
              <w:spacing w:after="0"/>
              <w:rPr>
                <w:sz w:val="15"/>
                <w:szCs w:val="15"/>
                <w:color w:val="auto"/>
              </w:rPr>
            </w:pPr>
          </w:p>
        </w:tc>
        <w:tc>
          <w:tcPr>
            <w:tcW w:w="19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20,879</w:t>
            </w:r>
          </w:p>
        </w:tc>
        <w:tc>
          <w:tcPr>
            <w:tcW w:w="2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80" w:type="dxa"/>
            <w:vAlign w:val="bottom"/>
            <w:gridSpan w:val="2"/>
          </w:tcPr>
          <w:p>
            <w:pPr>
              <w:spacing w:after="0"/>
              <w:rPr>
                <w:sz w:val="20"/>
                <w:szCs w:val="20"/>
                <w:color w:val="auto"/>
              </w:rPr>
            </w:pPr>
            <w:r>
              <w:rPr>
                <w:rFonts w:ascii="Arial" w:cs="Arial" w:eastAsia="Arial" w:hAnsi="Arial"/>
                <w:sz w:val="13"/>
                <w:szCs w:val="13"/>
                <w:color w:val="auto"/>
              </w:rPr>
              <w:t>FY 2025</w:t>
            </w:r>
          </w:p>
        </w:tc>
        <w:tc>
          <w:tcPr>
            <w:tcW w:w="2300" w:type="dxa"/>
            <w:vAlign w:val="bottom"/>
          </w:tcPr>
          <w:p>
            <w:pPr>
              <w:jc w:val="center"/>
              <w:ind w:left="194"/>
              <w:spacing w:after="0"/>
              <w:rPr>
                <w:sz w:val="20"/>
                <w:szCs w:val="20"/>
                <w:color w:val="auto"/>
              </w:rPr>
            </w:pPr>
            <w:r>
              <w:rPr>
                <w:rFonts w:ascii="Arial" w:cs="Arial" w:eastAsia="Arial" w:hAnsi="Arial"/>
                <w:sz w:val="13"/>
                <w:szCs w:val="13"/>
                <w:color w:val="auto"/>
              </w:rPr>
              <w:t>20,604</w:t>
            </w:r>
          </w:p>
        </w:tc>
        <w:tc>
          <w:tcPr>
            <w:tcW w:w="1900" w:type="dxa"/>
            <w:vAlign w:val="bottom"/>
          </w:tcPr>
          <w:p>
            <w:pPr>
              <w:jc w:val="center"/>
              <w:spacing w:after="0"/>
              <w:rPr>
                <w:sz w:val="20"/>
                <w:szCs w:val="20"/>
                <w:color w:val="auto"/>
              </w:rPr>
            </w:pPr>
            <w:r>
              <w:rPr>
                <w:rFonts w:ascii="Arial" w:cs="Arial" w:eastAsia="Arial" w:hAnsi="Arial"/>
                <w:sz w:val="13"/>
                <w:szCs w:val="13"/>
                <w:color w:val="auto"/>
                <w:w w:val="98"/>
              </w:rPr>
              <w:t>1,321</w:t>
            </w:r>
          </w:p>
        </w:tc>
        <w:tc>
          <w:tcPr>
            <w:tcW w:w="1960" w:type="dxa"/>
            <w:vAlign w:val="bottom"/>
          </w:tcPr>
          <w:p>
            <w:pPr>
              <w:jc w:val="center"/>
              <w:spacing w:after="0"/>
              <w:rPr>
                <w:sz w:val="20"/>
                <w:szCs w:val="20"/>
                <w:color w:val="auto"/>
              </w:rPr>
            </w:pPr>
            <w:r>
              <w:rPr>
                <w:rFonts w:ascii="Arial" w:cs="Arial" w:eastAsia="Arial" w:hAnsi="Arial"/>
                <w:sz w:val="13"/>
                <w:szCs w:val="13"/>
                <w:color w:val="auto"/>
              </w:rPr>
              <w:t>—</w:t>
            </w:r>
          </w:p>
        </w:tc>
        <w:tc>
          <w:tcPr>
            <w:tcW w:w="1920" w:type="dxa"/>
            <w:vAlign w:val="bottom"/>
          </w:tcPr>
          <w:p>
            <w:pPr>
              <w:jc w:val="center"/>
              <w:spacing w:after="0"/>
              <w:rPr>
                <w:sz w:val="20"/>
                <w:szCs w:val="20"/>
                <w:color w:val="auto"/>
              </w:rPr>
            </w:pPr>
            <w:r>
              <w:rPr>
                <w:rFonts w:ascii="Arial" w:cs="Arial" w:eastAsia="Arial" w:hAnsi="Arial"/>
                <w:sz w:val="13"/>
                <w:szCs w:val="13"/>
                <w:color w:val="auto"/>
              </w:rPr>
              <w:t>21,925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680" w:type="dxa"/>
            <w:vAlign w:val="bottom"/>
            <w:gridSpan w:val="2"/>
            <w:shd w:val="clear" w:color="auto" w:fill="DBDBDB"/>
          </w:tcPr>
          <w:p>
            <w:pPr>
              <w:spacing w:after="0"/>
              <w:rPr>
                <w:sz w:val="20"/>
                <w:szCs w:val="20"/>
                <w:color w:val="auto"/>
              </w:rPr>
            </w:pPr>
            <w:r>
              <w:rPr>
                <w:rFonts w:ascii="Arial" w:cs="Arial" w:eastAsia="Arial" w:hAnsi="Arial"/>
                <w:sz w:val="13"/>
                <w:szCs w:val="13"/>
                <w:color w:val="auto"/>
              </w:rPr>
              <w:t>1st Quarter 2026</w:t>
            </w:r>
          </w:p>
        </w:tc>
        <w:tc>
          <w:tcPr>
            <w:tcW w:w="2300" w:type="dxa"/>
            <w:vAlign w:val="bottom"/>
            <w:shd w:val="clear" w:color="auto" w:fill="DBDBDB"/>
          </w:tcPr>
          <w:p>
            <w:pPr>
              <w:jc w:val="center"/>
              <w:ind w:left="194"/>
              <w:spacing w:after="0"/>
              <w:rPr>
                <w:sz w:val="20"/>
                <w:szCs w:val="20"/>
                <w:color w:val="auto"/>
              </w:rPr>
            </w:pPr>
            <w:r>
              <w:rPr>
                <w:rFonts w:ascii="Arial" w:cs="Arial" w:eastAsia="Arial" w:hAnsi="Arial"/>
                <w:sz w:val="13"/>
                <w:szCs w:val="13"/>
                <w:color w:val="auto"/>
              </w:rPr>
              <w:t>21,925</w:t>
            </w:r>
          </w:p>
        </w:tc>
        <w:tc>
          <w:tcPr>
            <w:tcW w:w="19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2"/>
              </w:rPr>
              <w:t>112</w:t>
            </w:r>
          </w:p>
        </w:tc>
        <w:tc>
          <w:tcPr>
            <w:tcW w:w="196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92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22,037</w:t>
            </w:r>
          </w:p>
        </w:tc>
        <w:tc>
          <w:tcPr>
            <w:tcW w:w="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shd w:val="clear" w:color="auto" w:fill="DBDBDB"/>
          </w:tcPr>
          <w:p>
            <w:pPr>
              <w:spacing w:after="0" w:line="20" w:lineRule="exact"/>
              <w:rPr>
                <w:sz w:val="1"/>
                <w:szCs w:val="1"/>
                <w:color w:val="auto"/>
              </w:rPr>
            </w:pPr>
          </w:p>
        </w:tc>
        <w:tc>
          <w:tcPr>
            <w:tcW w:w="1660" w:type="dxa"/>
            <w:vAlign w:val="bottom"/>
            <w:shd w:val="clear" w:color="auto" w:fill="DBDBDB"/>
          </w:tcPr>
          <w:p>
            <w:pPr>
              <w:spacing w:after="0" w:line="20" w:lineRule="exact"/>
              <w:rPr>
                <w:sz w:val="1"/>
                <w:szCs w:val="1"/>
                <w:color w:val="auto"/>
              </w:rPr>
            </w:pPr>
          </w:p>
        </w:tc>
        <w:tc>
          <w:tcPr>
            <w:tcW w:w="2300" w:type="dxa"/>
            <w:vAlign w:val="bottom"/>
            <w:shd w:val="clear" w:color="auto" w:fill="DBDBDB"/>
          </w:tcPr>
          <w:p>
            <w:pPr>
              <w:spacing w:after="0" w:line="20" w:lineRule="exact"/>
              <w:rPr>
                <w:sz w:val="1"/>
                <w:szCs w:val="1"/>
                <w:color w:val="auto"/>
              </w:rPr>
            </w:pPr>
          </w:p>
        </w:tc>
        <w:tc>
          <w:tcPr>
            <w:tcW w:w="1900" w:type="dxa"/>
            <w:vAlign w:val="bottom"/>
            <w:shd w:val="clear" w:color="auto" w:fill="DBDBDB"/>
          </w:tcPr>
          <w:p>
            <w:pPr>
              <w:spacing w:after="0" w:line="20" w:lineRule="exact"/>
              <w:rPr>
                <w:sz w:val="1"/>
                <w:szCs w:val="1"/>
                <w:color w:val="auto"/>
              </w:rPr>
            </w:pPr>
          </w:p>
        </w:tc>
        <w:tc>
          <w:tcPr>
            <w:tcW w:w="1960" w:type="dxa"/>
            <w:vAlign w:val="bottom"/>
            <w:shd w:val="clear" w:color="auto" w:fill="DBDBDB"/>
          </w:tcPr>
          <w:p>
            <w:pPr>
              <w:spacing w:after="0" w:line="20" w:lineRule="exact"/>
              <w:rPr>
                <w:sz w:val="1"/>
                <w:szCs w:val="1"/>
                <w:color w:val="auto"/>
              </w:rPr>
            </w:pPr>
          </w:p>
        </w:tc>
        <w:tc>
          <w:tcPr>
            <w:tcW w:w="19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8"/>
          <w:szCs w:val="8"/>
          <w:color w:val="auto"/>
        </w:rPr>
        <w:t>(1) Figures in thousands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2026 Outlook</w:t>
      </w:r>
    </w:p>
    <w:p>
      <w:pPr>
        <w:spacing w:after="0" w:line="150" w:lineRule="exact"/>
        <w:rPr>
          <w:sz w:val="20"/>
          <w:szCs w:val="20"/>
          <w:color w:val="auto"/>
        </w:rPr>
      </w:pPr>
    </w:p>
    <w:p>
      <w:pPr>
        <w:ind w:right="100"/>
        <w:spacing w:after="0" w:line="252" w:lineRule="auto"/>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color w:val="auto"/>
        </w:rPr>
        <w:t>The first quarter got off to a good start, and we delivered a 6.7% increase in sales, a 14.2% increase in free cash flow, a 14.3% increase in net income, and a 17.6% increase in GAAP EPS,” said Carl Ford,</w:t>
      </w:r>
      <w:r>
        <w:rPr>
          <w:rFonts w:ascii="Arial" w:cs="Arial" w:eastAsia="Arial" w:hAnsi="Arial"/>
          <w:sz w:val="12"/>
          <w:szCs w:val="12"/>
          <w:i w:val="1"/>
          <w:iCs w:val="1"/>
          <w:color w:val="auto"/>
        </w:rPr>
        <w:t xml:space="preserve"> </w:t>
      </w:r>
      <w:r>
        <w:rPr>
          <w:rFonts w:ascii="Arial" w:cs="Arial" w:eastAsia="Arial" w:hAnsi="Arial"/>
          <w:sz w:val="12"/>
          <w:szCs w:val="12"/>
          <w:color w:val="auto"/>
        </w:rPr>
        <w:t>Executive Vice President and Chief Financial Officer. “We remain prudent about the macroenvironment and the updated fiscal 2026 guidance range reflects our belief that the consumer will remain under pressure for the duration of 2026. We're confident that our strategies will allow us to serve this consumer and deliver value to shareholders.</w:t>
      </w:r>
      <w:r>
        <w:rPr>
          <w:rFonts w:ascii="Arial" w:cs="Arial" w:eastAsia="Arial" w:hAnsi="Arial"/>
          <w:sz w:val="12"/>
          <w:szCs w:val="12"/>
          <w:i w:val="1"/>
          <w:iCs w:val="1"/>
          <w:color w:val="auto"/>
        </w:rPr>
        <w:t>”</w:t>
      </w:r>
    </w:p>
    <w:p>
      <w:pPr>
        <w:spacing w:after="0" w:line="141" w:lineRule="exact"/>
        <w:rPr>
          <w:sz w:val="20"/>
          <w:szCs w:val="20"/>
          <w:color w:val="auto"/>
        </w:rPr>
      </w:pPr>
    </w:p>
    <w:p>
      <w:pPr>
        <w:ind w:right="140"/>
        <w:spacing w:after="0" w:line="260" w:lineRule="auto"/>
        <w:rPr>
          <w:sz w:val="20"/>
          <w:szCs w:val="20"/>
          <w:color w:val="auto"/>
        </w:rPr>
      </w:pPr>
      <w:r>
        <w:rPr>
          <w:rFonts w:ascii="Arial" w:cs="Arial" w:eastAsia="Arial" w:hAnsi="Arial"/>
          <w:sz w:val="12"/>
          <w:szCs w:val="12"/>
          <w:color w:val="auto"/>
        </w:rPr>
        <w:t>Academy is providing the following updated guidance for fiscal 2026 (i.e., year ending January 30, 2027), as compared to the original guidance given on March 17, 2026. This guidance takes into account various factors, both internal and external, such as the expected benefits of the Company's growth initiatives, current consumer demand, the competitive environment, and potential impacts from inflation and other economic risks; actual results may differ materially.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1280"/>
          </w:cols>
          <w:pgMar w:left="300" w:top="374" w:right="3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184"/>
        </w:trPr>
        <w:tc>
          <w:tcPr>
            <w:tcW w:w="3760" w:type="dxa"/>
            <w:vAlign w:val="bottom"/>
            <w:tcBorders>
              <w:top w:val="single" w:sz="8" w:color="auto"/>
              <w:left w:val="single" w:sz="8" w:color="auto"/>
              <w:right w:val="single" w:sz="8" w:color="0E32E1"/>
            </w:tcBorders>
            <w:shd w:val="clear" w:color="auto" w:fill="0E32E1"/>
          </w:tcPr>
          <w:p>
            <w:pPr>
              <w:spacing w:after="0"/>
              <w:rPr>
                <w:sz w:val="16"/>
                <w:szCs w:val="16"/>
                <w:color w:val="auto"/>
              </w:rPr>
            </w:pPr>
          </w:p>
        </w:tc>
        <w:tc>
          <w:tcPr>
            <w:tcW w:w="2580" w:type="dxa"/>
            <w:vAlign w:val="bottom"/>
            <w:tcBorders>
              <w:top w:val="single" w:sz="8" w:color="auto"/>
            </w:tcBorders>
            <w:gridSpan w:val="2"/>
            <w:shd w:val="clear" w:color="auto" w:fill="0E32E1"/>
          </w:tcPr>
          <w:p>
            <w:pPr>
              <w:jc w:val="right"/>
              <w:ind w:right="566"/>
              <w:spacing w:after="0"/>
              <w:rPr>
                <w:sz w:val="20"/>
                <w:szCs w:val="20"/>
                <w:color w:val="auto"/>
              </w:rPr>
            </w:pPr>
            <w:r>
              <w:rPr>
                <w:rFonts w:ascii="Arial" w:cs="Arial" w:eastAsia="Arial" w:hAnsi="Arial"/>
                <w:sz w:val="11"/>
                <w:szCs w:val="11"/>
                <w:b w:val="1"/>
                <w:bCs w:val="1"/>
                <w:color w:val="FFFFFF"/>
              </w:rPr>
              <w:t>Original Fiscal 2026 Guidance</w:t>
            </w:r>
          </w:p>
        </w:tc>
        <w:tc>
          <w:tcPr>
            <w:tcW w:w="1880" w:type="dxa"/>
            <w:vAlign w:val="bottom"/>
            <w:tcBorders>
              <w:top w:val="single" w:sz="8" w:color="auto"/>
            </w:tcBorders>
            <w:gridSpan w:val="2"/>
            <w:shd w:val="clear" w:color="auto" w:fill="0E32E1"/>
          </w:tcPr>
          <w:p>
            <w:pPr>
              <w:jc w:val="right"/>
              <w:ind w:right="6"/>
              <w:spacing w:after="0"/>
              <w:rPr>
                <w:sz w:val="20"/>
                <w:szCs w:val="20"/>
                <w:color w:val="auto"/>
              </w:rPr>
            </w:pPr>
            <w:r>
              <w:rPr>
                <w:rFonts w:ascii="Arial" w:cs="Arial" w:eastAsia="Arial" w:hAnsi="Arial"/>
                <w:sz w:val="11"/>
                <w:szCs w:val="11"/>
                <w:b w:val="1"/>
                <w:bCs w:val="1"/>
                <w:color w:val="FFFFFF"/>
              </w:rPr>
              <w:t>Updated Fiscal 2026 Guidance</w:t>
            </w:r>
          </w:p>
        </w:tc>
        <w:tc>
          <w:tcPr>
            <w:tcW w:w="380" w:type="dxa"/>
            <w:vAlign w:val="bottom"/>
            <w:tcBorders>
              <w:top w:val="single" w:sz="8" w:color="auto"/>
              <w:right w:val="single" w:sz="8" w:color="0E32E1"/>
            </w:tcBorders>
            <w:shd w:val="clear" w:color="auto" w:fill="0E32E1"/>
          </w:tcPr>
          <w:p>
            <w:pPr>
              <w:spacing w:after="0"/>
              <w:rPr>
                <w:sz w:val="16"/>
                <w:szCs w:val="16"/>
                <w:color w:val="auto"/>
              </w:rPr>
            </w:pPr>
          </w:p>
        </w:tc>
        <w:tc>
          <w:tcPr>
            <w:tcW w:w="1340" w:type="dxa"/>
            <w:vAlign w:val="bottom"/>
            <w:tcBorders>
              <w:top w:val="single" w:sz="8" w:color="auto"/>
            </w:tcBorders>
            <w:shd w:val="clear" w:color="auto" w:fill="0E32E1"/>
          </w:tcPr>
          <w:p>
            <w:pPr>
              <w:spacing w:after="0"/>
              <w:rPr>
                <w:sz w:val="16"/>
                <w:szCs w:val="16"/>
                <w:color w:val="auto"/>
              </w:rPr>
            </w:pPr>
          </w:p>
        </w:tc>
        <w:tc>
          <w:tcPr>
            <w:tcW w:w="1380" w:type="dxa"/>
            <w:vAlign w:val="bottom"/>
            <w:tcBorders>
              <w:top w:val="single" w:sz="8" w:color="auto"/>
              <w:right w:val="single" w:sz="8" w:color="auto"/>
            </w:tcBorders>
            <w:shd w:val="clear" w:color="auto" w:fill="0E32E1"/>
          </w:tcPr>
          <w:p>
            <w:pPr>
              <w:jc w:val="right"/>
              <w:ind w:right="126"/>
              <w:spacing w:after="0"/>
              <w:rPr>
                <w:sz w:val="20"/>
                <w:szCs w:val="20"/>
                <w:color w:val="auto"/>
              </w:rPr>
            </w:pPr>
            <w:r>
              <w:rPr>
                <w:rFonts w:ascii="Arial" w:cs="Arial" w:eastAsia="Arial" w:hAnsi="Arial"/>
                <w:sz w:val="10"/>
                <w:szCs w:val="10"/>
                <w:b w:val="1"/>
                <w:bCs w:val="1"/>
                <w:color w:val="FFFFFF"/>
              </w:rPr>
              <w:t>change (at midpoint)</w:t>
            </w:r>
          </w:p>
        </w:tc>
      </w:tr>
      <w:tr>
        <w:trPr>
          <w:trHeight w:val="165"/>
        </w:trPr>
        <w:tc>
          <w:tcPr>
            <w:tcW w:w="3760" w:type="dxa"/>
            <w:vAlign w:val="bottom"/>
            <w:tcBorders>
              <w:left w:val="single" w:sz="8" w:color="auto"/>
              <w:bottom w:val="single" w:sz="8" w:color="auto"/>
              <w:right w:val="single" w:sz="8" w:color="0E32E1"/>
            </w:tcBorders>
            <w:shd w:val="clear" w:color="auto" w:fill="0E32E1"/>
          </w:tcPr>
          <w:p>
            <w:pPr>
              <w:ind w:left="20"/>
              <w:spacing w:after="0"/>
              <w:rPr>
                <w:sz w:val="20"/>
                <w:szCs w:val="20"/>
                <w:color w:val="auto"/>
              </w:rPr>
            </w:pPr>
            <w:r>
              <w:rPr>
                <w:rFonts w:ascii="Arial" w:cs="Arial" w:eastAsia="Arial" w:hAnsi="Arial"/>
                <w:sz w:val="8"/>
                <w:szCs w:val="8"/>
                <w:b w:val="1"/>
                <w:bCs w:val="1"/>
                <w:color w:val="FFFFFF"/>
              </w:rPr>
              <w:t>(in millions, except per share amounts)</w:t>
            </w:r>
          </w:p>
        </w:tc>
        <w:tc>
          <w:tcPr>
            <w:tcW w:w="1380" w:type="dxa"/>
            <w:vAlign w:val="bottom"/>
            <w:tcBorders>
              <w:bottom w:val="single" w:sz="8" w:color="auto"/>
            </w:tcBorders>
            <w:shd w:val="clear" w:color="auto" w:fill="0E32E1"/>
          </w:tcPr>
          <w:p>
            <w:pPr>
              <w:jc w:val="right"/>
              <w:ind w:right="526"/>
              <w:spacing w:after="0"/>
              <w:rPr>
                <w:sz w:val="20"/>
                <w:szCs w:val="20"/>
                <w:color w:val="auto"/>
              </w:rPr>
            </w:pPr>
            <w:r>
              <w:rPr>
                <w:rFonts w:ascii="Arial" w:cs="Arial" w:eastAsia="Arial" w:hAnsi="Arial"/>
                <w:sz w:val="11"/>
                <w:szCs w:val="11"/>
                <w:b w:val="1"/>
                <w:bCs w:val="1"/>
                <w:color w:val="FFFFFF"/>
              </w:rPr>
              <w:t>Low end</w:t>
            </w:r>
          </w:p>
        </w:tc>
        <w:tc>
          <w:tcPr>
            <w:tcW w:w="1200" w:type="dxa"/>
            <w:vAlign w:val="bottom"/>
            <w:tcBorders>
              <w:bottom w:val="single" w:sz="8" w:color="auto"/>
            </w:tcBorders>
            <w:shd w:val="clear" w:color="auto" w:fill="0E32E1"/>
          </w:tcPr>
          <w:p>
            <w:pPr>
              <w:jc w:val="right"/>
              <w:ind w:right="506"/>
              <w:spacing w:after="0"/>
              <w:rPr>
                <w:sz w:val="20"/>
                <w:szCs w:val="20"/>
                <w:color w:val="auto"/>
              </w:rPr>
            </w:pPr>
            <w:r>
              <w:rPr>
                <w:rFonts w:ascii="Arial" w:cs="Arial" w:eastAsia="Arial" w:hAnsi="Arial"/>
                <w:sz w:val="11"/>
                <w:szCs w:val="11"/>
                <w:b w:val="1"/>
                <w:bCs w:val="1"/>
                <w:color w:val="FFFFFF"/>
              </w:rPr>
              <w:t>High end</w:t>
            </w:r>
          </w:p>
        </w:tc>
        <w:tc>
          <w:tcPr>
            <w:tcW w:w="660" w:type="dxa"/>
            <w:vAlign w:val="bottom"/>
            <w:tcBorders>
              <w:bottom w:val="single" w:sz="8" w:color="auto"/>
            </w:tcBorders>
            <w:shd w:val="clear" w:color="auto" w:fill="0E32E1"/>
          </w:tcPr>
          <w:p>
            <w:pPr>
              <w:ind w:left="200"/>
              <w:spacing w:after="0"/>
              <w:rPr>
                <w:sz w:val="20"/>
                <w:szCs w:val="20"/>
                <w:color w:val="auto"/>
              </w:rPr>
            </w:pPr>
            <w:r>
              <w:rPr>
                <w:rFonts w:ascii="Arial" w:cs="Arial" w:eastAsia="Arial" w:hAnsi="Arial"/>
                <w:sz w:val="11"/>
                <w:szCs w:val="11"/>
                <w:b w:val="1"/>
                <w:bCs w:val="1"/>
                <w:color w:val="FFFFFF"/>
                <w:w w:val="98"/>
              </w:rPr>
              <w:t>Low end</w:t>
            </w:r>
          </w:p>
        </w:tc>
        <w:tc>
          <w:tcPr>
            <w:tcW w:w="1220" w:type="dxa"/>
            <w:vAlign w:val="bottom"/>
            <w:tcBorders>
              <w:bottom w:val="single" w:sz="8" w:color="auto"/>
            </w:tcBorders>
            <w:shd w:val="clear" w:color="auto" w:fill="0E32E1"/>
          </w:tcPr>
          <w:p>
            <w:pPr>
              <w:jc w:val="right"/>
              <w:spacing w:after="0"/>
              <w:rPr>
                <w:sz w:val="20"/>
                <w:szCs w:val="20"/>
                <w:color w:val="auto"/>
              </w:rPr>
            </w:pPr>
            <w:r>
              <w:rPr>
                <w:rFonts w:ascii="Arial" w:cs="Arial" w:eastAsia="Arial" w:hAnsi="Arial"/>
                <w:sz w:val="11"/>
                <w:szCs w:val="11"/>
                <w:b w:val="1"/>
                <w:bCs w:val="1"/>
                <w:color w:val="FFFFFF"/>
              </w:rPr>
              <w:t>High end</w:t>
            </w:r>
          </w:p>
        </w:tc>
        <w:tc>
          <w:tcPr>
            <w:tcW w:w="380" w:type="dxa"/>
            <w:vAlign w:val="bottom"/>
            <w:tcBorders>
              <w:bottom w:val="single" w:sz="8" w:color="auto"/>
              <w:right w:val="single" w:sz="8" w:color="0E32E1"/>
            </w:tcBorders>
            <w:shd w:val="clear" w:color="auto" w:fill="0E32E1"/>
          </w:tcPr>
          <w:p>
            <w:pPr>
              <w:spacing w:after="0"/>
              <w:rPr>
                <w:sz w:val="14"/>
                <w:szCs w:val="14"/>
                <w:color w:val="auto"/>
              </w:rPr>
            </w:pPr>
          </w:p>
        </w:tc>
        <w:tc>
          <w:tcPr>
            <w:tcW w:w="1340" w:type="dxa"/>
            <w:vAlign w:val="bottom"/>
            <w:tcBorders>
              <w:bottom w:val="single" w:sz="8" w:color="auto"/>
            </w:tcBorders>
            <w:shd w:val="clear" w:color="auto" w:fill="0E32E1"/>
          </w:tcPr>
          <w:p>
            <w:pPr>
              <w:jc w:val="right"/>
              <w:ind w:right="426"/>
              <w:spacing w:after="0"/>
              <w:rPr>
                <w:sz w:val="20"/>
                <w:szCs w:val="20"/>
                <w:color w:val="auto"/>
              </w:rPr>
            </w:pPr>
            <w:r>
              <w:rPr>
                <w:rFonts w:ascii="Arial" w:cs="Arial" w:eastAsia="Arial" w:hAnsi="Arial"/>
                <w:sz w:val="11"/>
                <w:szCs w:val="11"/>
                <w:b w:val="1"/>
                <w:bCs w:val="1"/>
                <w:color w:val="FFFFFF"/>
              </w:rPr>
              <w:t>2025 Actuals</w:t>
            </w:r>
          </w:p>
        </w:tc>
        <w:tc>
          <w:tcPr>
            <w:tcW w:w="1380" w:type="dxa"/>
            <w:vAlign w:val="bottom"/>
            <w:tcBorders>
              <w:bottom w:val="single" w:sz="8" w:color="auto"/>
              <w:right w:val="single" w:sz="8" w:color="auto"/>
            </w:tcBorders>
            <w:shd w:val="clear" w:color="auto" w:fill="0E32E1"/>
          </w:tcPr>
          <w:p>
            <w:pPr>
              <w:jc w:val="right"/>
              <w:ind w:right="386"/>
              <w:spacing w:after="0"/>
              <w:rPr>
                <w:sz w:val="20"/>
                <w:szCs w:val="20"/>
                <w:color w:val="auto"/>
              </w:rPr>
            </w:pPr>
            <w:r>
              <w:rPr>
                <w:rFonts w:ascii="Arial" w:cs="Arial" w:eastAsia="Arial" w:hAnsi="Arial"/>
                <w:sz w:val="11"/>
                <w:szCs w:val="11"/>
                <w:b w:val="1"/>
                <w:bCs w:val="1"/>
                <w:color w:val="FFFFFF"/>
              </w:rPr>
              <w:t>vs. 2025</w:t>
            </w:r>
          </w:p>
        </w:tc>
      </w:tr>
      <w:tr>
        <w:trPr>
          <w:trHeight w:val="143"/>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Net sales</w:t>
            </w:r>
          </w:p>
        </w:tc>
        <w:tc>
          <w:tcPr>
            <w:tcW w:w="1380" w:type="dxa"/>
            <w:vAlign w:val="bottom"/>
          </w:tcPr>
          <w:p>
            <w:pPr>
              <w:jc w:val="right"/>
              <w:ind w:right="146"/>
              <w:spacing w:after="0"/>
              <w:rPr>
                <w:sz w:val="20"/>
                <w:szCs w:val="20"/>
                <w:color w:val="auto"/>
              </w:rPr>
            </w:pPr>
            <w:r>
              <w:rPr>
                <w:rFonts w:ascii="Arial" w:cs="Arial" w:eastAsia="Arial" w:hAnsi="Arial"/>
                <w:sz w:val="11"/>
                <w:szCs w:val="11"/>
                <w:color w:val="auto"/>
              </w:rPr>
              <w:t>$6,175</w:t>
            </w:r>
          </w:p>
        </w:tc>
        <w:tc>
          <w:tcPr>
            <w:tcW w:w="1200" w:type="dxa"/>
            <w:vAlign w:val="bottom"/>
          </w:tcPr>
          <w:p>
            <w:pPr>
              <w:jc w:val="right"/>
              <w:ind w:right="146"/>
              <w:spacing w:after="0"/>
              <w:rPr>
                <w:sz w:val="20"/>
                <w:szCs w:val="20"/>
                <w:color w:val="auto"/>
              </w:rPr>
            </w:pPr>
            <w:r>
              <w:rPr>
                <w:rFonts w:ascii="Arial" w:cs="Arial" w:eastAsia="Arial" w:hAnsi="Arial"/>
                <w:sz w:val="11"/>
                <w:szCs w:val="11"/>
                <w:color w:val="auto"/>
              </w:rPr>
              <w:t>$6,355</w:t>
            </w:r>
          </w:p>
        </w:tc>
        <w:tc>
          <w:tcPr>
            <w:tcW w:w="660" w:type="dxa"/>
            <w:vAlign w:val="bottom"/>
          </w:tcPr>
          <w:p>
            <w:pPr>
              <w:spacing w:after="0"/>
              <w:rPr>
                <w:sz w:val="12"/>
                <w:szCs w:val="12"/>
                <w:color w:val="auto"/>
              </w:rPr>
            </w:pPr>
          </w:p>
        </w:tc>
        <w:tc>
          <w:tcPr>
            <w:tcW w:w="1220" w:type="dxa"/>
            <w:vAlign w:val="bottom"/>
          </w:tcPr>
          <w:p>
            <w:pPr>
              <w:jc w:val="right"/>
              <w:ind w:right="806"/>
              <w:spacing w:after="0"/>
              <w:rPr>
                <w:sz w:val="20"/>
                <w:szCs w:val="20"/>
                <w:color w:val="auto"/>
              </w:rPr>
            </w:pPr>
            <w:r>
              <w:rPr>
                <w:rFonts w:ascii="Arial" w:cs="Arial" w:eastAsia="Arial" w:hAnsi="Arial"/>
                <w:sz w:val="11"/>
                <w:szCs w:val="11"/>
                <w:color w:val="auto"/>
              </w:rPr>
              <w:t>$6,230</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$6,355</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$6,053</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4.0 %</w:t>
            </w:r>
          </w:p>
        </w:tc>
      </w:tr>
      <w:tr>
        <w:trPr>
          <w:trHeight w:val="234"/>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Sales Growth</w:t>
            </w:r>
          </w:p>
        </w:tc>
        <w:tc>
          <w:tcPr>
            <w:tcW w:w="1380" w:type="dxa"/>
            <w:vAlign w:val="bottom"/>
          </w:tcPr>
          <w:p>
            <w:pPr>
              <w:jc w:val="right"/>
              <w:ind w:right="146"/>
              <w:spacing w:after="0"/>
              <w:rPr>
                <w:sz w:val="20"/>
                <w:szCs w:val="20"/>
                <w:color w:val="auto"/>
              </w:rPr>
            </w:pPr>
            <w:r>
              <w:rPr>
                <w:rFonts w:ascii="Arial" w:cs="Arial" w:eastAsia="Arial" w:hAnsi="Arial"/>
                <w:sz w:val="11"/>
                <w:szCs w:val="11"/>
                <w:color w:val="auto"/>
              </w:rPr>
              <w:t>2.0 %</w:t>
            </w:r>
          </w:p>
        </w:tc>
        <w:tc>
          <w:tcPr>
            <w:tcW w:w="1200" w:type="dxa"/>
            <w:vAlign w:val="bottom"/>
          </w:tcPr>
          <w:p>
            <w:pPr>
              <w:jc w:val="right"/>
              <w:ind w:right="146"/>
              <w:spacing w:after="0"/>
              <w:rPr>
                <w:sz w:val="20"/>
                <w:szCs w:val="20"/>
                <w:color w:val="auto"/>
              </w:rPr>
            </w:pPr>
            <w:r>
              <w:rPr>
                <w:rFonts w:ascii="Arial" w:cs="Arial" w:eastAsia="Arial" w:hAnsi="Arial"/>
                <w:sz w:val="11"/>
                <w:szCs w:val="11"/>
                <w:color w:val="auto"/>
              </w:rPr>
              <w:t>5.0 %</w:t>
            </w:r>
          </w:p>
        </w:tc>
        <w:tc>
          <w:tcPr>
            <w:tcW w:w="660" w:type="dxa"/>
            <w:vAlign w:val="bottom"/>
          </w:tcPr>
          <w:p>
            <w:pPr>
              <w:spacing w:after="0"/>
              <w:rPr>
                <w:sz w:val="20"/>
                <w:szCs w:val="20"/>
                <w:color w:val="auto"/>
              </w:rPr>
            </w:pPr>
          </w:p>
        </w:tc>
        <w:tc>
          <w:tcPr>
            <w:tcW w:w="1220" w:type="dxa"/>
            <w:vAlign w:val="bottom"/>
          </w:tcPr>
          <w:p>
            <w:pPr>
              <w:jc w:val="right"/>
              <w:ind w:right="806"/>
              <w:spacing w:after="0"/>
              <w:rPr>
                <w:sz w:val="20"/>
                <w:szCs w:val="20"/>
                <w:color w:val="auto"/>
              </w:rPr>
            </w:pPr>
            <w:r>
              <w:rPr>
                <w:rFonts w:ascii="Arial" w:cs="Arial" w:eastAsia="Arial" w:hAnsi="Arial"/>
                <w:sz w:val="11"/>
                <w:szCs w:val="11"/>
                <w:color w:val="auto"/>
              </w:rPr>
              <w:t>3.0 %</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5.0 %</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2.0 %</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100.0 %</w:t>
            </w:r>
          </w:p>
        </w:tc>
      </w:tr>
      <w:tr>
        <w:trPr>
          <w:trHeight w:val="225"/>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 xml:space="preserve">Comparable sales </w:t>
            </w:r>
            <w:r>
              <w:rPr>
                <w:rFonts w:ascii="Arial" w:cs="Arial" w:eastAsia="Arial" w:hAnsi="Arial"/>
                <w:sz w:val="5"/>
                <w:szCs w:val="5"/>
                <w:color w:val="auto"/>
              </w:rPr>
              <w:t>(1)</w:t>
            </w:r>
          </w:p>
        </w:tc>
        <w:tc>
          <w:tcPr>
            <w:tcW w:w="1380" w:type="dxa"/>
            <w:vAlign w:val="bottom"/>
          </w:tcPr>
          <w:p>
            <w:pPr>
              <w:jc w:val="right"/>
              <w:ind w:right="146"/>
              <w:spacing w:after="0"/>
              <w:rPr>
                <w:sz w:val="20"/>
                <w:szCs w:val="20"/>
                <w:color w:val="auto"/>
              </w:rPr>
            </w:pPr>
            <w:r>
              <w:rPr>
                <w:rFonts w:ascii="Arial" w:cs="Arial" w:eastAsia="Arial" w:hAnsi="Arial"/>
                <w:sz w:val="11"/>
                <w:szCs w:val="11"/>
                <w:color w:val="auto"/>
              </w:rPr>
              <w:t>(1.0)%</w:t>
            </w:r>
          </w:p>
        </w:tc>
        <w:tc>
          <w:tcPr>
            <w:tcW w:w="1200" w:type="dxa"/>
            <w:vAlign w:val="bottom"/>
          </w:tcPr>
          <w:p>
            <w:pPr>
              <w:jc w:val="right"/>
              <w:ind w:right="146"/>
              <w:spacing w:after="0"/>
              <w:rPr>
                <w:sz w:val="20"/>
                <w:szCs w:val="20"/>
                <w:color w:val="auto"/>
              </w:rPr>
            </w:pPr>
            <w:r>
              <w:rPr>
                <w:rFonts w:ascii="Arial" w:cs="Arial" w:eastAsia="Arial" w:hAnsi="Arial"/>
                <w:sz w:val="11"/>
                <w:szCs w:val="11"/>
                <w:color w:val="auto"/>
              </w:rPr>
              <w:t>2.0 %</w:t>
            </w:r>
          </w:p>
        </w:tc>
        <w:tc>
          <w:tcPr>
            <w:tcW w:w="660" w:type="dxa"/>
            <w:vAlign w:val="bottom"/>
          </w:tcPr>
          <w:p>
            <w:pPr>
              <w:spacing w:after="0"/>
              <w:rPr>
                <w:sz w:val="19"/>
                <w:szCs w:val="19"/>
                <w:color w:val="auto"/>
              </w:rPr>
            </w:pPr>
          </w:p>
        </w:tc>
        <w:tc>
          <w:tcPr>
            <w:tcW w:w="1220" w:type="dxa"/>
            <w:vAlign w:val="bottom"/>
          </w:tcPr>
          <w:p>
            <w:pPr>
              <w:jc w:val="right"/>
              <w:ind w:right="806"/>
              <w:spacing w:after="0"/>
              <w:rPr>
                <w:sz w:val="20"/>
                <w:szCs w:val="20"/>
                <w:color w:val="auto"/>
              </w:rPr>
            </w:pPr>
            <w:r>
              <w:rPr>
                <w:rFonts w:ascii="Arial" w:cs="Arial" w:eastAsia="Arial" w:hAnsi="Arial"/>
                <w:sz w:val="11"/>
                <w:szCs w:val="11"/>
                <w:color w:val="auto"/>
              </w:rPr>
              <w:t>— %</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2.0 %</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(1.5)%</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166.7 %</w:t>
            </w:r>
          </w:p>
        </w:tc>
      </w:tr>
      <w:tr>
        <w:trPr>
          <w:trHeight w:val="324"/>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Gross margin rate</w:t>
            </w:r>
          </w:p>
        </w:tc>
        <w:tc>
          <w:tcPr>
            <w:tcW w:w="1380" w:type="dxa"/>
            <w:vAlign w:val="bottom"/>
          </w:tcPr>
          <w:p>
            <w:pPr>
              <w:jc w:val="right"/>
              <w:ind w:right="146"/>
              <w:spacing w:after="0"/>
              <w:rPr>
                <w:sz w:val="20"/>
                <w:szCs w:val="20"/>
                <w:color w:val="auto"/>
              </w:rPr>
            </w:pPr>
            <w:r>
              <w:rPr>
                <w:rFonts w:ascii="Arial" w:cs="Arial" w:eastAsia="Arial" w:hAnsi="Arial"/>
                <w:sz w:val="11"/>
                <w:szCs w:val="11"/>
                <w:color w:val="auto"/>
              </w:rPr>
              <w:t>34.5 %</w:t>
            </w:r>
          </w:p>
        </w:tc>
        <w:tc>
          <w:tcPr>
            <w:tcW w:w="1200" w:type="dxa"/>
            <w:vAlign w:val="bottom"/>
          </w:tcPr>
          <w:p>
            <w:pPr>
              <w:jc w:val="right"/>
              <w:ind w:right="146"/>
              <w:spacing w:after="0"/>
              <w:rPr>
                <w:sz w:val="20"/>
                <w:szCs w:val="20"/>
                <w:color w:val="auto"/>
              </w:rPr>
            </w:pPr>
            <w:r>
              <w:rPr>
                <w:rFonts w:ascii="Arial" w:cs="Arial" w:eastAsia="Arial" w:hAnsi="Arial"/>
                <w:sz w:val="11"/>
                <w:szCs w:val="11"/>
                <w:color w:val="auto"/>
              </w:rPr>
              <w:t>35.0 %</w:t>
            </w:r>
          </w:p>
        </w:tc>
        <w:tc>
          <w:tcPr>
            <w:tcW w:w="660" w:type="dxa"/>
            <w:vAlign w:val="bottom"/>
          </w:tcPr>
          <w:p>
            <w:pPr>
              <w:spacing w:after="0"/>
              <w:rPr>
                <w:sz w:val="24"/>
                <w:szCs w:val="24"/>
                <w:color w:val="auto"/>
              </w:rPr>
            </w:pPr>
          </w:p>
        </w:tc>
        <w:tc>
          <w:tcPr>
            <w:tcW w:w="1220" w:type="dxa"/>
            <w:vAlign w:val="bottom"/>
          </w:tcPr>
          <w:p>
            <w:pPr>
              <w:jc w:val="right"/>
              <w:ind w:right="806"/>
              <w:spacing w:after="0"/>
              <w:rPr>
                <w:sz w:val="20"/>
                <w:szCs w:val="20"/>
                <w:color w:val="auto"/>
              </w:rPr>
            </w:pPr>
            <w:r>
              <w:rPr>
                <w:rFonts w:ascii="Arial" w:cs="Arial" w:eastAsia="Arial" w:hAnsi="Arial"/>
                <w:sz w:val="11"/>
                <w:szCs w:val="11"/>
                <w:color w:val="auto"/>
                <w:w w:val="99"/>
              </w:rPr>
              <w:t>34.5 %</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w w:val="99"/>
              </w:rPr>
              <w:t>35.0 %</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34.8 %</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 %</w:t>
            </w:r>
          </w:p>
        </w:tc>
      </w:tr>
      <w:tr>
        <w:trPr>
          <w:trHeight w:val="225"/>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GAAP net income</w:t>
            </w:r>
          </w:p>
        </w:tc>
        <w:tc>
          <w:tcPr>
            <w:tcW w:w="1380" w:type="dxa"/>
            <w:vAlign w:val="bottom"/>
          </w:tcPr>
          <w:p>
            <w:pPr>
              <w:jc w:val="right"/>
              <w:ind w:right="146"/>
              <w:spacing w:after="0"/>
              <w:rPr>
                <w:sz w:val="20"/>
                <w:szCs w:val="20"/>
                <w:color w:val="auto"/>
              </w:rPr>
            </w:pPr>
            <w:r>
              <w:rPr>
                <w:rFonts w:ascii="Arial" w:cs="Arial" w:eastAsia="Arial" w:hAnsi="Arial"/>
                <w:sz w:val="11"/>
                <w:szCs w:val="11"/>
                <w:color w:val="auto"/>
              </w:rPr>
              <w:t>$380</w:t>
            </w:r>
          </w:p>
        </w:tc>
        <w:tc>
          <w:tcPr>
            <w:tcW w:w="1200" w:type="dxa"/>
            <w:vAlign w:val="bottom"/>
          </w:tcPr>
          <w:p>
            <w:pPr>
              <w:jc w:val="right"/>
              <w:ind w:right="146"/>
              <w:spacing w:after="0"/>
              <w:rPr>
                <w:sz w:val="20"/>
                <w:szCs w:val="20"/>
                <w:color w:val="auto"/>
              </w:rPr>
            </w:pPr>
            <w:r>
              <w:rPr>
                <w:rFonts w:ascii="Arial" w:cs="Arial" w:eastAsia="Arial" w:hAnsi="Arial"/>
                <w:sz w:val="11"/>
                <w:szCs w:val="11"/>
                <w:color w:val="auto"/>
              </w:rPr>
              <w:t>$415</w:t>
            </w:r>
          </w:p>
        </w:tc>
        <w:tc>
          <w:tcPr>
            <w:tcW w:w="660" w:type="dxa"/>
            <w:vAlign w:val="bottom"/>
          </w:tcPr>
          <w:p>
            <w:pPr>
              <w:spacing w:after="0"/>
              <w:rPr>
                <w:sz w:val="19"/>
                <w:szCs w:val="19"/>
                <w:color w:val="auto"/>
              </w:rPr>
            </w:pPr>
          </w:p>
        </w:tc>
        <w:tc>
          <w:tcPr>
            <w:tcW w:w="1220" w:type="dxa"/>
            <w:vAlign w:val="bottom"/>
          </w:tcPr>
          <w:p>
            <w:pPr>
              <w:jc w:val="right"/>
              <w:ind w:right="806"/>
              <w:spacing w:after="0"/>
              <w:rPr>
                <w:sz w:val="20"/>
                <w:szCs w:val="20"/>
                <w:color w:val="auto"/>
              </w:rPr>
            </w:pPr>
            <w:r>
              <w:rPr>
                <w:rFonts w:ascii="Arial" w:cs="Arial" w:eastAsia="Arial" w:hAnsi="Arial"/>
                <w:sz w:val="11"/>
                <w:szCs w:val="11"/>
                <w:color w:val="auto"/>
              </w:rPr>
              <w:t>$390</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$415</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$377</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6.8 %</w:t>
            </w:r>
          </w:p>
        </w:tc>
      </w:tr>
      <w:tr>
        <w:trPr>
          <w:trHeight w:val="225"/>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 xml:space="preserve">Adjusted net income </w:t>
            </w:r>
            <w:r>
              <w:rPr>
                <w:rFonts w:ascii="Arial" w:cs="Arial" w:eastAsia="Arial" w:hAnsi="Arial"/>
                <w:sz w:val="5"/>
                <w:szCs w:val="5"/>
                <w:color w:val="auto"/>
              </w:rPr>
              <w:t>(2)</w:t>
            </w:r>
          </w:p>
        </w:tc>
        <w:tc>
          <w:tcPr>
            <w:tcW w:w="1380" w:type="dxa"/>
            <w:vAlign w:val="bottom"/>
          </w:tcPr>
          <w:p>
            <w:pPr>
              <w:jc w:val="right"/>
              <w:ind w:right="146"/>
              <w:spacing w:after="0"/>
              <w:rPr>
                <w:sz w:val="20"/>
                <w:szCs w:val="20"/>
                <w:color w:val="auto"/>
              </w:rPr>
            </w:pPr>
            <w:r>
              <w:rPr>
                <w:rFonts w:ascii="Arial" w:cs="Arial" w:eastAsia="Arial" w:hAnsi="Arial"/>
                <w:sz w:val="11"/>
                <w:szCs w:val="11"/>
                <w:color w:val="auto"/>
              </w:rPr>
              <w:t>$410</w:t>
            </w:r>
          </w:p>
        </w:tc>
        <w:tc>
          <w:tcPr>
            <w:tcW w:w="1200" w:type="dxa"/>
            <w:vAlign w:val="bottom"/>
          </w:tcPr>
          <w:p>
            <w:pPr>
              <w:jc w:val="right"/>
              <w:ind w:right="146"/>
              <w:spacing w:after="0"/>
              <w:rPr>
                <w:sz w:val="20"/>
                <w:szCs w:val="20"/>
                <w:color w:val="auto"/>
              </w:rPr>
            </w:pPr>
            <w:r>
              <w:rPr>
                <w:rFonts w:ascii="Arial" w:cs="Arial" w:eastAsia="Arial" w:hAnsi="Arial"/>
                <w:sz w:val="11"/>
                <w:szCs w:val="11"/>
                <w:color w:val="auto"/>
              </w:rPr>
              <w:t>$445</w:t>
            </w:r>
          </w:p>
        </w:tc>
        <w:tc>
          <w:tcPr>
            <w:tcW w:w="660" w:type="dxa"/>
            <w:vAlign w:val="bottom"/>
          </w:tcPr>
          <w:p>
            <w:pPr>
              <w:spacing w:after="0"/>
              <w:rPr>
                <w:sz w:val="19"/>
                <w:szCs w:val="19"/>
                <w:color w:val="auto"/>
              </w:rPr>
            </w:pPr>
          </w:p>
        </w:tc>
        <w:tc>
          <w:tcPr>
            <w:tcW w:w="1220" w:type="dxa"/>
            <w:vAlign w:val="bottom"/>
          </w:tcPr>
          <w:p>
            <w:pPr>
              <w:jc w:val="right"/>
              <w:ind w:right="806"/>
              <w:spacing w:after="0"/>
              <w:rPr>
                <w:sz w:val="20"/>
                <w:szCs w:val="20"/>
                <w:color w:val="auto"/>
              </w:rPr>
            </w:pPr>
            <w:r>
              <w:rPr>
                <w:rFonts w:ascii="Arial" w:cs="Arial" w:eastAsia="Arial" w:hAnsi="Arial"/>
                <w:sz w:val="11"/>
                <w:szCs w:val="11"/>
                <w:color w:val="auto"/>
              </w:rPr>
              <w:t>$420</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$445</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$393</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10.1 %</w:t>
            </w:r>
          </w:p>
        </w:tc>
      </w:tr>
      <w:tr>
        <w:trPr>
          <w:trHeight w:val="225"/>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GAAP earnings per common share, diluted</w:t>
            </w:r>
          </w:p>
        </w:tc>
        <w:tc>
          <w:tcPr>
            <w:tcW w:w="1380" w:type="dxa"/>
            <w:vAlign w:val="bottom"/>
          </w:tcPr>
          <w:p>
            <w:pPr>
              <w:jc w:val="right"/>
              <w:ind w:right="146"/>
              <w:spacing w:after="0"/>
              <w:rPr>
                <w:sz w:val="20"/>
                <w:szCs w:val="20"/>
                <w:color w:val="auto"/>
              </w:rPr>
            </w:pPr>
            <w:r>
              <w:rPr>
                <w:rFonts w:ascii="Arial" w:cs="Arial" w:eastAsia="Arial" w:hAnsi="Arial"/>
                <w:sz w:val="11"/>
                <w:szCs w:val="11"/>
                <w:color w:val="auto"/>
              </w:rPr>
              <w:t>$5.65</w:t>
            </w:r>
          </w:p>
        </w:tc>
        <w:tc>
          <w:tcPr>
            <w:tcW w:w="1200" w:type="dxa"/>
            <w:vAlign w:val="bottom"/>
          </w:tcPr>
          <w:p>
            <w:pPr>
              <w:jc w:val="right"/>
              <w:ind w:right="146"/>
              <w:spacing w:after="0"/>
              <w:rPr>
                <w:sz w:val="20"/>
                <w:szCs w:val="20"/>
                <w:color w:val="auto"/>
              </w:rPr>
            </w:pPr>
            <w:r>
              <w:rPr>
                <w:rFonts w:ascii="Arial" w:cs="Arial" w:eastAsia="Arial" w:hAnsi="Arial"/>
                <w:sz w:val="11"/>
                <w:szCs w:val="11"/>
                <w:color w:val="auto"/>
              </w:rPr>
              <w:t>$6.15</w:t>
            </w:r>
          </w:p>
        </w:tc>
        <w:tc>
          <w:tcPr>
            <w:tcW w:w="660" w:type="dxa"/>
            <w:vAlign w:val="bottom"/>
          </w:tcPr>
          <w:p>
            <w:pPr>
              <w:spacing w:after="0"/>
              <w:rPr>
                <w:sz w:val="19"/>
                <w:szCs w:val="19"/>
                <w:color w:val="auto"/>
              </w:rPr>
            </w:pPr>
          </w:p>
        </w:tc>
        <w:tc>
          <w:tcPr>
            <w:tcW w:w="1220" w:type="dxa"/>
            <w:vAlign w:val="bottom"/>
          </w:tcPr>
          <w:p>
            <w:pPr>
              <w:jc w:val="right"/>
              <w:ind w:right="806"/>
              <w:spacing w:after="0"/>
              <w:rPr>
                <w:sz w:val="20"/>
                <w:szCs w:val="20"/>
                <w:color w:val="auto"/>
              </w:rPr>
            </w:pPr>
            <w:r>
              <w:rPr>
                <w:rFonts w:ascii="Arial" w:cs="Arial" w:eastAsia="Arial" w:hAnsi="Arial"/>
                <w:sz w:val="11"/>
                <w:szCs w:val="11"/>
                <w:color w:val="auto"/>
              </w:rPr>
              <w:t>$5.95</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$6.35</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$5.54</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11.0 %</w:t>
            </w:r>
          </w:p>
        </w:tc>
      </w:tr>
      <w:tr>
        <w:trPr>
          <w:trHeight w:val="324"/>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 xml:space="preserve">Adjusted earnings per common share, diluted </w:t>
            </w:r>
            <w:r>
              <w:rPr>
                <w:rFonts w:ascii="Arial" w:cs="Arial" w:eastAsia="Arial" w:hAnsi="Arial"/>
                <w:sz w:val="5"/>
                <w:szCs w:val="5"/>
                <w:color w:val="auto"/>
              </w:rPr>
              <w:t>(2)</w:t>
            </w:r>
          </w:p>
        </w:tc>
        <w:tc>
          <w:tcPr>
            <w:tcW w:w="1380" w:type="dxa"/>
            <w:vAlign w:val="bottom"/>
          </w:tcPr>
          <w:p>
            <w:pPr>
              <w:jc w:val="right"/>
              <w:ind w:right="146"/>
              <w:spacing w:after="0"/>
              <w:rPr>
                <w:sz w:val="20"/>
                <w:szCs w:val="20"/>
                <w:color w:val="auto"/>
              </w:rPr>
            </w:pPr>
            <w:r>
              <w:rPr>
                <w:rFonts w:ascii="Arial" w:cs="Arial" w:eastAsia="Arial" w:hAnsi="Arial"/>
                <w:sz w:val="11"/>
                <w:szCs w:val="11"/>
                <w:color w:val="auto"/>
              </w:rPr>
              <w:t>$6.10</w:t>
            </w:r>
          </w:p>
        </w:tc>
        <w:tc>
          <w:tcPr>
            <w:tcW w:w="1200" w:type="dxa"/>
            <w:vAlign w:val="bottom"/>
          </w:tcPr>
          <w:p>
            <w:pPr>
              <w:jc w:val="right"/>
              <w:ind w:right="146"/>
              <w:spacing w:after="0"/>
              <w:rPr>
                <w:sz w:val="20"/>
                <w:szCs w:val="20"/>
                <w:color w:val="auto"/>
              </w:rPr>
            </w:pPr>
            <w:r>
              <w:rPr>
                <w:rFonts w:ascii="Arial" w:cs="Arial" w:eastAsia="Arial" w:hAnsi="Arial"/>
                <w:sz w:val="11"/>
                <w:szCs w:val="11"/>
                <w:color w:val="auto"/>
              </w:rPr>
              <w:t>$6.60</w:t>
            </w:r>
          </w:p>
        </w:tc>
        <w:tc>
          <w:tcPr>
            <w:tcW w:w="660" w:type="dxa"/>
            <w:vAlign w:val="bottom"/>
          </w:tcPr>
          <w:p>
            <w:pPr>
              <w:spacing w:after="0"/>
              <w:rPr>
                <w:sz w:val="24"/>
                <w:szCs w:val="24"/>
                <w:color w:val="auto"/>
              </w:rPr>
            </w:pPr>
          </w:p>
        </w:tc>
        <w:tc>
          <w:tcPr>
            <w:tcW w:w="1220" w:type="dxa"/>
            <w:vAlign w:val="bottom"/>
          </w:tcPr>
          <w:p>
            <w:pPr>
              <w:jc w:val="right"/>
              <w:ind w:right="806"/>
              <w:spacing w:after="0"/>
              <w:rPr>
                <w:sz w:val="20"/>
                <w:szCs w:val="20"/>
                <w:color w:val="auto"/>
              </w:rPr>
            </w:pPr>
            <w:r>
              <w:rPr>
                <w:rFonts w:ascii="Arial" w:cs="Arial" w:eastAsia="Arial" w:hAnsi="Arial"/>
                <w:sz w:val="11"/>
                <w:szCs w:val="11"/>
                <w:color w:val="auto"/>
              </w:rPr>
              <w:t>$6.40</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$6.80</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$5.78</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14.2 %</w:t>
            </w:r>
          </w:p>
        </w:tc>
      </w:tr>
      <w:tr>
        <w:trPr>
          <w:trHeight w:val="225"/>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Diluted weighted average common shares</w:t>
            </w:r>
          </w:p>
        </w:tc>
        <w:tc>
          <w:tcPr>
            <w:tcW w:w="1380" w:type="dxa"/>
            <w:vAlign w:val="bottom"/>
          </w:tcPr>
          <w:p>
            <w:pPr>
              <w:jc w:val="right"/>
              <w:ind w:right="146"/>
              <w:spacing w:after="0"/>
              <w:rPr>
                <w:sz w:val="20"/>
                <w:szCs w:val="20"/>
                <w:color w:val="auto"/>
              </w:rPr>
            </w:pPr>
            <w:r>
              <w:rPr>
                <w:rFonts w:ascii="Arial" w:cs="Arial" w:eastAsia="Arial" w:hAnsi="Arial"/>
                <w:sz w:val="11"/>
                <w:szCs w:val="11"/>
                <w:color w:val="auto"/>
              </w:rPr>
              <w:t>67</w:t>
            </w:r>
          </w:p>
        </w:tc>
        <w:tc>
          <w:tcPr>
            <w:tcW w:w="1200" w:type="dxa"/>
            <w:vAlign w:val="bottom"/>
          </w:tcPr>
          <w:p>
            <w:pPr>
              <w:jc w:val="right"/>
              <w:ind w:right="146"/>
              <w:spacing w:after="0"/>
              <w:rPr>
                <w:sz w:val="20"/>
                <w:szCs w:val="20"/>
                <w:color w:val="auto"/>
              </w:rPr>
            </w:pPr>
            <w:r>
              <w:rPr>
                <w:rFonts w:ascii="Arial" w:cs="Arial" w:eastAsia="Arial" w:hAnsi="Arial"/>
                <w:sz w:val="11"/>
                <w:szCs w:val="11"/>
                <w:color w:val="auto"/>
              </w:rPr>
              <w:t>67</w:t>
            </w:r>
          </w:p>
        </w:tc>
        <w:tc>
          <w:tcPr>
            <w:tcW w:w="660" w:type="dxa"/>
            <w:vAlign w:val="bottom"/>
          </w:tcPr>
          <w:p>
            <w:pPr>
              <w:spacing w:after="0"/>
              <w:rPr>
                <w:sz w:val="19"/>
                <w:szCs w:val="19"/>
                <w:color w:val="auto"/>
              </w:rPr>
            </w:pPr>
          </w:p>
        </w:tc>
        <w:tc>
          <w:tcPr>
            <w:tcW w:w="1220" w:type="dxa"/>
            <w:vAlign w:val="bottom"/>
          </w:tcPr>
          <w:p>
            <w:pPr>
              <w:jc w:val="right"/>
              <w:ind w:right="806"/>
              <w:spacing w:after="0"/>
              <w:rPr>
                <w:sz w:val="20"/>
                <w:szCs w:val="20"/>
                <w:color w:val="auto"/>
              </w:rPr>
            </w:pPr>
            <w:r>
              <w:rPr>
                <w:rFonts w:ascii="Arial" w:cs="Arial" w:eastAsia="Arial" w:hAnsi="Arial"/>
                <w:sz w:val="11"/>
                <w:szCs w:val="11"/>
                <w:color w:val="auto"/>
              </w:rPr>
              <w:t>66</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66</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~68</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(3.0)%</w:t>
            </w:r>
          </w:p>
        </w:tc>
      </w:tr>
      <w:tr>
        <w:trPr>
          <w:trHeight w:val="225"/>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Capital Expenditures</w:t>
            </w:r>
          </w:p>
        </w:tc>
        <w:tc>
          <w:tcPr>
            <w:tcW w:w="1380" w:type="dxa"/>
            <w:vAlign w:val="bottom"/>
          </w:tcPr>
          <w:p>
            <w:pPr>
              <w:jc w:val="right"/>
              <w:ind w:right="146"/>
              <w:spacing w:after="0"/>
              <w:rPr>
                <w:sz w:val="20"/>
                <w:szCs w:val="20"/>
                <w:color w:val="auto"/>
              </w:rPr>
            </w:pPr>
            <w:r>
              <w:rPr>
                <w:rFonts w:ascii="Arial" w:cs="Arial" w:eastAsia="Arial" w:hAnsi="Arial"/>
                <w:sz w:val="11"/>
                <w:szCs w:val="11"/>
                <w:color w:val="auto"/>
              </w:rPr>
              <w:t>$200</w:t>
            </w:r>
          </w:p>
        </w:tc>
        <w:tc>
          <w:tcPr>
            <w:tcW w:w="1200" w:type="dxa"/>
            <w:vAlign w:val="bottom"/>
          </w:tcPr>
          <w:p>
            <w:pPr>
              <w:jc w:val="right"/>
              <w:ind w:right="146"/>
              <w:spacing w:after="0"/>
              <w:rPr>
                <w:sz w:val="20"/>
                <w:szCs w:val="20"/>
                <w:color w:val="auto"/>
              </w:rPr>
            </w:pPr>
            <w:r>
              <w:rPr>
                <w:rFonts w:ascii="Arial" w:cs="Arial" w:eastAsia="Arial" w:hAnsi="Arial"/>
                <w:sz w:val="11"/>
                <w:szCs w:val="11"/>
                <w:color w:val="auto"/>
              </w:rPr>
              <w:t>$240</w:t>
            </w:r>
          </w:p>
        </w:tc>
        <w:tc>
          <w:tcPr>
            <w:tcW w:w="660" w:type="dxa"/>
            <w:vAlign w:val="bottom"/>
          </w:tcPr>
          <w:p>
            <w:pPr>
              <w:spacing w:after="0"/>
              <w:rPr>
                <w:sz w:val="19"/>
                <w:szCs w:val="19"/>
                <w:color w:val="auto"/>
              </w:rPr>
            </w:pPr>
          </w:p>
        </w:tc>
        <w:tc>
          <w:tcPr>
            <w:tcW w:w="1220" w:type="dxa"/>
            <w:vAlign w:val="bottom"/>
          </w:tcPr>
          <w:p>
            <w:pPr>
              <w:jc w:val="right"/>
              <w:ind w:right="806"/>
              <w:spacing w:after="0"/>
              <w:rPr>
                <w:sz w:val="20"/>
                <w:szCs w:val="20"/>
                <w:color w:val="auto"/>
              </w:rPr>
            </w:pPr>
            <w:r>
              <w:rPr>
                <w:rFonts w:ascii="Arial" w:cs="Arial" w:eastAsia="Arial" w:hAnsi="Arial"/>
                <w:sz w:val="11"/>
                <w:szCs w:val="11"/>
                <w:color w:val="auto"/>
              </w:rPr>
              <w:t>$200</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$240</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$213</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3.3 %</w:t>
            </w:r>
          </w:p>
        </w:tc>
      </w:tr>
      <w:tr>
        <w:trPr>
          <w:trHeight w:val="225"/>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 xml:space="preserve">Adjusted free cash flow </w:t>
            </w:r>
            <w:r>
              <w:rPr>
                <w:rFonts w:ascii="Arial" w:cs="Arial" w:eastAsia="Arial" w:hAnsi="Arial"/>
                <w:sz w:val="5"/>
                <w:szCs w:val="5"/>
                <w:color w:val="auto"/>
              </w:rPr>
              <w:t>(2), (3)</w:t>
            </w:r>
          </w:p>
        </w:tc>
        <w:tc>
          <w:tcPr>
            <w:tcW w:w="1380" w:type="dxa"/>
            <w:vAlign w:val="bottom"/>
          </w:tcPr>
          <w:p>
            <w:pPr>
              <w:jc w:val="right"/>
              <w:ind w:right="146"/>
              <w:spacing w:after="0"/>
              <w:rPr>
                <w:sz w:val="20"/>
                <w:szCs w:val="20"/>
                <w:color w:val="auto"/>
              </w:rPr>
            </w:pPr>
            <w:r>
              <w:rPr>
                <w:rFonts w:ascii="Arial" w:cs="Arial" w:eastAsia="Arial" w:hAnsi="Arial"/>
                <w:sz w:val="11"/>
                <w:szCs w:val="11"/>
                <w:color w:val="auto"/>
              </w:rPr>
              <w:t>$250</w:t>
            </w:r>
          </w:p>
        </w:tc>
        <w:tc>
          <w:tcPr>
            <w:tcW w:w="1200" w:type="dxa"/>
            <w:vAlign w:val="bottom"/>
          </w:tcPr>
          <w:p>
            <w:pPr>
              <w:jc w:val="right"/>
              <w:ind w:right="146"/>
              <w:spacing w:after="0"/>
              <w:rPr>
                <w:sz w:val="20"/>
                <w:szCs w:val="20"/>
                <w:color w:val="auto"/>
              </w:rPr>
            </w:pPr>
            <w:r>
              <w:rPr>
                <w:rFonts w:ascii="Arial" w:cs="Arial" w:eastAsia="Arial" w:hAnsi="Arial"/>
                <w:sz w:val="11"/>
                <w:szCs w:val="11"/>
                <w:color w:val="auto"/>
              </w:rPr>
              <w:t>$300</w:t>
            </w:r>
          </w:p>
        </w:tc>
        <w:tc>
          <w:tcPr>
            <w:tcW w:w="660" w:type="dxa"/>
            <w:vAlign w:val="bottom"/>
          </w:tcPr>
          <w:p>
            <w:pPr>
              <w:spacing w:after="0"/>
              <w:rPr>
                <w:sz w:val="19"/>
                <w:szCs w:val="19"/>
                <w:color w:val="auto"/>
              </w:rPr>
            </w:pPr>
          </w:p>
        </w:tc>
        <w:tc>
          <w:tcPr>
            <w:tcW w:w="1220" w:type="dxa"/>
            <w:vAlign w:val="bottom"/>
          </w:tcPr>
          <w:p>
            <w:pPr>
              <w:jc w:val="right"/>
              <w:ind w:right="806"/>
              <w:spacing w:after="0"/>
              <w:rPr>
                <w:sz w:val="20"/>
                <w:szCs w:val="20"/>
                <w:color w:val="auto"/>
              </w:rPr>
            </w:pPr>
            <w:r>
              <w:rPr>
                <w:rFonts w:ascii="Arial" w:cs="Arial" w:eastAsia="Arial" w:hAnsi="Arial"/>
                <w:sz w:val="11"/>
                <w:szCs w:val="11"/>
                <w:color w:val="auto"/>
              </w:rPr>
              <w:t>$250</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$300</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$263</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4.6 %</w:t>
            </w:r>
          </w:p>
        </w:tc>
      </w:tr>
      <w:tr>
        <w:trPr>
          <w:trHeight w:val="74"/>
        </w:trPr>
        <w:tc>
          <w:tcPr>
            <w:tcW w:w="376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auto"/>
        </w:rPr>
        <w:t>The earnings per share estimates do not include any potential future share repurchases and assume a tax rate of 22.0% to 23.0%.</w:t>
      </w:r>
    </w:p>
    <w:p>
      <w:pPr>
        <w:spacing w:after="0" w:line="160" w:lineRule="exact"/>
        <w:rPr>
          <w:sz w:val="20"/>
          <w:szCs w:val="20"/>
          <w:color w:val="auto"/>
        </w:rPr>
      </w:pPr>
    </w:p>
    <w:p>
      <w:pPr>
        <w:ind w:left="560" w:hanging="136"/>
        <w:spacing w:after="0"/>
        <w:tabs>
          <w:tab w:leader="none" w:pos="560" w:val="left"/>
        </w:tabs>
        <w:numPr>
          <w:ilvl w:val="0"/>
          <w:numId w:val="3"/>
        </w:numPr>
        <w:rPr>
          <w:rFonts w:ascii="Arial" w:cs="Arial" w:eastAsia="Arial" w:hAnsi="Arial"/>
          <w:sz w:val="8"/>
          <w:szCs w:val="8"/>
          <w:color w:val="auto"/>
        </w:rPr>
      </w:pPr>
      <w:r>
        <w:rPr>
          <w:rFonts w:ascii="Arial" w:cs="Arial" w:eastAsia="Arial" w:hAnsi="Arial"/>
          <w:sz w:val="8"/>
          <w:szCs w:val="8"/>
          <w:color w:val="auto"/>
        </w:rPr>
        <w:t>We define comparable sales as the percentage of period-over-period net sales increase or decrease, in the aggregate, for stores open after thirteen full fiscal months, as well as for all ecommerce sales.</w:t>
      </w:r>
    </w:p>
    <w:p>
      <w:pPr>
        <w:spacing w:after="0" w:line="169" w:lineRule="exact"/>
        <w:rPr>
          <w:rFonts w:ascii="Arial" w:cs="Arial" w:eastAsia="Arial" w:hAnsi="Arial"/>
          <w:sz w:val="8"/>
          <w:szCs w:val="8"/>
          <w:color w:val="auto"/>
        </w:rPr>
      </w:pPr>
    </w:p>
    <w:p>
      <w:pPr>
        <w:ind w:left="420" w:firstLine="4"/>
        <w:spacing w:after="0" w:line="281" w:lineRule="auto"/>
        <w:tabs>
          <w:tab w:leader="none" w:pos="546" w:val="left"/>
        </w:tabs>
        <w:numPr>
          <w:ilvl w:val="0"/>
          <w:numId w:val="3"/>
        </w:numPr>
        <w:rPr>
          <w:rFonts w:ascii="Arial" w:cs="Arial" w:eastAsia="Arial" w:hAnsi="Arial"/>
          <w:sz w:val="8"/>
          <w:szCs w:val="8"/>
          <w:color w:val="auto"/>
        </w:rPr>
      </w:pPr>
      <w:r>
        <w:rPr>
          <w:rFonts w:ascii="Arial" w:cs="Arial" w:eastAsia="Arial" w:hAnsi="Arial"/>
          <w:sz w:val="8"/>
          <w:szCs w:val="8"/>
          <w:color w:val="auto"/>
        </w:rPr>
        <w:t>Adjusted net income, adjusted earnings per common share (EPS), diluted, and adjusted free cash flow are non-GAAP measures. See "Non-GAAP Measures" and "Reconciliations of GAAP to Non-GAAP Financial Measures" below for reconciliations of non-GAAP financial measures to their most directly comparable GAAP financial measures.</w:t>
      </w:r>
    </w:p>
    <w:p>
      <w:pPr>
        <w:spacing w:after="0" w:line="135" w:lineRule="exact"/>
        <w:rPr>
          <w:rFonts w:ascii="Arial" w:cs="Arial" w:eastAsia="Arial" w:hAnsi="Arial"/>
          <w:sz w:val="8"/>
          <w:szCs w:val="8"/>
          <w:color w:val="auto"/>
        </w:rPr>
      </w:pPr>
    </w:p>
    <w:p>
      <w:pPr>
        <w:ind w:left="420" w:firstLine="4"/>
        <w:spacing w:after="0" w:line="305" w:lineRule="auto"/>
        <w:tabs>
          <w:tab w:leader="none" w:pos="546" w:val="left"/>
        </w:tabs>
        <w:numPr>
          <w:ilvl w:val="0"/>
          <w:numId w:val="3"/>
        </w:numPr>
        <w:rPr>
          <w:rFonts w:ascii="Arial" w:cs="Arial" w:eastAsia="Arial" w:hAnsi="Arial"/>
          <w:sz w:val="8"/>
          <w:szCs w:val="8"/>
          <w:color w:val="auto"/>
        </w:rPr>
      </w:pPr>
      <w:r>
        <w:rPr>
          <w:rFonts w:ascii="Arial" w:cs="Arial" w:eastAsia="Arial" w:hAnsi="Arial"/>
          <w:sz w:val="8"/>
          <w:szCs w:val="8"/>
          <w:color w:val="auto"/>
        </w:rPr>
        <w:t>We have not reconciled guidance for adjusted free cash flow to the most comparable GAAP measure because it is not possible to do so without unreasonable efforts given the uncertainty and potential variability of reconciling items, which are dependent on future events and often outside of management's control and could be significant; therefore, we are unable to provide an estimate of the most closely comparable GAAP measure at this time.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Conference Call Info</w:t>
      </w:r>
    </w:p>
    <w:p>
      <w:pPr>
        <w:spacing w:after="0" w:line="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 xml:space="preserve">Academy will host a conference call today at 10:00 a.m. Eastern Time to discuss its financial results and related matters. The call will be webcast at </w:t>
      </w:r>
      <w:r>
        <w:rPr>
          <w:rFonts w:ascii="Arial" w:cs="Arial" w:eastAsia="Arial" w:hAnsi="Arial"/>
          <w:sz w:val="12"/>
          <w:szCs w:val="12"/>
          <w:u w:val="single" w:color="auto"/>
          <w:color w:val="0E32E1"/>
        </w:rPr>
        <w:t>investors.academy.com.</w:t>
      </w:r>
      <w:r>
        <w:rPr>
          <w:rFonts w:ascii="Arial" w:cs="Arial" w:eastAsia="Arial" w:hAnsi="Arial"/>
          <w:sz w:val="12"/>
          <w:szCs w:val="12"/>
          <w:color w:val="auto"/>
        </w:rPr>
        <w:t xml:space="preserve"> The following information is provided for those who would like to participate in the conference call:</w:t>
      </w:r>
    </w:p>
    <w:p>
      <w:pPr>
        <w:spacing w:after="0" w:line="133" w:lineRule="exact"/>
        <w:rPr>
          <w:sz w:val="20"/>
          <w:szCs w:val="20"/>
          <w:color w:val="auto"/>
        </w:rPr>
      </w:pPr>
    </w:p>
    <w:tbl>
      <w:tblPr>
        <w:tblLayout w:type="fixed"/>
        <w:tblInd w:w="420" w:type="dxa"/>
        <w:tblCellMar>
          <w:top w:w="0" w:type="dxa"/>
          <w:left w:w="0" w:type="dxa"/>
          <w:bottom w:w="0" w:type="dxa"/>
          <w:right w:w="0" w:type="dxa"/>
        </w:tblCellMar>
      </w:tblPr>
      <w:tr>
        <w:trPr>
          <w:trHeight w:val="144"/>
        </w:trPr>
        <w:tc>
          <w:tcPr>
            <w:tcW w:w="800" w:type="dxa"/>
            <w:vAlign w:val="bottom"/>
          </w:tcPr>
          <w:p>
            <w:pPr>
              <w:spacing w:after="0"/>
              <w:rPr>
                <w:sz w:val="20"/>
                <w:szCs w:val="20"/>
                <w:color w:val="auto"/>
              </w:rPr>
            </w:pPr>
            <w:r>
              <w:rPr>
                <w:rFonts w:ascii="Arial" w:cs="Arial" w:eastAsia="Arial" w:hAnsi="Arial"/>
                <w:sz w:val="12"/>
                <w:szCs w:val="12"/>
                <w:color w:val="auto"/>
              </w:rPr>
              <w:t>U.S. callers</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1-877-407-3982</w:t>
            </w:r>
          </w:p>
        </w:tc>
      </w:tr>
      <w:tr>
        <w:trPr>
          <w:trHeight w:val="135"/>
        </w:trPr>
        <w:tc>
          <w:tcPr>
            <w:tcW w:w="1180" w:type="dxa"/>
            <w:vAlign w:val="bottom"/>
            <w:gridSpan w:val="2"/>
          </w:tcPr>
          <w:p>
            <w:pPr>
              <w:spacing w:after="0" w:line="135" w:lineRule="exact"/>
              <w:rPr>
                <w:sz w:val="20"/>
                <w:szCs w:val="20"/>
                <w:color w:val="auto"/>
              </w:rPr>
            </w:pPr>
            <w:r>
              <w:rPr>
                <w:rFonts w:ascii="Arial" w:cs="Arial" w:eastAsia="Arial" w:hAnsi="Arial"/>
                <w:sz w:val="12"/>
                <w:szCs w:val="12"/>
                <w:color w:val="auto"/>
              </w:rPr>
              <w:t>International callers</w:t>
            </w: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1-201-493-6780</w:t>
            </w:r>
          </w:p>
        </w:tc>
      </w:tr>
      <w:tr>
        <w:trPr>
          <w:trHeight w:val="159"/>
        </w:trPr>
        <w:tc>
          <w:tcPr>
            <w:tcW w:w="800" w:type="dxa"/>
            <w:vAlign w:val="bottom"/>
          </w:tcPr>
          <w:p>
            <w:pPr>
              <w:spacing w:after="0"/>
              <w:rPr>
                <w:sz w:val="20"/>
                <w:szCs w:val="20"/>
                <w:color w:val="auto"/>
              </w:rPr>
            </w:pPr>
            <w:r>
              <w:rPr>
                <w:rFonts w:ascii="Arial" w:cs="Arial" w:eastAsia="Arial" w:hAnsi="Arial"/>
                <w:sz w:val="12"/>
                <w:szCs w:val="12"/>
                <w:color w:val="auto"/>
              </w:rPr>
              <w:t>Passcode</w:t>
            </w:r>
          </w:p>
        </w:tc>
        <w:tc>
          <w:tcPr>
            <w:tcW w:w="1360" w:type="dxa"/>
            <w:vAlign w:val="bottom"/>
            <w:gridSpan w:val="2"/>
          </w:tcPr>
          <w:p>
            <w:pPr>
              <w:jc w:val="right"/>
              <w:ind w:right="600"/>
              <w:spacing w:after="0"/>
              <w:rPr>
                <w:sz w:val="20"/>
                <w:szCs w:val="20"/>
                <w:color w:val="auto"/>
              </w:rPr>
            </w:pPr>
            <w:r>
              <w:rPr>
                <w:rFonts w:ascii="Arial" w:cs="Arial" w:eastAsia="Arial" w:hAnsi="Arial"/>
                <w:sz w:val="12"/>
                <w:szCs w:val="12"/>
                <w:color w:val="auto"/>
              </w:rPr>
              <w:t>13760700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A replay of the conference call will be available for approximately 30 days on the Company's website.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About Academy Sports + Outdoors</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Academy is a leading full-line sporting goods and outdoor recreation retailer in the United States. Originally founded in 1938 as a family business in Texas, Academy has grown to more than 300 stores across 21 states and counting. Academy's mission is to provide "Fun for All" and Academy fulfills this mission with a localized merchandising strategy and value proposition that strongly connects with a broad range of consumers. Academy's product assortment focuses on key categories of outdoor, apparel, sports &amp; recreation and footwear through both leading national brands and a portfolio of private label brands. For more information, visit www.academy.com.</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Non-GAAP Measures</w:t>
      </w:r>
    </w:p>
    <w:p>
      <w:pPr>
        <w:spacing w:after="0" w:line="4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Adjusted EBIT, Adjusted Net Income, Adjusted Earnings per Common Share, and Adjusted Free Cash Flow have been presented in this press release as supplemental measures of financial performance that are not required by, or presented in accordance with, generally accepted accounting principles (“GAAP”). The Company believes that the presentation of these non-GAAP measures is useful to investors as they provide additional information on comparisons between periods by excluding certain items that affect overall comparability. The Company uses these non-GAAP financial measures for business planning purposes, to consider underlying trends of its business, and in measuring its performance relative to others in the market, and believes presenting these measures also provides information to investors and others for understanding and evaluating trends in the Company’s operating results or measuring performance in the same manner as the Company’s management. Non-GAAP financial measures should be considered in addition to, and not as an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1300"/>
          </w:cols>
          <w:pgMar w:left="300" w:top="354" w:right="299" w:bottom="1440" w:gutter="0" w:footer="0" w:header="0"/>
        </w:sectPr>
      </w:pPr>
    </w:p>
    <w:bookmarkStart w:id="6" w:name="page7"/>
    <w:bookmarkEnd w:id="6"/>
    <w:p>
      <w:pPr>
        <w:jc w:val="both"/>
        <w:spacing w:after="0" w:line="262" w:lineRule="auto"/>
        <w:rPr>
          <w:sz w:val="20"/>
          <w:szCs w:val="20"/>
          <w:color w:val="auto"/>
        </w:rPr>
      </w:pPr>
      <w:r>
        <w:rPr>
          <w:rFonts w:ascii="Arial" w:cs="Arial" w:eastAsia="Arial" w:hAnsi="Arial"/>
          <w:sz w:val="12"/>
          <w:szCs w:val="12"/>
          <w:color w:val="auto"/>
        </w:rPr>
        <w:t>alternative for, the Company’s reported results prepared in accordance with GAAP. The calculation of these non-GAAP financial measures may differ from similar measures reported by other companies and may not be comparable to other similarly titled measures. For additional information on these non-GAAP financial measures, please see our Annual Report for the fiscal year ended January 31, 2026 (the "Annual Report"), filed on March 17, 2026 and our Quarterly Report for the thirteen weeks ended May 2, 2026 to be filed on June 10, 2026 ("the Quarterly Report"), which may be updated from time to time in our periodic filings with the Securities and Exchange Commission (the "SEC"), which are accessible on the SEC's website at www.sec.gov.</w:t>
      </w:r>
    </w:p>
    <w:p>
      <w:pPr>
        <w:spacing w:after="0" w:line="128" w:lineRule="exact"/>
        <w:rPr>
          <w:sz w:val="20"/>
          <w:szCs w:val="20"/>
          <w:color w:val="auto"/>
        </w:rPr>
      </w:pPr>
    </w:p>
    <w:p>
      <w:pPr>
        <w:ind w:right="480"/>
        <w:spacing w:after="0" w:line="267" w:lineRule="auto"/>
        <w:rPr>
          <w:sz w:val="20"/>
          <w:szCs w:val="20"/>
          <w:color w:val="auto"/>
        </w:rPr>
      </w:pPr>
      <w:r>
        <w:rPr>
          <w:rFonts w:ascii="Arial" w:cs="Arial" w:eastAsia="Arial" w:hAnsi="Arial"/>
          <w:sz w:val="12"/>
          <w:szCs w:val="12"/>
          <w:i w:val="1"/>
          <w:iCs w:val="1"/>
          <w:color w:val="auto"/>
        </w:rPr>
        <w:t>See “Reconciliations of GAAP to Non-GAAP Financial Measures” below for reconciliations of non-GAAP financial measures presented in this press release to their most directly comparable GAAP financial measures.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Forward-Looking Statements</w:t>
      </w:r>
    </w:p>
    <w:p>
      <w:pPr>
        <w:spacing w:after="0" w:line="150" w:lineRule="exact"/>
        <w:rPr>
          <w:sz w:val="20"/>
          <w:szCs w:val="20"/>
          <w:color w:val="auto"/>
        </w:rPr>
      </w:pPr>
    </w:p>
    <w:p>
      <w:pPr>
        <w:ind w:right="60"/>
        <w:spacing w:after="0" w:line="259" w:lineRule="auto"/>
        <w:rPr>
          <w:sz w:val="20"/>
          <w:szCs w:val="20"/>
          <w:color w:val="auto"/>
        </w:rPr>
      </w:pPr>
      <w:r>
        <w:rPr>
          <w:rFonts w:ascii="Arial" w:cs="Arial" w:eastAsia="Arial" w:hAnsi="Arial"/>
          <w:sz w:val="11"/>
          <w:szCs w:val="11"/>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"anticipate," “forward,” “ahead,” “opportunities,” “plans,” “priorities,” “goals,” “future,” “short/long term,” “will,” “should,” or the negative version of these words or other comparable words. The forward-looking statements in this press release include, among other things, statements regarding the Company’s fiscal 2026 outlook under the caption "2026 Outlook," the Company's strategic plans and financial objectives, including the implementation of such plans, the growth of the Company's business and operations, including the opening of new stores and the expansion into new markets, the Company's payment of dividends, including the timing and the amount thereof, share repurchases by the Company, and the Company's expectations regarding its future performance and future financial condition are subject to various risks, uncertainties, assumptions, or changes in circumstances that are all difficult to predict or quantify. Actual results may differ materially from these expectations due to changes in global, regional, or local economic, business, competitive, market, regulatory, environmental, and other factors that could affect overall consumer spending or our industry, including the possible effects of ongoing macroeconomic challenges, inflation</w:t>
      </w:r>
    </w:p>
    <w:p>
      <w:pPr>
        <w:ind w:right="80"/>
        <w:spacing w:after="0" w:line="247" w:lineRule="auto"/>
        <w:rPr>
          <w:sz w:val="20"/>
          <w:szCs w:val="20"/>
          <w:color w:val="auto"/>
        </w:rPr>
      </w:pPr>
      <w:r>
        <w:rPr>
          <w:rFonts w:ascii="Arial" w:cs="Arial" w:eastAsia="Arial" w:hAnsi="Arial"/>
          <w:sz w:val="11"/>
          <w:szCs w:val="11"/>
          <w:color w:val="auto"/>
        </w:rPr>
        <w:t>and in higher interest rates, trade policy changes or additional tariffs, geopolitical tensions, or changes to the financial health of our customers, many of which are beyond Academy's control. These and other important factors that could cause actual results to differ materially from those in the forward-looking statements are set forth in Academy's filings with the SEC, including the Annual Report, under the caption "Part</w:t>
      </w:r>
    </w:p>
    <w:p>
      <w:pPr>
        <w:spacing w:after="0" w:line="1" w:lineRule="exact"/>
        <w:rPr>
          <w:sz w:val="20"/>
          <w:szCs w:val="20"/>
          <w:color w:val="auto"/>
        </w:rPr>
      </w:pPr>
    </w:p>
    <w:p>
      <w:pPr>
        <w:ind w:right="160"/>
        <w:spacing w:after="0" w:line="249" w:lineRule="auto"/>
        <w:rPr>
          <w:sz w:val="20"/>
          <w:szCs w:val="20"/>
          <w:color w:val="auto"/>
        </w:rPr>
      </w:pPr>
      <w:r>
        <w:rPr>
          <w:rFonts w:ascii="Arial" w:cs="Arial" w:eastAsia="Arial" w:hAnsi="Arial"/>
          <w:sz w:val="12"/>
          <w:szCs w:val="12"/>
          <w:color w:val="auto"/>
        </w:rPr>
        <w:t>1A.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Investor Contact</w:t>
            </w:r>
          </w:p>
        </w:tc>
        <w:tc>
          <w:tcPr>
            <w:tcW w:w="3360" w:type="dxa"/>
            <w:vAlign w:val="bottom"/>
          </w:tcPr>
          <w:p>
            <w:pPr>
              <w:spacing w:after="0"/>
              <w:rPr>
                <w:sz w:val="13"/>
                <w:szCs w:val="13"/>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7"/>
              </w:rPr>
              <w:t>Media Contact</w:t>
            </w:r>
          </w:p>
        </w:tc>
        <w:tc>
          <w:tcPr>
            <w:tcW w:w="780" w:type="dxa"/>
            <w:vAlign w:val="bottom"/>
          </w:tcPr>
          <w:p>
            <w:pPr>
              <w:spacing w:after="0"/>
              <w:rPr>
                <w:sz w:val="13"/>
                <w:szCs w:val="13"/>
                <w:color w:val="auto"/>
              </w:rPr>
            </w:pPr>
          </w:p>
        </w:tc>
      </w:tr>
      <w:tr>
        <w:trPr>
          <w:trHeight w:val="189"/>
        </w:trPr>
        <w:tc>
          <w:tcPr>
            <w:tcW w:w="4320" w:type="dxa"/>
            <w:vAlign w:val="bottom"/>
            <w:gridSpan w:val="2"/>
          </w:tcPr>
          <w:p>
            <w:pPr>
              <w:spacing w:after="0"/>
              <w:rPr>
                <w:sz w:val="20"/>
                <w:szCs w:val="20"/>
                <w:color w:val="auto"/>
              </w:rPr>
            </w:pPr>
            <w:r>
              <w:rPr>
                <w:rFonts w:ascii="Arial" w:cs="Arial" w:eastAsia="Arial" w:hAnsi="Arial"/>
                <w:sz w:val="12"/>
                <w:szCs w:val="12"/>
                <w:color w:val="auto"/>
              </w:rPr>
              <w:t>Dan Aldridge</w:t>
            </w:r>
          </w:p>
        </w:tc>
        <w:tc>
          <w:tcPr>
            <w:tcW w:w="1600" w:type="dxa"/>
            <w:vAlign w:val="bottom"/>
            <w:gridSpan w:val="2"/>
          </w:tcPr>
          <w:p>
            <w:pPr>
              <w:spacing w:after="0"/>
              <w:rPr>
                <w:sz w:val="20"/>
                <w:szCs w:val="20"/>
                <w:color w:val="auto"/>
              </w:rPr>
            </w:pPr>
            <w:r>
              <w:rPr>
                <w:rFonts w:ascii="Arial" w:cs="Arial" w:eastAsia="Arial" w:hAnsi="Arial"/>
                <w:sz w:val="12"/>
                <w:szCs w:val="12"/>
                <w:color w:val="auto"/>
              </w:rPr>
              <w:t>Meredith Klein</w:t>
            </w:r>
          </w:p>
        </w:tc>
      </w:tr>
      <w:tr>
        <w:trPr>
          <w:trHeight w:val="180"/>
        </w:trPr>
        <w:tc>
          <w:tcPr>
            <w:tcW w:w="4320" w:type="dxa"/>
            <w:vAlign w:val="bottom"/>
            <w:gridSpan w:val="2"/>
          </w:tcPr>
          <w:p>
            <w:pPr>
              <w:spacing w:after="0"/>
              <w:rPr>
                <w:sz w:val="20"/>
                <w:szCs w:val="20"/>
                <w:color w:val="auto"/>
              </w:rPr>
            </w:pPr>
            <w:r>
              <w:rPr>
                <w:rFonts w:ascii="Arial" w:cs="Arial" w:eastAsia="Arial" w:hAnsi="Arial"/>
                <w:sz w:val="12"/>
                <w:szCs w:val="12"/>
                <w:color w:val="auto"/>
              </w:rPr>
              <w:t>VP, Investor Relations</w:t>
            </w:r>
          </w:p>
        </w:tc>
        <w:tc>
          <w:tcPr>
            <w:tcW w:w="1600" w:type="dxa"/>
            <w:vAlign w:val="bottom"/>
            <w:gridSpan w:val="2"/>
          </w:tcPr>
          <w:p>
            <w:pPr>
              <w:spacing w:after="0"/>
              <w:rPr>
                <w:sz w:val="20"/>
                <w:szCs w:val="20"/>
                <w:color w:val="auto"/>
              </w:rPr>
            </w:pPr>
            <w:r>
              <w:rPr>
                <w:rFonts w:ascii="Arial" w:cs="Arial" w:eastAsia="Arial" w:hAnsi="Arial"/>
                <w:sz w:val="12"/>
                <w:szCs w:val="12"/>
                <w:color w:val="auto"/>
              </w:rPr>
              <w:t>VP, Communications</w:t>
            </w:r>
          </w:p>
        </w:tc>
      </w:tr>
      <w:tr>
        <w:trPr>
          <w:trHeight w:val="180"/>
        </w:trPr>
        <w:tc>
          <w:tcPr>
            <w:tcW w:w="960" w:type="dxa"/>
            <w:vAlign w:val="bottom"/>
          </w:tcPr>
          <w:p>
            <w:pPr>
              <w:spacing w:after="0"/>
              <w:rPr>
                <w:sz w:val="20"/>
                <w:szCs w:val="20"/>
                <w:color w:val="auto"/>
              </w:rPr>
            </w:pPr>
            <w:r>
              <w:rPr>
                <w:rFonts w:ascii="Arial" w:cs="Arial" w:eastAsia="Arial" w:hAnsi="Arial"/>
                <w:sz w:val="12"/>
                <w:szCs w:val="12"/>
                <w:color w:val="auto"/>
              </w:rPr>
              <w:t>832-739-4102</w:t>
            </w:r>
          </w:p>
        </w:tc>
        <w:tc>
          <w:tcPr>
            <w:tcW w:w="33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color w:val="auto"/>
              </w:rPr>
              <w:t>346-823-6615</w:t>
            </w:r>
          </w:p>
        </w:tc>
        <w:tc>
          <w:tcPr>
            <w:tcW w:w="780" w:type="dxa"/>
            <w:vAlign w:val="bottom"/>
          </w:tcPr>
          <w:p>
            <w:pPr>
              <w:spacing w:after="0"/>
              <w:rPr>
                <w:sz w:val="15"/>
                <w:szCs w:val="15"/>
                <w:color w:val="auto"/>
              </w:rPr>
            </w:pPr>
          </w:p>
        </w:tc>
      </w:tr>
      <w:tr>
        <w:trPr>
          <w:trHeight w:val="180"/>
        </w:trPr>
        <w:tc>
          <w:tcPr>
            <w:tcW w:w="4320" w:type="dxa"/>
            <w:vAlign w:val="bottom"/>
            <w:gridSpan w:val="2"/>
          </w:tcPr>
          <w:p>
            <w:pPr>
              <w:spacing w:after="0"/>
              <w:rPr>
                <w:sz w:val="20"/>
                <w:szCs w:val="20"/>
                <w:color w:val="auto"/>
              </w:rPr>
            </w:pPr>
            <w:r>
              <w:rPr>
                <w:rFonts w:ascii="Arial" w:cs="Arial" w:eastAsia="Arial" w:hAnsi="Arial"/>
                <w:sz w:val="12"/>
                <w:szCs w:val="12"/>
                <w:color w:val="auto"/>
              </w:rPr>
              <w:t>dan.aldridge@academy.com</w:t>
            </w:r>
          </w:p>
        </w:tc>
        <w:tc>
          <w:tcPr>
            <w:tcW w:w="1600" w:type="dxa"/>
            <w:vAlign w:val="bottom"/>
            <w:gridSpan w:val="2"/>
          </w:tcPr>
          <w:p>
            <w:pPr>
              <w:spacing w:after="0"/>
              <w:rPr>
                <w:sz w:val="20"/>
                <w:szCs w:val="20"/>
                <w:color w:val="auto"/>
              </w:rPr>
            </w:pPr>
            <w:r>
              <w:rPr>
                <w:rFonts w:ascii="Arial" w:cs="Arial" w:eastAsia="Arial" w:hAnsi="Arial"/>
                <w:sz w:val="12"/>
                <w:szCs w:val="12"/>
                <w:color w:val="auto"/>
                <w:w w:val="97"/>
              </w:rPr>
              <w:t>meredith.klein@academy.com</w:t>
            </w:r>
          </w:p>
        </w:tc>
      </w:tr>
      <w:tr>
        <w:trPr>
          <w:trHeight w:val="352"/>
        </w:trPr>
        <w:tc>
          <w:tcPr>
            <w:tcW w:w="9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0" w:type="dxa"/>
            <w:vAlign w:val="bottom"/>
            <w:gridSpan w:val="2"/>
          </w:tcPr>
          <w:p>
            <w:pPr>
              <w:ind w:left="1300"/>
              <w:spacing w:after="0"/>
              <w:rPr>
                <w:sz w:val="20"/>
                <w:szCs w:val="20"/>
                <w:color w:val="auto"/>
              </w:rPr>
            </w:pPr>
            <w:r>
              <w:rPr>
                <w:rFonts w:ascii="Arial" w:cs="Arial" w:eastAsia="Arial" w:hAnsi="Arial"/>
                <w:sz w:val="10"/>
                <w:szCs w:val="10"/>
                <w:color w:val="auto"/>
              </w:rPr>
              <w:t>4</w:t>
            </w:r>
          </w:p>
        </w:tc>
      </w:tr>
    </w:tbl>
    <w:p>
      <w:pPr>
        <w:sectPr>
          <w:pgSz w:w="11900" w:h="16838" w:orient="portrait"/>
          <w:cols w:equalWidth="0" w:num="1">
            <w:col w:w="11300"/>
          </w:cols>
          <w:pgMar w:left="300" w:top="379" w:right="299" w:bottom="1440" w:gutter="0" w:footer="0" w:header="0"/>
        </w:sectPr>
      </w:pPr>
    </w:p>
    <w:bookmarkStart w:id="7" w:name="page8"/>
    <w:bookmarkEnd w:id="7"/>
    <w:p>
      <w:pPr>
        <w:jc w:val="center"/>
        <w:ind w:right="-7"/>
        <w:spacing w:after="0"/>
        <w:rPr>
          <w:sz w:val="20"/>
          <w:szCs w:val="20"/>
          <w:color w:val="auto"/>
        </w:rPr>
      </w:pPr>
      <w:r>
        <w:rPr>
          <w:rFonts w:ascii="Arial" w:cs="Arial" w:eastAsia="Arial" w:hAnsi="Arial"/>
          <w:sz w:val="12"/>
          <w:szCs w:val="12"/>
          <w:b w:val="1"/>
          <w:bCs w:val="1"/>
          <w:color w:val="auto"/>
        </w:rPr>
        <w:t>ACADEMY SPORTS AND OUTDOORS, INC.</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STATEMENTS OF INCOME</w:t>
      </w:r>
    </w:p>
    <w:p>
      <w:pPr>
        <w:jc w:val="center"/>
        <w:ind w:right="-7"/>
        <w:spacing w:after="0" w:line="234" w:lineRule="auto"/>
        <w:rPr>
          <w:sz w:val="20"/>
          <w:szCs w:val="20"/>
          <w:color w:val="auto"/>
        </w:rPr>
      </w:pPr>
      <w:r>
        <w:rPr>
          <w:rFonts w:ascii="Arial" w:cs="Arial" w:eastAsia="Arial" w:hAnsi="Arial"/>
          <w:sz w:val="12"/>
          <w:szCs w:val="12"/>
          <w:b w:val="1"/>
          <w:bCs w:val="1"/>
          <w:color w:val="auto"/>
        </w:rPr>
        <w:t>(Unaudited)</w:t>
      </w:r>
    </w:p>
    <w:p>
      <w:pPr>
        <w:jc w:val="center"/>
        <w:ind w:right="-7"/>
        <w:spacing w:after="0"/>
        <w:rPr>
          <w:sz w:val="20"/>
          <w:szCs w:val="20"/>
          <w:color w:val="auto"/>
        </w:rPr>
      </w:pPr>
      <w:r>
        <w:rPr>
          <w:rFonts w:ascii="Arial" w:cs="Arial" w:eastAsia="Arial" w:hAnsi="Arial"/>
          <w:sz w:val="12"/>
          <w:szCs w:val="12"/>
          <w:b w:val="1"/>
          <w:bCs w:val="1"/>
          <w:color w:val="auto"/>
        </w:rPr>
        <w:t>(Amounts in thousands, except per share data)</w:t>
      </w:r>
    </w:p>
    <w:p>
      <w:pPr>
        <w:spacing w:after="0" w:line="190" w:lineRule="exact"/>
        <w:rPr>
          <w:sz w:val="20"/>
          <w:szCs w:val="20"/>
          <w:color w:val="auto"/>
        </w:rPr>
      </w:pPr>
    </w:p>
    <w:tbl>
      <w:tblPr>
        <w:tblLayout w:type="fixed"/>
        <w:tblInd w:w="8"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5"/>
          </w:tcPr>
          <w:p>
            <w:pPr>
              <w:ind w:left="1020"/>
              <w:spacing w:after="0"/>
              <w:rPr>
                <w:sz w:val="20"/>
                <w:szCs w:val="20"/>
                <w:color w:val="auto"/>
              </w:rPr>
            </w:pPr>
            <w:r>
              <w:rPr>
                <w:rFonts w:ascii="Arial" w:cs="Arial" w:eastAsia="Arial" w:hAnsi="Arial"/>
                <w:sz w:val="13"/>
                <w:szCs w:val="13"/>
                <w:b w:val="1"/>
                <w:bCs w:val="1"/>
                <w:color w:val="auto"/>
              </w:rPr>
              <w:t>Thirteen Weeks Ended</w:t>
            </w:r>
          </w:p>
        </w:tc>
        <w:tc>
          <w:tcPr>
            <w:tcW w:w="1640" w:type="dxa"/>
            <w:vAlign w:val="bottom"/>
            <w:tcBorders>
              <w:bottom w:val="single" w:sz="8" w:color="auto"/>
            </w:tcBorders>
          </w:tcPr>
          <w:p>
            <w:pPr>
              <w:spacing w:after="0"/>
              <w:rPr>
                <w:sz w:val="16"/>
                <w:szCs w:val="16"/>
                <w:color w:val="auto"/>
              </w:rPr>
            </w:pPr>
          </w:p>
        </w:tc>
      </w:tr>
      <w:tr>
        <w:trPr>
          <w:trHeight w:val="176"/>
        </w:trPr>
        <w:tc>
          <w:tcPr>
            <w:tcW w:w="4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ind w:left="240"/>
              <w:spacing w:after="0"/>
              <w:rPr>
                <w:sz w:val="20"/>
                <w:szCs w:val="20"/>
                <w:color w:val="auto"/>
              </w:rPr>
            </w:pPr>
            <w:r>
              <w:rPr>
                <w:rFonts w:ascii="Arial" w:cs="Arial" w:eastAsia="Arial" w:hAnsi="Arial"/>
                <w:sz w:val="12"/>
                <w:szCs w:val="12"/>
                <w:b w:val="1"/>
                <w:bCs w:val="1"/>
                <w:color w:val="auto"/>
              </w:rPr>
              <w:t>May 2, 2026</w:t>
            </w:r>
          </w:p>
        </w:tc>
        <w:tc>
          <w:tcPr>
            <w:tcW w:w="1780" w:type="dxa"/>
            <w:vAlign w:val="bottom"/>
            <w:gridSpan w:val="2"/>
          </w:tcPr>
          <w:p>
            <w:pPr>
              <w:ind w:left="220"/>
              <w:spacing w:after="0"/>
              <w:rPr>
                <w:sz w:val="20"/>
                <w:szCs w:val="20"/>
                <w:color w:val="auto"/>
              </w:rPr>
            </w:pPr>
            <w:r>
              <w:rPr>
                <w:rFonts w:ascii="Arial" w:cs="Arial" w:eastAsia="Arial" w:hAnsi="Arial"/>
                <w:sz w:val="12"/>
                <w:szCs w:val="12"/>
                <w:b w:val="1"/>
                <w:bCs w:val="1"/>
                <w:color w:val="auto"/>
              </w:rPr>
              <w:t xml:space="preserve">Percentage of Sales </w:t>
            </w:r>
            <w:r>
              <w:rPr>
                <w:rFonts w:ascii="Arial" w:cs="Arial" w:eastAsia="Arial" w:hAnsi="Arial"/>
                <w:sz w:val="15"/>
                <w:szCs w:val="15"/>
                <w:b w:val="1"/>
                <w:bCs w:val="1"/>
                <w:color w:val="auto"/>
                <w:vertAlign w:val="superscript"/>
              </w:rPr>
              <w:t>(1)</w:t>
            </w:r>
          </w:p>
        </w:tc>
        <w:tc>
          <w:tcPr>
            <w:tcW w:w="320" w:type="dxa"/>
            <w:vAlign w:val="bottom"/>
          </w:tcPr>
          <w:p>
            <w:pPr>
              <w:spacing w:after="0"/>
              <w:rPr>
                <w:sz w:val="15"/>
                <w:szCs w:val="15"/>
                <w:color w:val="auto"/>
              </w:rPr>
            </w:pPr>
          </w:p>
        </w:tc>
        <w:tc>
          <w:tcPr>
            <w:tcW w:w="1540" w:type="dxa"/>
            <w:vAlign w:val="bottom"/>
            <w:gridSpan w:val="2"/>
          </w:tcPr>
          <w:p>
            <w:pPr>
              <w:ind w:left="240"/>
              <w:spacing w:after="0"/>
              <w:rPr>
                <w:sz w:val="20"/>
                <w:szCs w:val="20"/>
                <w:color w:val="auto"/>
              </w:rPr>
            </w:pPr>
            <w:r>
              <w:rPr>
                <w:rFonts w:ascii="Arial" w:cs="Arial" w:eastAsia="Arial" w:hAnsi="Arial"/>
                <w:sz w:val="12"/>
                <w:szCs w:val="12"/>
                <w:b w:val="1"/>
                <w:bCs w:val="1"/>
                <w:color w:val="auto"/>
              </w:rPr>
              <w:t>May 3, 2025</w:t>
            </w:r>
          </w:p>
        </w:tc>
        <w:tc>
          <w:tcPr>
            <w:tcW w:w="1640" w:type="dxa"/>
            <w:vAlign w:val="bottom"/>
          </w:tcPr>
          <w:p>
            <w:pPr>
              <w:jc w:val="right"/>
              <w:ind w:right="120"/>
              <w:spacing w:after="0"/>
              <w:rPr>
                <w:sz w:val="20"/>
                <w:szCs w:val="20"/>
                <w:color w:val="auto"/>
              </w:rPr>
            </w:pPr>
            <w:r>
              <w:rPr>
                <w:rFonts w:ascii="Arial" w:cs="Arial" w:eastAsia="Arial" w:hAnsi="Arial"/>
                <w:sz w:val="12"/>
                <w:szCs w:val="12"/>
                <w:b w:val="1"/>
                <w:bCs w:val="1"/>
                <w:color w:val="auto"/>
              </w:rPr>
              <w:t xml:space="preserve">Percentage of Sales </w:t>
            </w:r>
            <w:r>
              <w:rPr>
                <w:rFonts w:ascii="Arial" w:cs="Arial" w:eastAsia="Arial" w:hAnsi="Arial"/>
                <w:sz w:val="15"/>
                <w:szCs w:val="15"/>
                <w:b w:val="1"/>
                <w:bCs w:val="1"/>
                <w:color w:val="auto"/>
                <w:vertAlign w:val="superscript"/>
              </w:rPr>
              <w:t>(1)</w:t>
            </w:r>
          </w:p>
        </w:tc>
      </w:tr>
      <w:tr>
        <w:trPr>
          <w:trHeight w:val="169"/>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sales</w:t>
            </w: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1,442,003</w:t>
            </w:r>
          </w:p>
        </w:tc>
        <w:tc>
          <w:tcPr>
            <w:tcW w:w="8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100.0 %</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1,351,409</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r>
      <w:tr>
        <w:trPr>
          <w:trHeight w:val="175"/>
        </w:trPr>
        <w:tc>
          <w:tcPr>
            <w:tcW w:w="4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goods sold</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962,655</w:t>
            </w:r>
          </w:p>
        </w:tc>
        <w:tc>
          <w:tcPr>
            <w:tcW w:w="8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66.8 %</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892,540</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66.0 %</w:t>
            </w:r>
          </w:p>
        </w:tc>
      </w:tr>
      <w:tr>
        <w:trPr>
          <w:trHeight w:val="174"/>
        </w:trPr>
        <w:tc>
          <w:tcPr>
            <w:tcW w:w="4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Gross margin</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479,348</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33.2 %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458,869</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34.0 %</w:t>
            </w:r>
          </w:p>
        </w:tc>
      </w:tr>
      <w:tr>
        <w:trPr>
          <w:trHeight w:val="175"/>
        </w:trPr>
        <w:tc>
          <w:tcPr>
            <w:tcW w:w="4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Selling, general and administrative expenses</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404,693</w:t>
            </w:r>
          </w:p>
        </w:tc>
        <w:tc>
          <w:tcPr>
            <w:tcW w:w="8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28.1 %</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389,604</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28.8 %</w:t>
            </w:r>
          </w:p>
        </w:tc>
      </w:tr>
      <w:tr>
        <w:trPr>
          <w:trHeight w:val="174"/>
        </w:trPr>
        <w:tc>
          <w:tcPr>
            <w:tcW w:w="4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Operating income</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74,655</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5.2 %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69,265</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5.1 %</w:t>
            </w:r>
          </w:p>
        </w:tc>
      </w:tr>
      <w:tr>
        <w:trPr>
          <w:trHeight w:val="175"/>
        </w:trPr>
        <w:tc>
          <w:tcPr>
            <w:tcW w:w="4180" w:type="dxa"/>
            <w:vAlign w:val="bottom"/>
          </w:tcPr>
          <w:p>
            <w:pPr>
              <w:spacing w:after="0"/>
              <w:rPr>
                <w:sz w:val="20"/>
                <w:szCs w:val="20"/>
                <w:color w:val="auto"/>
              </w:rPr>
            </w:pPr>
            <w:r>
              <w:rPr>
                <w:rFonts w:ascii="Arial" w:cs="Arial" w:eastAsia="Arial" w:hAnsi="Arial"/>
                <w:sz w:val="12"/>
                <w:szCs w:val="12"/>
                <w:color w:val="auto"/>
              </w:rPr>
              <w:t>Interest expense, net</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8,988</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b w:val="1"/>
                <w:bCs w:val="1"/>
                <w:color w:val="auto"/>
              </w:rPr>
              <w:t>0.6 %</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9,044</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0.7 %</w:t>
            </w:r>
          </w:p>
        </w:tc>
      </w:tr>
      <w:tr>
        <w:trPr>
          <w:trHeight w:val="185"/>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Other income, net</w:t>
            </w:r>
          </w:p>
        </w:tc>
        <w:tc>
          <w:tcPr>
            <w:tcW w:w="3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3,222</w:t>
            </w:r>
          </w:p>
        </w:tc>
        <w:tc>
          <w:tcPr>
            <w:tcW w:w="80" w:type="dxa"/>
            <w:vAlign w:val="bottom"/>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0.2 %</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2,807</w:t>
            </w:r>
          </w:p>
        </w:tc>
        <w:tc>
          <w:tcPr>
            <w:tcW w:w="80" w:type="dxa"/>
            <w:vAlign w:val="bottom"/>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0.2 %</w:t>
            </w:r>
          </w:p>
        </w:tc>
      </w:tr>
      <w:tr>
        <w:trPr>
          <w:trHeight w:val="164"/>
        </w:trPr>
        <w:tc>
          <w:tcPr>
            <w:tcW w:w="4180" w:type="dxa"/>
            <w:vAlign w:val="bottom"/>
          </w:tcPr>
          <w:p>
            <w:pPr>
              <w:ind w:left="140"/>
              <w:spacing w:after="0"/>
              <w:rPr>
                <w:sz w:val="20"/>
                <w:szCs w:val="20"/>
                <w:color w:val="auto"/>
              </w:rPr>
            </w:pPr>
            <w:r>
              <w:rPr>
                <w:rFonts w:ascii="Arial" w:cs="Arial" w:eastAsia="Arial" w:hAnsi="Arial"/>
                <w:sz w:val="12"/>
                <w:szCs w:val="12"/>
                <w:color w:val="auto"/>
              </w:rPr>
              <w:t>Income before income taxes</w:t>
            </w: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68,889</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2"/>
                <w:szCs w:val="12"/>
                <w:b w:val="1"/>
                <w:bCs w:val="1"/>
                <w:color w:val="auto"/>
              </w:rPr>
              <w:t>4.8 %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63,028</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4.7 %</w:t>
            </w:r>
          </w:p>
        </w:tc>
      </w:tr>
      <w:tr>
        <w:trPr>
          <w:trHeight w:val="180"/>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3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16,186</w:t>
            </w:r>
          </w:p>
        </w:tc>
        <w:tc>
          <w:tcPr>
            <w:tcW w:w="80" w:type="dxa"/>
            <w:vAlign w:val="bottom"/>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1.1 %</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16,944</w:t>
            </w:r>
          </w:p>
        </w:tc>
        <w:tc>
          <w:tcPr>
            <w:tcW w:w="8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1.3 %</w:t>
            </w:r>
          </w:p>
        </w:tc>
      </w:tr>
      <w:tr>
        <w:trPr>
          <w:trHeight w:val="190"/>
        </w:trPr>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Net income</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52,703</w:t>
            </w:r>
          </w:p>
        </w:tc>
        <w:tc>
          <w:tcPr>
            <w:tcW w:w="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3.7 %</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46,084</w:t>
            </w: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3.4 %</w:t>
            </w:r>
          </w:p>
        </w:tc>
      </w:tr>
      <w:tr>
        <w:trPr>
          <w:trHeight w:val="153"/>
        </w:trPr>
        <w:tc>
          <w:tcPr>
            <w:tcW w:w="4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72"/>
        </w:trPr>
        <w:tc>
          <w:tcPr>
            <w:tcW w:w="4180" w:type="dxa"/>
            <w:vAlign w:val="bottom"/>
          </w:tcPr>
          <w:p>
            <w:pPr>
              <w:spacing w:after="0"/>
              <w:rPr>
                <w:sz w:val="20"/>
                <w:szCs w:val="20"/>
                <w:color w:val="auto"/>
              </w:rPr>
            </w:pPr>
            <w:r>
              <w:rPr>
                <w:rFonts w:ascii="Arial" w:cs="Arial" w:eastAsia="Arial" w:hAnsi="Arial"/>
                <w:sz w:val="12"/>
                <w:szCs w:val="12"/>
                <w:color w:val="auto"/>
              </w:rPr>
              <w:t>Earnings Per Common Share:</w:t>
            </w: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8"/>
        </w:trPr>
        <w:tc>
          <w:tcPr>
            <w:tcW w:w="4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Basic</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0.82</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0.69</w:t>
            </w: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75"/>
        </w:trPr>
        <w:tc>
          <w:tcPr>
            <w:tcW w:w="4180" w:type="dxa"/>
            <w:vAlign w:val="bottom"/>
          </w:tcPr>
          <w:p>
            <w:pPr>
              <w:ind w:left="140"/>
              <w:spacing w:after="0"/>
              <w:rPr>
                <w:sz w:val="20"/>
                <w:szCs w:val="20"/>
                <w:color w:val="auto"/>
              </w:rPr>
            </w:pPr>
            <w:r>
              <w:rPr>
                <w:rFonts w:ascii="Arial" w:cs="Arial" w:eastAsia="Arial" w:hAnsi="Arial"/>
                <w:sz w:val="12"/>
                <w:szCs w:val="12"/>
                <w:color w:val="auto"/>
              </w:rPr>
              <w:t>Diluted</w:t>
            </w:r>
          </w:p>
        </w:tc>
        <w:tc>
          <w:tcPr>
            <w:tcW w:w="320" w:type="dxa"/>
            <w:vAlign w:val="bottom"/>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0.80</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spacing w:after="0"/>
              <w:rPr>
                <w:sz w:val="20"/>
                <w:szCs w:val="20"/>
                <w:color w:val="auto"/>
              </w:rPr>
            </w:pPr>
            <w:r>
              <w:rPr>
                <w:rFonts w:ascii="Arial" w:cs="Arial" w:eastAsia="Arial" w:hAnsi="Arial"/>
                <w:sz w:val="12"/>
                <w:szCs w:val="12"/>
                <w:color w:val="auto"/>
              </w:rPr>
              <w:t>0.68</w:t>
            </w: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4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72"/>
        </w:trPr>
        <w:tc>
          <w:tcPr>
            <w:tcW w:w="4180" w:type="dxa"/>
            <w:vAlign w:val="bottom"/>
          </w:tcPr>
          <w:p>
            <w:pPr>
              <w:spacing w:after="0"/>
              <w:rPr>
                <w:sz w:val="20"/>
                <w:szCs w:val="20"/>
                <w:color w:val="auto"/>
              </w:rPr>
            </w:pPr>
            <w:r>
              <w:rPr>
                <w:rFonts w:ascii="Arial" w:cs="Arial" w:eastAsia="Arial" w:hAnsi="Arial"/>
                <w:sz w:val="12"/>
                <w:szCs w:val="12"/>
                <w:color w:val="auto"/>
              </w:rPr>
              <w:t>Weighted Average Common Shares Outstanding:</w:t>
            </w: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8"/>
        </w:trPr>
        <w:tc>
          <w:tcPr>
            <w:tcW w:w="4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Basic</w:t>
            </w: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64,432</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67,122</w:t>
            </w: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70"/>
        </w:trPr>
        <w:tc>
          <w:tcPr>
            <w:tcW w:w="4180" w:type="dxa"/>
            <w:vAlign w:val="bottom"/>
          </w:tcPr>
          <w:p>
            <w:pPr>
              <w:ind w:left="140"/>
              <w:spacing w:after="0"/>
              <w:rPr>
                <w:sz w:val="20"/>
                <w:szCs w:val="20"/>
                <w:color w:val="auto"/>
              </w:rPr>
            </w:pPr>
            <w:r>
              <w:rPr>
                <w:rFonts w:ascii="Arial" w:cs="Arial" w:eastAsia="Arial" w:hAnsi="Arial"/>
                <w:sz w:val="12"/>
                <w:szCs w:val="12"/>
                <w:color w:val="auto"/>
              </w:rPr>
              <w:t>Diluted</w:t>
            </w: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65,945</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68,170</w:t>
            </w: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13" w:lineRule="exact"/>
        <w:rPr>
          <w:sz w:val="20"/>
          <w:szCs w:val="20"/>
          <w:color w:val="auto"/>
        </w:rPr>
      </w:pPr>
    </w:p>
    <w:p>
      <w:pPr>
        <w:ind w:left="108" w:hanging="108"/>
        <w:spacing w:after="0"/>
        <w:tabs>
          <w:tab w:leader="none" w:pos="108" w:val="left"/>
        </w:tabs>
        <w:numPr>
          <w:ilvl w:val="0"/>
          <w:numId w:val="4"/>
        </w:numPr>
        <w:rPr>
          <w:rFonts w:ascii="Arial" w:cs="Arial" w:eastAsia="Arial" w:hAnsi="Arial"/>
          <w:sz w:val="13"/>
          <w:szCs w:val="13"/>
          <w:color w:val="auto"/>
          <w:vertAlign w:val="superscript"/>
        </w:rPr>
      </w:pPr>
      <w:r>
        <w:rPr>
          <w:rFonts w:ascii="Arial" w:cs="Arial" w:eastAsia="Arial" w:hAnsi="Arial"/>
          <w:sz w:val="8"/>
          <w:szCs w:val="8"/>
          <w:color w:val="auto"/>
        </w:rPr>
        <w:t>Column may not add due to rounding</w:t>
      </w:r>
    </w:p>
    <w:p>
      <w:pPr>
        <w:spacing w:after="0" w:line="311"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308"/>
          </w:cols>
          <w:pgMar w:left="292" w:top="712"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2"/>
          <w:szCs w:val="12"/>
          <w:b w:val="1"/>
          <w:bCs w:val="1"/>
          <w:color w:val="auto"/>
        </w:rPr>
        <w:t>ACADEMY SPORTS AND OUTDOORS, INC.</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jc w:val="center"/>
        <w:ind w:right="20"/>
        <w:spacing w:after="0" w:line="234" w:lineRule="auto"/>
        <w:rPr>
          <w:sz w:val="20"/>
          <w:szCs w:val="20"/>
          <w:color w:val="auto"/>
        </w:rPr>
      </w:pPr>
      <w:r>
        <w:rPr>
          <w:rFonts w:ascii="Arial" w:cs="Arial" w:eastAsia="Arial" w:hAnsi="Arial"/>
          <w:sz w:val="12"/>
          <w:szCs w:val="12"/>
          <w:b w:val="1"/>
          <w:bCs w:val="1"/>
          <w:color w:val="auto"/>
        </w:rPr>
        <w:t>(Unaudited)</w:t>
      </w:r>
    </w:p>
    <w:p>
      <w:pPr>
        <w:jc w:val="center"/>
        <w:ind w:right="20"/>
        <w:spacing w:after="0"/>
        <w:rPr>
          <w:sz w:val="20"/>
          <w:szCs w:val="20"/>
          <w:color w:val="auto"/>
        </w:rPr>
      </w:pPr>
      <w:r>
        <w:rPr>
          <w:rFonts w:ascii="Arial" w:cs="Arial" w:eastAsia="Arial" w:hAnsi="Arial"/>
          <w:sz w:val="12"/>
          <w:szCs w:val="12"/>
          <w:b w:val="1"/>
          <w:bCs w:val="1"/>
          <w:color w:val="auto"/>
        </w:rPr>
        <w:t>(Amounts in thousands, except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ind w:left="240"/>
              <w:spacing w:after="0"/>
              <w:rPr>
                <w:sz w:val="20"/>
                <w:szCs w:val="20"/>
                <w:color w:val="auto"/>
              </w:rPr>
            </w:pPr>
            <w:r>
              <w:rPr>
                <w:rFonts w:ascii="Arial" w:cs="Arial" w:eastAsia="Arial" w:hAnsi="Arial"/>
                <w:sz w:val="12"/>
                <w:szCs w:val="12"/>
                <w:b w:val="1"/>
                <w:bCs w:val="1"/>
                <w:color w:val="auto"/>
              </w:rPr>
              <w:t>May 2, 2026</w:t>
            </w:r>
          </w:p>
        </w:tc>
        <w:tc>
          <w:tcPr>
            <w:tcW w:w="240" w:type="dxa"/>
            <w:vAlign w:val="bottom"/>
          </w:tcPr>
          <w:p>
            <w:pPr>
              <w:spacing w:after="0"/>
              <w:rPr>
                <w:sz w:val="14"/>
                <w:szCs w:val="14"/>
                <w:color w:val="auto"/>
              </w:rPr>
            </w:pP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January 31, 2026</w:t>
            </w:r>
          </w:p>
        </w:tc>
        <w:tc>
          <w:tcPr>
            <w:tcW w:w="300" w:type="dxa"/>
            <w:vAlign w:val="bottom"/>
          </w:tcPr>
          <w:p>
            <w:pPr>
              <w:spacing w:after="0"/>
              <w:rPr>
                <w:sz w:val="14"/>
                <w:szCs w:val="14"/>
                <w:color w:val="auto"/>
              </w:rPr>
            </w:pPr>
          </w:p>
        </w:tc>
        <w:tc>
          <w:tcPr>
            <w:tcW w:w="1500" w:type="dxa"/>
            <w:vAlign w:val="bottom"/>
          </w:tcPr>
          <w:p>
            <w:pPr>
              <w:jc w:val="right"/>
              <w:ind w:right="520"/>
              <w:spacing w:after="0"/>
              <w:rPr>
                <w:sz w:val="20"/>
                <w:szCs w:val="20"/>
                <w:color w:val="auto"/>
              </w:rPr>
            </w:pPr>
            <w:r>
              <w:rPr>
                <w:rFonts w:ascii="Arial" w:cs="Arial" w:eastAsia="Arial" w:hAnsi="Arial"/>
                <w:sz w:val="12"/>
                <w:szCs w:val="12"/>
                <w:b w:val="1"/>
                <w:bCs w:val="1"/>
                <w:color w:val="auto"/>
              </w:rPr>
              <w:t>May 3, 2025</w:t>
            </w:r>
          </w:p>
        </w:tc>
      </w:tr>
      <w:tr>
        <w:trPr>
          <w:trHeight w:val="165"/>
        </w:trPr>
        <w:tc>
          <w:tcPr>
            <w:tcW w:w="5580" w:type="dxa"/>
            <w:vAlign w:val="bottom"/>
            <w:tcBorders>
              <w:top w:val="single" w:sz="8" w:color="CCEEFF"/>
            </w:tcBorders>
            <w:shd w:val="clear" w:color="auto" w:fill="CCEEFF"/>
          </w:tcPr>
          <w:p>
            <w:pPr>
              <w:ind w:left="2560"/>
              <w:spacing w:after="0"/>
              <w:rPr>
                <w:sz w:val="20"/>
                <w:szCs w:val="20"/>
                <w:color w:val="auto"/>
              </w:rPr>
            </w:pPr>
            <w:r>
              <w:rPr>
                <w:rFonts w:ascii="Arial" w:cs="Arial" w:eastAsia="Arial" w:hAnsi="Arial"/>
                <w:sz w:val="12"/>
                <w:szCs w:val="12"/>
                <w:b w:val="1"/>
                <w:bCs w:val="1"/>
                <w:color w:val="auto"/>
              </w:rPr>
              <w:t>ASSETS</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r>
      <w:tr>
        <w:trPr>
          <w:trHeight w:val="175"/>
        </w:trPr>
        <w:tc>
          <w:tcPr>
            <w:tcW w:w="5580" w:type="dxa"/>
            <w:vAlign w:val="bottom"/>
          </w:tcPr>
          <w:p>
            <w:pPr>
              <w:ind w:left="20"/>
              <w:spacing w:after="0"/>
              <w:rPr>
                <w:sz w:val="20"/>
                <w:szCs w:val="20"/>
                <w:color w:val="auto"/>
              </w:rPr>
            </w:pPr>
            <w:r>
              <w:rPr>
                <w:rFonts w:ascii="Arial" w:cs="Arial" w:eastAsia="Arial" w:hAnsi="Arial"/>
                <w:sz w:val="12"/>
                <w:szCs w:val="12"/>
                <w:b w:val="1"/>
                <w:bCs w:val="1"/>
                <w:color w:val="auto"/>
              </w:rPr>
              <w:t>CURRENT ASSETS: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5"/>
        </w:trPr>
        <w:tc>
          <w:tcPr>
            <w:tcW w:w="55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337,810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330,320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285,104</w:t>
            </w:r>
          </w:p>
        </w:tc>
      </w:tr>
      <w:tr>
        <w:trPr>
          <w:trHeight w:val="175"/>
        </w:trPr>
        <w:tc>
          <w:tcPr>
            <w:tcW w:w="5580" w:type="dxa"/>
            <w:vAlign w:val="bottom"/>
          </w:tcPr>
          <w:p>
            <w:pPr>
              <w:ind w:left="160"/>
              <w:spacing w:after="0"/>
              <w:rPr>
                <w:sz w:val="20"/>
                <w:szCs w:val="20"/>
                <w:color w:val="auto"/>
              </w:rPr>
            </w:pPr>
            <w:r>
              <w:rPr>
                <w:rFonts w:ascii="Arial" w:cs="Arial" w:eastAsia="Arial" w:hAnsi="Arial"/>
                <w:sz w:val="12"/>
                <w:szCs w:val="12"/>
                <w:color w:val="auto"/>
                <w:w w:val="99"/>
              </w:rPr>
              <w:t>Accounts receivable - less allowance for doubtful accounts of $1,209, $1,792 and $2,584, respectively</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17,671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34,755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16,869</w:t>
            </w:r>
          </w:p>
        </w:tc>
      </w:tr>
      <w:tr>
        <w:trPr>
          <w:trHeight w:val="185"/>
        </w:trPr>
        <w:tc>
          <w:tcPr>
            <w:tcW w:w="55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Merchandise inventories, net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1,654,429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1,503,756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1,560,035</w:t>
            </w:r>
          </w:p>
        </w:tc>
      </w:tr>
      <w:tr>
        <w:trPr>
          <w:trHeight w:val="175"/>
        </w:trPr>
        <w:tc>
          <w:tcPr>
            <w:tcW w:w="5580" w:type="dxa"/>
            <w:vAlign w:val="bottom"/>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93,249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82,457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59,757</w:t>
            </w:r>
          </w:p>
        </w:tc>
      </w:tr>
      <w:tr>
        <w:trPr>
          <w:trHeight w:val="185"/>
        </w:trPr>
        <w:tc>
          <w:tcPr>
            <w:tcW w:w="55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Assets held for sale</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2,957</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2,957</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4"/>
        </w:trPr>
        <w:tc>
          <w:tcPr>
            <w:tcW w:w="5580" w:type="dxa"/>
            <w:vAlign w:val="bottom"/>
          </w:tcPr>
          <w:p>
            <w:pPr>
              <w:ind w:left="300"/>
              <w:spacing w:after="0"/>
              <w:rPr>
                <w:sz w:val="20"/>
                <w:szCs w:val="20"/>
                <w:color w:val="auto"/>
              </w:rPr>
            </w:pPr>
            <w:r>
              <w:rPr>
                <w:rFonts w:ascii="Arial" w:cs="Arial" w:eastAsia="Arial" w:hAnsi="Arial"/>
                <w:sz w:val="12"/>
                <w:szCs w:val="12"/>
                <w:b w:val="1"/>
                <w:bCs w:val="1"/>
                <w:color w:val="auto"/>
              </w:rPr>
              <w:t>Total current assets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2,106,116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1,954,245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1,921,765</w:t>
            </w:r>
          </w:p>
        </w:tc>
      </w:tr>
      <w:tr>
        <w:trPr>
          <w:trHeight w:val="149"/>
        </w:trPr>
        <w:tc>
          <w:tcPr>
            <w:tcW w:w="5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75"/>
        </w:trPr>
        <w:tc>
          <w:tcPr>
            <w:tcW w:w="5580" w:type="dxa"/>
            <w:vAlign w:val="bottom"/>
          </w:tcPr>
          <w:p>
            <w:pPr>
              <w:ind w:left="20"/>
              <w:spacing w:after="0"/>
              <w:rPr>
                <w:sz w:val="20"/>
                <w:szCs w:val="20"/>
                <w:color w:val="auto"/>
              </w:rPr>
            </w:pPr>
            <w:r>
              <w:rPr>
                <w:rFonts w:ascii="Arial" w:cs="Arial" w:eastAsia="Arial" w:hAnsi="Arial"/>
                <w:sz w:val="12"/>
                <w:szCs w:val="12"/>
                <w:b w:val="1"/>
                <w:bCs w:val="1"/>
                <w:color w:val="auto"/>
              </w:rPr>
              <w:t>PROPERTY AND EQUIPMENT, NET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602,768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584,103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551,184</w:t>
            </w:r>
          </w:p>
        </w:tc>
      </w:tr>
      <w:tr>
        <w:trPr>
          <w:trHeight w:val="185"/>
        </w:trPr>
        <w:tc>
          <w:tcPr>
            <w:tcW w:w="5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RIGHT-OF-USE ASSETS</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1,290,110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1,234,246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1,210,516</w:t>
            </w:r>
          </w:p>
        </w:tc>
      </w:tr>
      <w:tr>
        <w:trPr>
          <w:trHeight w:val="175"/>
        </w:trPr>
        <w:tc>
          <w:tcPr>
            <w:tcW w:w="5580" w:type="dxa"/>
            <w:vAlign w:val="bottom"/>
          </w:tcPr>
          <w:p>
            <w:pPr>
              <w:ind w:left="20"/>
              <w:spacing w:after="0"/>
              <w:rPr>
                <w:sz w:val="20"/>
                <w:szCs w:val="20"/>
                <w:color w:val="auto"/>
              </w:rPr>
            </w:pPr>
            <w:r>
              <w:rPr>
                <w:rFonts w:ascii="Arial" w:cs="Arial" w:eastAsia="Arial" w:hAnsi="Arial"/>
                <w:sz w:val="12"/>
                <w:szCs w:val="12"/>
                <w:b w:val="1"/>
                <w:bCs w:val="1"/>
                <w:color w:val="auto"/>
              </w:rPr>
              <w:t>TRADE NAME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579,860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579,766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579,165</w:t>
            </w:r>
          </w:p>
        </w:tc>
      </w:tr>
      <w:tr>
        <w:trPr>
          <w:trHeight w:val="185"/>
        </w:trPr>
        <w:tc>
          <w:tcPr>
            <w:tcW w:w="5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GOODWILL</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861,920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861,920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861,920</w:t>
            </w:r>
          </w:p>
        </w:tc>
      </w:tr>
      <w:tr>
        <w:trPr>
          <w:trHeight w:val="17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OTHER NONCURRENT ASSETS</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62,826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62,756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55,873</w:t>
            </w:r>
          </w:p>
        </w:tc>
      </w:tr>
      <w:tr>
        <w:trPr>
          <w:trHeight w:val="190"/>
        </w:trPr>
        <w:tc>
          <w:tcPr>
            <w:tcW w:w="558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Total assets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5,503,600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5,277,036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5,180,423</w:t>
            </w:r>
          </w:p>
        </w:tc>
      </w:tr>
      <w:tr>
        <w:trPr>
          <w:trHeight w:val="126"/>
        </w:trPr>
        <w:tc>
          <w:tcPr>
            <w:tcW w:w="55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r>
      <w:tr>
        <w:trPr>
          <w:trHeight w:val="180"/>
        </w:trPr>
        <w:tc>
          <w:tcPr>
            <w:tcW w:w="5580" w:type="dxa"/>
            <w:vAlign w:val="bottom"/>
            <w:shd w:val="clear" w:color="auto" w:fill="CCEEFF"/>
          </w:tcPr>
          <w:p>
            <w:pPr>
              <w:ind w:left="1540"/>
              <w:spacing w:after="0"/>
              <w:rPr>
                <w:sz w:val="20"/>
                <w:szCs w:val="20"/>
                <w:color w:val="auto"/>
              </w:rPr>
            </w:pPr>
            <w:r>
              <w:rPr>
                <w:rFonts w:ascii="Arial" w:cs="Arial" w:eastAsia="Arial" w:hAnsi="Arial"/>
                <w:sz w:val="12"/>
                <w:szCs w:val="12"/>
                <w:b w:val="1"/>
                <w:bCs w:val="1"/>
                <w:color w:val="auto"/>
              </w:rPr>
              <w:t>LIABILITIES AND STOCKHOLDERS' EQUITY</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5"/>
        </w:trPr>
        <w:tc>
          <w:tcPr>
            <w:tcW w:w="5580" w:type="dxa"/>
            <w:vAlign w:val="bottom"/>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5"/>
        </w:trPr>
        <w:tc>
          <w:tcPr>
            <w:tcW w:w="55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Accounts payable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826,338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637,854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849,554</w:t>
            </w:r>
          </w:p>
        </w:tc>
      </w:tr>
      <w:tr>
        <w:trPr>
          <w:trHeight w:val="175"/>
        </w:trPr>
        <w:tc>
          <w:tcPr>
            <w:tcW w:w="5580" w:type="dxa"/>
            <w:vAlign w:val="bottom"/>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274,857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243,908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272,362</w:t>
            </w:r>
          </w:p>
        </w:tc>
      </w:tr>
      <w:tr>
        <w:trPr>
          <w:trHeight w:val="185"/>
        </w:trPr>
        <w:tc>
          <w:tcPr>
            <w:tcW w:w="55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Current lease liabilities</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152,001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147,491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137,979</w:t>
            </w:r>
          </w:p>
        </w:tc>
      </w:tr>
      <w:tr>
        <w:trPr>
          <w:trHeight w:val="175"/>
        </w:trPr>
        <w:tc>
          <w:tcPr>
            <w:tcW w:w="55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Current maturities of long-term debt</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3,000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3,000</w:t>
            </w:r>
          </w:p>
        </w:tc>
      </w:tr>
      <w:tr>
        <w:trPr>
          <w:trHeight w:val="174"/>
        </w:trPr>
        <w:tc>
          <w:tcPr>
            <w:tcW w:w="558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Total current liabilities</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1,256,196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1,032,253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1,262,895</w:t>
            </w:r>
          </w:p>
        </w:tc>
      </w:tr>
      <w:tr>
        <w:trPr>
          <w:trHeight w:val="108"/>
        </w:trPr>
        <w:tc>
          <w:tcPr>
            <w:tcW w:w="5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180"/>
        </w:trPr>
        <w:tc>
          <w:tcPr>
            <w:tcW w:w="5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LONG-TERM DEBT, NET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480,320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480,793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482,209</w:t>
            </w:r>
          </w:p>
        </w:tc>
      </w:tr>
      <w:tr>
        <w:trPr>
          <w:trHeight w:val="175"/>
        </w:trPr>
        <w:tc>
          <w:tcPr>
            <w:tcW w:w="5580" w:type="dxa"/>
            <w:vAlign w:val="bottom"/>
          </w:tcPr>
          <w:p>
            <w:pPr>
              <w:ind w:left="20"/>
              <w:spacing w:after="0"/>
              <w:rPr>
                <w:sz w:val="20"/>
                <w:szCs w:val="20"/>
                <w:color w:val="auto"/>
              </w:rPr>
            </w:pPr>
            <w:r>
              <w:rPr>
                <w:rFonts w:ascii="Arial" w:cs="Arial" w:eastAsia="Arial" w:hAnsi="Arial"/>
                <w:sz w:val="12"/>
                <w:szCs w:val="12"/>
                <w:b w:val="1"/>
                <w:bCs w:val="1"/>
                <w:color w:val="auto"/>
              </w:rPr>
              <w:t>LONG-TERM LEASE LIABILITIES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1,315,590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1,261,167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1,210,095</w:t>
            </w:r>
          </w:p>
        </w:tc>
      </w:tr>
      <w:tr>
        <w:trPr>
          <w:trHeight w:val="185"/>
        </w:trPr>
        <w:tc>
          <w:tcPr>
            <w:tcW w:w="5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DEFERRED TAX LIABILITIES, NET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299,309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300,654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255,912</w:t>
            </w:r>
          </w:p>
        </w:tc>
      </w:tr>
      <w:tr>
        <w:trPr>
          <w:trHeight w:val="17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OTHER LONG-TERM LIABILITIES</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31,219</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30,792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22,080</w:t>
            </w:r>
          </w:p>
        </w:tc>
      </w:tr>
      <w:tr>
        <w:trPr>
          <w:trHeight w:val="169"/>
        </w:trPr>
        <w:tc>
          <w:tcPr>
            <w:tcW w:w="558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Total liabilities</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3,382,634</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3,105,659</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3,233,191</w:t>
            </w:r>
          </w:p>
        </w:tc>
      </w:tr>
      <w:tr>
        <w:trPr>
          <w:trHeight w:val="120"/>
        </w:trPr>
        <w:tc>
          <w:tcPr>
            <w:tcW w:w="5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180"/>
        </w:trPr>
        <w:tc>
          <w:tcPr>
            <w:tcW w:w="5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COMMITMENTS AND CONTINGENCIES</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08"/>
        </w:trPr>
        <w:tc>
          <w:tcPr>
            <w:tcW w:w="5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180"/>
        </w:trPr>
        <w:tc>
          <w:tcPr>
            <w:tcW w:w="5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STOCKHOLDERS' EQUITY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5"/>
        </w:trPr>
        <w:tc>
          <w:tcPr>
            <w:tcW w:w="5580" w:type="dxa"/>
            <w:vAlign w:val="bottom"/>
          </w:tcPr>
          <w:p>
            <w:pPr>
              <w:ind w:left="160"/>
              <w:spacing w:after="0"/>
              <w:rPr>
                <w:sz w:val="20"/>
                <w:szCs w:val="20"/>
                <w:color w:val="auto"/>
              </w:rPr>
            </w:pPr>
            <w:r>
              <w:rPr>
                <w:rFonts w:ascii="Arial" w:cs="Arial" w:eastAsia="Arial" w:hAnsi="Arial"/>
                <w:sz w:val="12"/>
                <w:szCs w:val="12"/>
                <w:color w:val="auto"/>
              </w:rPr>
              <w:t>Preferred stock, $0.01 par value, authorized 50,000,000 shares; none issued and outstanding</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Common stock, $0.01 par value, authorized 300,000,000 shares; 63,507,116; 64,945,953 and</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75"/>
        </w:trPr>
        <w:tc>
          <w:tcPr>
            <w:tcW w:w="5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66,466,377 issued and outstanding as of May 2, 2026, January 31, 2026 and May 3, 2025, respectively.</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635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662</w:t>
            </w:r>
          </w:p>
        </w:tc>
      </w:tr>
      <w:tr>
        <w:trPr>
          <w:trHeight w:val="175"/>
        </w:trPr>
        <w:tc>
          <w:tcPr>
            <w:tcW w:w="5580" w:type="dxa"/>
            <w:vAlign w:val="bottom"/>
          </w:tcPr>
          <w:p>
            <w:pPr>
              <w:ind w:left="160"/>
              <w:spacing w:after="0"/>
              <w:rPr>
                <w:sz w:val="20"/>
                <w:szCs w:val="20"/>
                <w:color w:val="auto"/>
              </w:rPr>
            </w:pPr>
            <w:r>
              <w:rPr>
                <w:rFonts w:ascii="Arial" w:cs="Arial" w:eastAsia="Arial" w:hAnsi="Arial"/>
                <w:sz w:val="12"/>
                <w:szCs w:val="12"/>
                <w:color w:val="auto"/>
              </w:rPr>
              <w:t>Additional paid-in capital</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254,512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256,351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244,388</w:t>
            </w:r>
          </w:p>
        </w:tc>
      </w:tr>
      <w:tr>
        <w:trPr>
          <w:trHeight w:val="185"/>
        </w:trPr>
        <w:tc>
          <w:tcPr>
            <w:tcW w:w="55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Retained earnings</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1,865,819</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1,914,377</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1,702,182</w:t>
            </w:r>
          </w:p>
        </w:tc>
      </w:tr>
      <w:tr>
        <w:trPr>
          <w:trHeight w:val="164"/>
        </w:trPr>
        <w:tc>
          <w:tcPr>
            <w:tcW w:w="5580" w:type="dxa"/>
            <w:vAlign w:val="bottom"/>
            <w:tcBorders>
              <w:bottom w:val="single" w:sz="8" w:color="CCEEFF"/>
            </w:tcBorders>
          </w:tcPr>
          <w:p>
            <w:pPr>
              <w:ind w:left="300"/>
              <w:spacing w:after="0"/>
              <w:rPr>
                <w:sz w:val="20"/>
                <w:szCs w:val="20"/>
                <w:color w:val="auto"/>
              </w:rPr>
            </w:pPr>
            <w:r>
              <w:rPr>
                <w:rFonts w:ascii="Arial" w:cs="Arial" w:eastAsia="Arial" w:hAnsi="Arial"/>
                <w:sz w:val="12"/>
                <w:szCs w:val="12"/>
                <w:b w:val="1"/>
                <w:bCs w:val="1"/>
                <w:color w:val="auto"/>
              </w:rPr>
              <w:t>Stockholders' equity</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2,120,966</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2,171,377</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1,947,232</w:t>
            </w:r>
          </w:p>
        </w:tc>
      </w:tr>
      <w:tr>
        <w:trPr>
          <w:trHeight w:val="194"/>
        </w:trPr>
        <w:tc>
          <w:tcPr>
            <w:tcW w:w="558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Total liabilities and stockholders' equity</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5,503,600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5,277,036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5,180,423</w:t>
            </w:r>
          </w:p>
        </w:tc>
      </w:tr>
      <w:tr>
        <w:trPr>
          <w:trHeight w:val="377"/>
        </w:trPr>
        <w:tc>
          <w:tcPr>
            <w:tcW w:w="55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71"/>
              </w:rPr>
              <w:t>6</w:t>
            </w:r>
          </w:p>
        </w:tc>
        <w:tc>
          <w:tcPr>
            <w:tcW w:w="3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bl>
    <w:p>
      <w:pPr>
        <w:sectPr>
          <w:pgSz w:w="11900" w:h="16838" w:orient="portrait"/>
          <w:cols w:equalWidth="0" w:num="1">
            <w:col w:w="11220"/>
          </w:cols>
          <w:pgMar w:left="340" w:top="55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2"/>
          <w:szCs w:val="12"/>
          <w:b w:val="1"/>
          <w:bCs w:val="1"/>
          <w:color w:val="auto"/>
        </w:rPr>
        <w:t>ACADEMY SPORTS AND OUTDOORS,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2"/>
          <w:szCs w:val="12"/>
          <w:b w:val="1"/>
          <w:bCs w:val="1"/>
          <w:color w:val="auto"/>
        </w:rPr>
        <w:t>(Unaudited)</w:t>
      </w:r>
    </w:p>
    <w:p>
      <w:pPr>
        <w:jc w:val="center"/>
        <w:spacing w:after="0"/>
        <w:rPr>
          <w:sz w:val="20"/>
          <w:szCs w:val="20"/>
          <w:color w:val="auto"/>
        </w:rPr>
      </w:pPr>
      <w:r>
        <w:rPr>
          <w:rFonts w:ascii="Arial" w:cs="Arial" w:eastAsia="Arial" w:hAnsi="Arial"/>
          <w:sz w:val="12"/>
          <w:szCs w:val="12"/>
          <w:b w:val="1"/>
          <w:bCs w:val="1"/>
          <w:color w:val="auto"/>
        </w:rPr>
        <w:t>(Amounts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1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2"/>
                <w:szCs w:val="12"/>
                <w:b w:val="1"/>
                <w:bCs w:val="1"/>
                <w:color w:val="auto"/>
              </w:rPr>
              <w:t>Thirteen Weeks Ended</w:t>
            </w:r>
          </w:p>
        </w:tc>
        <w:tc>
          <w:tcPr>
            <w:tcW w:w="560" w:type="dxa"/>
            <w:vAlign w:val="bottom"/>
            <w:tcBorders>
              <w:bottom w:val="single" w:sz="8" w:color="auto"/>
            </w:tcBorders>
          </w:tcPr>
          <w:p>
            <w:pPr>
              <w:spacing w:after="0"/>
              <w:rPr>
                <w:sz w:val="14"/>
                <w:szCs w:val="14"/>
                <w:color w:val="auto"/>
              </w:rPr>
            </w:pPr>
          </w:p>
        </w:tc>
      </w:tr>
      <w:tr>
        <w:trPr>
          <w:trHeight w:val="169"/>
        </w:trPr>
        <w:tc>
          <w:tcPr>
            <w:tcW w:w="502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May 2, 2026</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May 3, 2025</w:t>
            </w:r>
          </w:p>
        </w:tc>
        <w:tc>
          <w:tcPr>
            <w:tcW w:w="560" w:type="dxa"/>
            <w:vAlign w:val="bottom"/>
            <w:tcBorders>
              <w:bottom w:val="single" w:sz="8" w:color="auto"/>
            </w:tcBorders>
          </w:tcPr>
          <w:p>
            <w:pPr>
              <w:spacing w:after="0"/>
              <w:rPr>
                <w:sz w:val="14"/>
                <w:szCs w:val="14"/>
                <w:color w:val="auto"/>
              </w:rPr>
            </w:pPr>
          </w:p>
        </w:tc>
      </w:tr>
      <w:tr>
        <w:trPr>
          <w:trHeight w:val="16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26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75"/>
        </w:trPr>
        <w:tc>
          <w:tcPr>
            <w:tcW w:w="5020" w:type="dxa"/>
            <w:vAlign w:val="bottom"/>
          </w:tcPr>
          <w:p>
            <w:pPr>
              <w:ind w:left="160"/>
              <w:spacing w:after="0"/>
              <w:rPr>
                <w:sz w:val="20"/>
                <w:szCs w:val="20"/>
                <w:color w:val="auto"/>
              </w:rPr>
            </w:pPr>
            <w:r>
              <w:rPr>
                <w:rFonts w:ascii="Arial" w:cs="Arial" w:eastAsia="Arial" w:hAnsi="Arial"/>
                <w:sz w:val="12"/>
                <w:szCs w:val="12"/>
                <w:color w:val="auto"/>
              </w:rPr>
              <w:t>Net income</w:t>
            </w:r>
          </w:p>
        </w:tc>
        <w:tc>
          <w:tcPr>
            <w:tcW w:w="3840" w:type="dxa"/>
            <w:vAlign w:val="bottom"/>
            <w:gridSpan w:val="2"/>
          </w:tcPr>
          <w:p>
            <w:pPr>
              <w:jc w:val="right"/>
              <w:ind w:right="1100"/>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52,703</w:t>
            </w:r>
          </w:p>
        </w:tc>
        <w:tc>
          <w:tcPr>
            <w:tcW w:w="80" w:type="dxa"/>
            <w:vAlign w:val="bottom"/>
          </w:tcPr>
          <w:p>
            <w:pPr>
              <w:spacing w:after="0"/>
              <w:rPr>
                <w:sz w:val="15"/>
                <w:szCs w:val="15"/>
                <w:color w:val="auto"/>
              </w:rPr>
            </w:pPr>
          </w:p>
        </w:tc>
        <w:tc>
          <w:tcPr>
            <w:tcW w:w="1240" w:type="dxa"/>
            <w:vAlign w:val="bottom"/>
          </w:tcPr>
          <w:p>
            <w:pPr>
              <w:jc w:val="right"/>
              <w:ind w:right="110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46,084</w:t>
            </w:r>
          </w:p>
        </w:tc>
      </w:tr>
      <w:tr>
        <w:trPr>
          <w:trHeight w:val="185"/>
        </w:trPr>
        <w:tc>
          <w:tcPr>
            <w:tcW w:w="50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75"/>
        </w:trPr>
        <w:tc>
          <w:tcPr>
            <w:tcW w:w="5020" w:type="dxa"/>
            <w:vAlign w:val="bottom"/>
          </w:tcPr>
          <w:p>
            <w:pPr>
              <w:ind w:left="320"/>
              <w:spacing w:after="0"/>
              <w:rPr>
                <w:sz w:val="20"/>
                <w:szCs w:val="20"/>
                <w:color w:val="auto"/>
              </w:rPr>
            </w:pPr>
            <w:r>
              <w:rPr>
                <w:rFonts w:ascii="Arial" w:cs="Arial" w:eastAsia="Arial" w:hAnsi="Arial"/>
                <w:sz w:val="12"/>
                <w:szCs w:val="12"/>
                <w:color w:val="auto"/>
              </w:rPr>
              <w:t>Depreciation and amortization</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30,757</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30,150</w:t>
            </w:r>
          </w:p>
        </w:tc>
      </w:tr>
      <w:tr>
        <w:trPr>
          <w:trHeight w:val="185"/>
        </w:trPr>
        <w:tc>
          <w:tcPr>
            <w:tcW w:w="50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Non-cash lease expense</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3,068</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12,665</w:t>
            </w:r>
          </w:p>
        </w:tc>
      </w:tr>
      <w:tr>
        <w:trPr>
          <w:trHeight w:val="175"/>
        </w:trPr>
        <w:tc>
          <w:tcPr>
            <w:tcW w:w="5020" w:type="dxa"/>
            <w:vAlign w:val="bottom"/>
          </w:tcPr>
          <w:p>
            <w:pPr>
              <w:ind w:left="320"/>
              <w:spacing w:after="0"/>
              <w:rPr>
                <w:sz w:val="20"/>
                <w:szCs w:val="20"/>
                <w:color w:val="auto"/>
              </w:rPr>
            </w:pPr>
            <w:r>
              <w:rPr>
                <w:rFonts w:ascii="Arial" w:cs="Arial" w:eastAsia="Arial" w:hAnsi="Arial"/>
                <w:sz w:val="12"/>
                <w:szCs w:val="12"/>
                <w:color w:val="auto"/>
              </w:rPr>
              <w:t>Equity compensation</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11,100</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7,542</w:t>
            </w:r>
          </w:p>
        </w:tc>
      </w:tr>
      <w:tr>
        <w:trPr>
          <w:trHeight w:val="185"/>
        </w:trPr>
        <w:tc>
          <w:tcPr>
            <w:tcW w:w="50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Amortization of deferred loan and other costs</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646</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w:t>
            </w:r>
          </w:p>
        </w:tc>
      </w:tr>
      <w:tr>
        <w:trPr>
          <w:trHeight w:val="175"/>
        </w:trPr>
        <w:tc>
          <w:tcPr>
            <w:tcW w:w="5020" w:type="dxa"/>
            <w:vAlign w:val="bottom"/>
          </w:tcPr>
          <w:p>
            <w:pPr>
              <w:ind w:left="320"/>
              <w:spacing w:after="0"/>
              <w:rPr>
                <w:sz w:val="20"/>
                <w:szCs w:val="20"/>
                <w:color w:val="auto"/>
              </w:rPr>
            </w:pPr>
            <w:r>
              <w:rPr>
                <w:rFonts w:ascii="Arial" w:cs="Arial" w:eastAsia="Arial" w:hAnsi="Arial"/>
                <w:sz w:val="12"/>
                <w:szCs w:val="12"/>
                <w:color w:val="auto"/>
              </w:rPr>
              <w:t>Deferred income taxes</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(1,345)</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(903)</w:t>
            </w:r>
          </w:p>
        </w:tc>
      </w:tr>
      <w:tr>
        <w:trPr>
          <w:trHeight w:val="185"/>
        </w:trPr>
        <w:tc>
          <w:tcPr>
            <w:tcW w:w="50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Changes in assets and liabilities:</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75"/>
        </w:trPr>
        <w:tc>
          <w:tcPr>
            <w:tcW w:w="5020" w:type="dxa"/>
            <w:vAlign w:val="bottom"/>
          </w:tcPr>
          <w:p>
            <w:pPr>
              <w:ind w:left="460"/>
              <w:spacing w:after="0"/>
              <w:rPr>
                <w:sz w:val="20"/>
                <w:szCs w:val="20"/>
                <w:color w:val="auto"/>
              </w:rPr>
            </w:pPr>
            <w:r>
              <w:rPr>
                <w:rFonts w:ascii="Arial" w:cs="Arial" w:eastAsia="Arial" w:hAnsi="Arial"/>
                <w:sz w:val="12"/>
                <w:szCs w:val="12"/>
                <w:color w:val="auto"/>
              </w:rPr>
              <w:t>Accounts receivable, net</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17,084</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185"/>
        </w:trPr>
        <w:tc>
          <w:tcPr>
            <w:tcW w:w="50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Merchandise inventories, net</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(150,673)</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(251,195)</w:t>
            </w:r>
          </w:p>
        </w:tc>
      </w:tr>
      <w:tr>
        <w:trPr>
          <w:trHeight w:val="175"/>
        </w:trPr>
        <w:tc>
          <w:tcPr>
            <w:tcW w:w="5020" w:type="dxa"/>
            <w:vAlign w:val="bottom"/>
          </w:tcPr>
          <w:p>
            <w:pPr>
              <w:ind w:left="460"/>
              <w:spacing w:after="0"/>
              <w:rPr>
                <w:sz w:val="20"/>
                <w:szCs w:val="20"/>
                <w:color w:val="auto"/>
              </w:rPr>
            </w:pPr>
            <w:r>
              <w:rPr>
                <w:rFonts w:ascii="Arial" w:cs="Arial" w:eastAsia="Arial" w:hAnsi="Arial"/>
                <w:sz w:val="12"/>
                <w:szCs w:val="12"/>
                <w:color w:val="auto"/>
              </w:rPr>
              <w:t>Prepaid expenses and other current assets</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(10,793)</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35,863</w:t>
            </w:r>
          </w:p>
        </w:tc>
      </w:tr>
      <w:tr>
        <w:trPr>
          <w:trHeight w:val="185"/>
        </w:trPr>
        <w:tc>
          <w:tcPr>
            <w:tcW w:w="50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Other noncurrent assets</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(438)</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(4,566)</w:t>
            </w:r>
          </w:p>
        </w:tc>
      </w:tr>
      <w:tr>
        <w:trPr>
          <w:trHeight w:val="175"/>
        </w:trPr>
        <w:tc>
          <w:tcPr>
            <w:tcW w:w="5020" w:type="dxa"/>
            <w:vAlign w:val="bottom"/>
          </w:tcPr>
          <w:p>
            <w:pPr>
              <w:ind w:left="460"/>
              <w:spacing w:after="0"/>
              <w:rPr>
                <w:sz w:val="20"/>
                <w:szCs w:val="20"/>
                <w:color w:val="auto"/>
              </w:rPr>
            </w:pPr>
            <w:r>
              <w:rPr>
                <w:rFonts w:ascii="Arial" w:cs="Arial" w:eastAsia="Arial" w:hAnsi="Arial"/>
                <w:sz w:val="12"/>
                <w:szCs w:val="12"/>
                <w:color w:val="auto"/>
              </w:rPr>
              <w:t>Accounts payable</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177,965</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231,762</w:t>
            </w:r>
          </w:p>
        </w:tc>
      </w:tr>
      <w:tr>
        <w:trPr>
          <w:trHeight w:val="185"/>
        </w:trPr>
        <w:tc>
          <w:tcPr>
            <w:tcW w:w="50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Accrued expenses and other current liabilities</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12,782</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24,848</w:t>
            </w:r>
          </w:p>
        </w:tc>
      </w:tr>
      <w:tr>
        <w:trPr>
          <w:trHeight w:val="175"/>
        </w:trPr>
        <w:tc>
          <w:tcPr>
            <w:tcW w:w="5020" w:type="dxa"/>
            <w:vAlign w:val="bottom"/>
          </w:tcPr>
          <w:p>
            <w:pPr>
              <w:ind w:left="460"/>
              <w:spacing w:after="0"/>
              <w:rPr>
                <w:sz w:val="20"/>
                <w:szCs w:val="20"/>
                <w:color w:val="auto"/>
              </w:rPr>
            </w:pPr>
            <w:r>
              <w:rPr>
                <w:rFonts w:ascii="Arial" w:cs="Arial" w:eastAsia="Arial" w:hAnsi="Arial"/>
                <w:sz w:val="12"/>
                <w:szCs w:val="12"/>
                <w:color w:val="auto"/>
              </w:rPr>
              <w:t>Income taxes payable</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17,323</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16,322</w:t>
            </w:r>
          </w:p>
        </w:tc>
      </w:tr>
      <w:tr>
        <w:trPr>
          <w:trHeight w:val="185"/>
        </w:trPr>
        <w:tc>
          <w:tcPr>
            <w:tcW w:w="50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Other long-term liabilities</w:t>
            </w:r>
          </w:p>
        </w:tc>
        <w:tc>
          <w:tcPr>
            <w:tcW w:w="260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427</w:t>
            </w:r>
          </w:p>
        </w:tc>
        <w:tc>
          <w:tcPr>
            <w:tcW w:w="8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8,361</w:t>
            </w:r>
          </w:p>
        </w:tc>
      </w:tr>
      <w:tr>
        <w:trPr>
          <w:trHeight w:val="164"/>
        </w:trPr>
        <w:tc>
          <w:tcPr>
            <w:tcW w:w="5020" w:type="dxa"/>
            <w:vAlign w:val="bottom"/>
            <w:tcBorders>
              <w:bottom w:val="single" w:sz="8" w:color="CCEEFF"/>
            </w:tcBorders>
          </w:tcPr>
          <w:p>
            <w:pPr>
              <w:ind w:left="600"/>
              <w:spacing w:after="0"/>
              <w:rPr>
                <w:sz w:val="20"/>
                <w:szCs w:val="20"/>
                <w:color w:val="auto"/>
              </w:rPr>
            </w:pPr>
            <w:r>
              <w:rPr>
                <w:rFonts w:ascii="Arial" w:cs="Arial" w:eastAsia="Arial" w:hAnsi="Arial"/>
                <w:sz w:val="12"/>
                <w:szCs w:val="12"/>
                <w:color w:val="auto"/>
              </w:rPr>
              <w:t>Net cash provided by operating activities</w:t>
            </w:r>
          </w:p>
        </w:tc>
        <w:tc>
          <w:tcPr>
            <w:tcW w:w="26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160,606</w:t>
            </w:r>
          </w:p>
        </w:tc>
        <w:tc>
          <w:tcPr>
            <w:tcW w:w="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157,472</w:t>
            </w:r>
          </w:p>
        </w:tc>
      </w:tr>
      <w:tr>
        <w:trPr>
          <w:trHeight w:val="156"/>
        </w:trPr>
        <w:tc>
          <w:tcPr>
            <w:tcW w:w="50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5"/>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5"/>
        </w:trPr>
        <w:tc>
          <w:tcPr>
            <w:tcW w:w="50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Capital expenditures</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(38,903)</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(50,830)</w:t>
            </w:r>
          </w:p>
        </w:tc>
      </w:tr>
      <w:tr>
        <w:trPr>
          <w:trHeight w:val="175"/>
        </w:trPr>
        <w:tc>
          <w:tcPr>
            <w:tcW w:w="502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Purchases of intangible assets</w:t>
            </w:r>
          </w:p>
        </w:tc>
        <w:tc>
          <w:tcPr>
            <w:tcW w:w="26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(94)</w:t>
            </w:r>
          </w:p>
        </w:tc>
        <w:tc>
          <w:tcPr>
            <w:tcW w:w="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w:t>
            </w:r>
          </w:p>
        </w:tc>
      </w:tr>
      <w:tr>
        <w:trPr>
          <w:trHeight w:val="169"/>
        </w:trPr>
        <w:tc>
          <w:tcPr>
            <w:tcW w:w="50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Net cash used in investing activities</w:t>
            </w:r>
          </w:p>
        </w:tc>
        <w:tc>
          <w:tcPr>
            <w:tcW w:w="26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(38,997)</w:t>
            </w:r>
          </w:p>
        </w:tc>
        <w:tc>
          <w:tcPr>
            <w:tcW w:w="8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(50,988)</w:t>
            </w:r>
          </w:p>
        </w:tc>
      </w:tr>
      <w:tr>
        <w:trPr>
          <w:trHeight w:val="156"/>
        </w:trPr>
        <w:tc>
          <w:tcPr>
            <w:tcW w:w="5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26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75"/>
        </w:trPr>
        <w:tc>
          <w:tcPr>
            <w:tcW w:w="5020" w:type="dxa"/>
            <w:vAlign w:val="bottom"/>
          </w:tcPr>
          <w:p>
            <w:pPr>
              <w:ind w:left="160"/>
              <w:spacing w:after="0"/>
              <w:rPr>
                <w:sz w:val="20"/>
                <w:szCs w:val="20"/>
                <w:color w:val="auto"/>
              </w:rPr>
            </w:pPr>
            <w:r>
              <w:rPr>
                <w:rFonts w:ascii="Arial" w:cs="Arial" w:eastAsia="Arial" w:hAnsi="Arial"/>
                <w:sz w:val="12"/>
                <w:szCs w:val="12"/>
                <w:color w:val="auto"/>
              </w:rPr>
              <w:t>Repayment of Term Loan</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(750)</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(750)</w:t>
            </w:r>
          </w:p>
        </w:tc>
      </w:tr>
      <w:tr>
        <w:trPr>
          <w:trHeight w:val="185"/>
        </w:trPr>
        <w:tc>
          <w:tcPr>
            <w:tcW w:w="50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Repurchase of common stock for retirement</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(98,412)</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(99,031)</w:t>
            </w:r>
          </w:p>
        </w:tc>
      </w:tr>
      <w:tr>
        <w:trPr>
          <w:trHeight w:val="175"/>
        </w:trPr>
        <w:tc>
          <w:tcPr>
            <w:tcW w:w="5020" w:type="dxa"/>
            <w:vAlign w:val="bottom"/>
          </w:tcPr>
          <w:p>
            <w:pPr>
              <w:ind w:left="160"/>
              <w:spacing w:after="0"/>
              <w:rPr>
                <w:sz w:val="20"/>
                <w:szCs w:val="20"/>
                <w:color w:val="auto"/>
              </w:rPr>
            </w:pPr>
            <w:r>
              <w:rPr>
                <w:rFonts w:ascii="Arial" w:cs="Arial" w:eastAsia="Arial" w:hAnsi="Arial"/>
                <w:sz w:val="12"/>
                <w:szCs w:val="12"/>
                <w:color w:val="auto"/>
              </w:rPr>
              <w:t>Proceeds from exercise of stock options</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715</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1,516</w:t>
            </w:r>
          </w:p>
        </w:tc>
      </w:tr>
      <w:tr>
        <w:trPr>
          <w:trHeight w:val="185"/>
        </w:trPr>
        <w:tc>
          <w:tcPr>
            <w:tcW w:w="50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Taxes paid related to net share settlement of equity awards</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(6,026)</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(3,328)</w:t>
            </w:r>
          </w:p>
        </w:tc>
      </w:tr>
      <w:tr>
        <w:trPr>
          <w:trHeight w:val="175"/>
        </w:trPr>
        <w:tc>
          <w:tcPr>
            <w:tcW w:w="502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Dividends paid</w:t>
            </w:r>
          </w:p>
        </w:tc>
        <w:tc>
          <w:tcPr>
            <w:tcW w:w="26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(9,646)</w:t>
            </w:r>
          </w:p>
        </w:tc>
        <w:tc>
          <w:tcPr>
            <w:tcW w:w="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(8,716)</w:t>
            </w:r>
          </w:p>
        </w:tc>
      </w:tr>
      <w:tr>
        <w:trPr>
          <w:trHeight w:val="169"/>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used in financing activities</w:t>
            </w:r>
          </w:p>
        </w:tc>
        <w:tc>
          <w:tcPr>
            <w:tcW w:w="26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(114,119)</w:t>
            </w:r>
          </w:p>
        </w:tc>
        <w:tc>
          <w:tcPr>
            <w:tcW w:w="8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(110,309)</w:t>
            </w:r>
          </w:p>
        </w:tc>
      </w:tr>
      <w:tr>
        <w:trPr>
          <w:trHeight w:val="156"/>
        </w:trPr>
        <w:tc>
          <w:tcPr>
            <w:tcW w:w="5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INCREASE (DECREASE) IN CASH AND CASH EQUIVALENTS</w:t>
            </w:r>
          </w:p>
        </w:tc>
        <w:tc>
          <w:tcPr>
            <w:tcW w:w="26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7,490</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(3,825)</w:t>
            </w:r>
          </w:p>
        </w:tc>
      </w:tr>
      <w:tr>
        <w:trPr>
          <w:trHeight w:val="17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CASH AND CASH EQUIVALENTS AT BEGINNING OF PERIOD</w:t>
            </w:r>
          </w:p>
        </w:tc>
        <w:tc>
          <w:tcPr>
            <w:tcW w:w="26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330,320</w:t>
            </w: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288,929</w:t>
            </w:r>
          </w:p>
        </w:tc>
      </w:tr>
      <w:tr>
        <w:trPr>
          <w:trHeight w:val="194"/>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 AT END OF PERIOD</w:t>
            </w:r>
          </w:p>
        </w:tc>
        <w:tc>
          <w:tcPr>
            <w:tcW w:w="3840" w:type="dxa"/>
            <w:vAlign w:val="bottom"/>
            <w:gridSpan w:val="2"/>
            <w:shd w:val="clear" w:color="auto" w:fill="CCEEFF"/>
          </w:tcPr>
          <w:p>
            <w:pPr>
              <w:jc w:val="right"/>
              <w:ind w:right="1100"/>
              <w:spacing w:after="0"/>
              <w:rPr>
                <w:sz w:val="20"/>
                <w:szCs w:val="20"/>
                <w:color w:val="auto"/>
              </w:rPr>
            </w:pPr>
            <w:r>
              <w:rPr>
                <w:rFonts w:ascii="Arial" w:cs="Arial" w:eastAsia="Arial" w:hAnsi="Arial"/>
                <w:sz w:val="12"/>
                <w:szCs w:val="12"/>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337,810</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100"/>
              <w:spacing w:after="0"/>
              <w:rPr>
                <w:sz w:val="20"/>
                <w:szCs w:val="20"/>
                <w:color w:val="auto"/>
              </w:rPr>
            </w:pPr>
            <w:r>
              <w:rPr>
                <w:rFonts w:ascii="Arial" w:cs="Arial" w:eastAsia="Arial" w:hAnsi="Arial"/>
                <w:sz w:val="12"/>
                <w:szCs w:val="12"/>
                <w:b w:val="1"/>
                <w:bCs w:val="1"/>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285,104</w:t>
            </w:r>
          </w:p>
        </w:tc>
      </w:tr>
      <w:tr>
        <w:trPr>
          <w:trHeight w:val="485"/>
        </w:trPr>
        <w:tc>
          <w:tcPr>
            <w:tcW w:w="5020" w:type="dxa"/>
            <w:vAlign w:val="bottom"/>
            <w:tcBorders>
              <w:top w:val="single" w:sz="8" w:color="CCEEFF"/>
            </w:tcBorders>
          </w:tcPr>
          <w:p>
            <w:pPr>
              <w:spacing w:after="0"/>
              <w:rPr>
                <w:sz w:val="24"/>
                <w:szCs w:val="24"/>
                <w:color w:val="auto"/>
              </w:rPr>
            </w:pPr>
          </w:p>
        </w:tc>
        <w:tc>
          <w:tcPr>
            <w:tcW w:w="2600" w:type="dxa"/>
            <w:vAlign w:val="bottom"/>
            <w:tcBorders>
              <w:top w:val="single" w:sz="8" w:color="CCEEFF"/>
            </w:tcBorders>
          </w:tcPr>
          <w:p>
            <w:pPr>
              <w:jc w:val="right"/>
              <w:ind w:right="1884"/>
              <w:spacing w:after="0"/>
              <w:rPr>
                <w:sz w:val="20"/>
                <w:szCs w:val="20"/>
                <w:color w:val="auto"/>
              </w:rPr>
            </w:pPr>
            <w:r>
              <w:rPr>
                <w:rFonts w:ascii="Arial" w:cs="Arial" w:eastAsia="Arial" w:hAnsi="Arial"/>
                <w:sz w:val="10"/>
                <w:szCs w:val="10"/>
                <w:color w:val="auto"/>
              </w:rPr>
              <w:t>7</w:t>
            </w:r>
          </w:p>
        </w:tc>
        <w:tc>
          <w:tcPr>
            <w:tcW w:w="1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-4338955</wp:posOffset>
            </wp:positionV>
            <wp:extent cx="4572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b w:val="1"/>
          <w:bCs w:val="1"/>
          <w:color w:val="auto"/>
        </w:rPr>
        <w:t>ACADEMY SPORTS AND OUTDOORS,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RECONCILIATIONS OF GAAP TO NON-GAAP FINANCIAL MEASURES</w:t>
      </w:r>
    </w:p>
    <w:p>
      <w:pPr>
        <w:jc w:val="center"/>
        <w:spacing w:after="0" w:line="234" w:lineRule="auto"/>
        <w:rPr>
          <w:sz w:val="20"/>
          <w:szCs w:val="20"/>
          <w:color w:val="auto"/>
        </w:rPr>
      </w:pPr>
      <w:r>
        <w:rPr>
          <w:rFonts w:ascii="Arial" w:cs="Arial" w:eastAsia="Arial" w:hAnsi="Arial"/>
          <w:sz w:val="12"/>
          <w:szCs w:val="12"/>
          <w:b w:val="1"/>
          <w:bCs w:val="1"/>
          <w:color w:val="auto"/>
        </w:rPr>
        <w:t>(Unaudited)</w:t>
      </w:r>
    </w:p>
    <w:p>
      <w:pPr>
        <w:jc w:val="center"/>
        <w:spacing w:after="0"/>
        <w:rPr>
          <w:sz w:val="20"/>
          <w:szCs w:val="20"/>
          <w:color w:val="auto"/>
        </w:rPr>
      </w:pPr>
      <w:r>
        <w:rPr>
          <w:rFonts w:ascii="Arial" w:cs="Arial" w:eastAsia="Arial" w:hAnsi="Arial"/>
          <w:sz w:val="12"/>
          <w:szCs w:val="12"/>
          <w:b w:val="1"/>
          <w:bCs w:val="1"/>
          <w:color w:val="auto"/>
        </w:rPr>
        <w:t>(Amounts in thousands)</w:t>
      </w: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Adjusted EBIT</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We define “Adjusted EBIT” as net income (loss) before interest expense, net, income tax expense and other adjustments included in the table below. We describe these adjustments reconciling net income (loss) to</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Adjusted EBIT in the following table (amounts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80" w:type="dxa"/>
            <w:vAlign w:val="bottom"/>
          </w:tcPr>
          <w:p>
            <w:pPr>
              <w:spacing w:after="0"/>
              <w:rPr>
                <w:sz w:val="14"/>
                <w:szCs w:val="14"/>
                <w:color w:val="auto"/>
              </w:rPr>
            </w:pPr>
          </w:p>
        </w:tc>
        <w:tc>
          <w:tcPr>
            <w:tcW w:w="29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2"/>
                <w:szCs w:val="12"/>
                <w:b w:val="1"/>
                <w:bCs w:val="1"/>
                <w:color w:val="auto"/>
              </w:rPr>
              <w:t>Thirteen Weeks Ended</w:t>
            </w:r>
          </w:p>
        </w:tc>
        <w:tc>
          <w:tcPr>
            <w:tcW w:w="460" w:type="dxa"/>
            <w:vAlign w:val="bottom"/>
            <w:tcBorders>
              <w:bottom w:val="single" w:sz="8" w:color="auto"/>
            </w:tcBorders>
          </w:tcPr>
          <w:p>
            <w:pPr>
              <w:spacing w:after="0"/>
              <w:rPr>
                <w:sz w:val="14"/>
                <w:szCs w:val="14"/>
                <w:color w:val="auto"/>
              </w:rPr>
            </w:pPr>
          </w:p>
        </w:tc>
      </w:tr>
      <w:tr>
        <w:trPr>
          <w:trHeight w:val="169"/>
        </w:trPr>
        <w:tc>
          <w:tcPr>
            <w:tcW w:w="78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May 2, 2026</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May 3, 2025</w:t>
            </w:r>
          </w:p>
        </w:tc>
        <w:tc>
          <w:tcPr>
            <w:tcW w:w="460" w:type="dxa"/>
            <w:vAlign w:val="bottom"/>
            <w:tcBorders>
              <w:bottom w:val="single" w:sz="8" w:color="auto"/>
            </w:tcBorders>
          </w:tcPr>
          <w:p>
            <w:pPr>
              <w:spacing w:after="0"/>
              <w:rPr>
                <w:sz w:val="14"/>
                <w:szCs w:val="14"/>
                <w:color w:val="auto"/>
              </w:rPr>
            </w:pPr>
          </w:p>
        </w:tc>
      </w:tr>
      <w:tr>
        <w:trPr>
          <w:trHeight w:val="174"/>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1220" w:type="dxa"/>
            <w:vAlign w:val="bottom"/>
            <w:shd w:val="clear" w:color="auto" w:fill="CCEEFF"/>
          </w:tcPr>
          <w:p>
            <w:pPr>
              <w:jc w:val="right"/>
              <w:ind w:right="1080"/>
              <w:spacing w:after="0"/>
              <w:rPr>
                <w:sz w:val="20"/>
                <w:szCs w:val="20"/>
                <w:color w:val="auto"/>
              </w:rPr>
            </w:pPr>
            <w:r>
              <w:rPr>
                <w:rFonts w:ascii="Arial" w:cs="Arial" w:eastAsia="Arial" w:hAnsi="Arial"/>
                <w:sz w:val="12"/>
                <w:szCs w:val="12"/>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52,703</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8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46,084</w:t>
            </w:r>
          </w:p>
        </w:tc>
      </w:tr>
      <w:tr>
        <w:trPr>
          <w:trHeight w:val="175"/>
        </w:trPr>
        <w:tc>
          <w:tcPr>
            <w:tcW w:w="7880" w:type="dxa"/>
            <w:vAlign w:val="bottom"/>
          </w:tcPr>
          <w:p>
            <w:pPr>
              <w:spacing w:after="0"/>
              <w:rPr>
                <w:sz w:val="20"/>
                <w:szCs w:val="20"/>
                <w:color w:val="auto"/>
              </w:rPr>
            </w:pPr>
            <w:r>
              <w:rPr>
                <w:rFonts w:ascii="Arial" w:cs="Arial" w:eastAsia="Arial" w:hAnsi="Arial"/>
                <w:sz w:val="12"/>
                <w:szCs w:val="12"/>
                <w:color w:val="auto"/>
              </w:rPr>
              <w:t>Interest expense, net</w:t>
            </w:r>
          </w:p>
        </w:tc>
        <w:tc>
          <w:tcPr>
            <w:tcW w:w="1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8,988</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9,044</w:t>
            </w:r>
          </w:p>
        </w:tc>
      </w:tr>
      <w:tr>
        <w:trPr>
          <w:trHeight w:val="185"/>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12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16,186</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16,944</w:t>
            </w:r>
          </w:p>
        </w:tc>
      </w:tr>
      <w:tr>
        <w:trPr>
          <w:trHeight w:val="175"/>
        </w:trPr>
        <w:tc>
          <w:tcPr>
            <w:tcW w:w="7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Equity compensation (a)</w:t>
            </w:r>
          </w:p>
        </w:tc>
        <w:tc>
          <w:tcPr>
            <w:tcW w:w="1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11,100</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7,542</w:t>
            </w:r>
          </w:p>
        </w:tc>
      </w:tr>
      <w:tr>
        <w:trPr>
          <w:trHeight w:val="190"/>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Adjusted EBIT</w:t>
            </w:r>
          </w:p>
        </w:tc>
        <w:tc>
          <w:tcPr>
            <w:tcW w:w="1220" w:type="dxa"/>
            <w:vAlign w:val="bottom"/>
            <w:tcBorders>
              <w:bottom w:val="single" w:sz="8" w:color="auto"/>
            </w:tcBorders>
            <w:shd w:val="clear" w:color="auto" w:fill="CCEEFF"/>
          </w:tcPr>
          <w:p>
            <w:pPr>
              <w:jc w:val="right"/>
              <w:ind w:right="1080"/>
              <w:spacing w:after="0"/>
              <w:rPr>
                <w:sz w:val="20"/>
                <w:szCs w:val="20"/>
                <w:color w:val="auto"/>
              </w:rPr>
            </w:pPr>
            <w:r>
              <w:rPr>
                <w:rFonts w:ascii="Arial" w:cs="Arial" w:eastAsia="Arial" w:hAnsi="Arial"/>
                <w:sz w:val="12"/>
                <w:szCs w:val="12"/>
                <w:b w:val="1"/>
                <w:bCs w:val="1"/>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88,977</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88"/>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79,614</w:t>
            </w:r>
          </w:p>
        </w:tc>
      </w:tr>
    </w:tbl>
    <w:p>
      <w:pPr>
        <w:spacing w:after="0" w:line="87" w:lineRule="exact"/>
        <w:rPr>
          <w:sz w:val="20"/>
          <w:szCs w:val="20"/>
          <w:color w:val="auto"/>
        </w:rPr>
      </w:pPr>
    </w:p>
    <w:p>
      <w:pPr>
        <w:ind w:left="380" w:hanging="376"/>
        <w:spacing w:after="0"/>
        <w:tabs>
          <w:tab w:leader="none" w:pos="380" w:val="left"/>
        </w:tabs>
        <w:numPr>
          <w:ilvl w:val="0"/>
          <w:numId w:val="5"/>
        </w:numPr>
        <w:rPr>
          <w:rFonts w:ascii="Arial" w:cs="Arial" w:eastAsia="Arial" w:hAnsi="Arial"/>
          <w:sz w:val="8"/>
          <w:szCs w:val="8"/>
          <w:color w:val="auto"/>
        </w:rPr>
      </w:pPr>
      <w:r>
        <w:rPr>
          <w:rFonts w:ascii="Arial" w:cs="Arial" w:eastAsia="Arial" w:hAnsi="Arial"/>
          <w:sz w:val="8"/>
          <w:szCs w:val="8"/>
          <w:color w:val="auto"/>
        </w:rPr>
        <w:t>Represents non-cash charges related to equity based compensation, which vary from period to period depending on certain factors such as the timing and valuation of awards, achievement of performance targets and equity award forfeitures.</w:t>
      </w:r>
    </w:p>
    <w:p>
      <w:pPr>
        <w:spacing w:after="0" w:line="200" w:lineRule="exact"/>
        <w:rPr>
          <w:rFonts w:ascii="Arial" w:cs="Arial" w:eastAsia="Arial" w:hAnsi="Arial"/>
          <w:sz w:val="8"/>
          <w:szCs w:val="8"/>
          <w:color w:val="auto"/>
        </w:rPr>
      </w:pPr>
    </w:p>
    <w:p>
      <w:pPr>
        <w:spacing w:after="0" w:line="381" w:lineRule="exact"/>
        <w:rPr>
          <w:rFonts w:ascii="Arial" w:cs="Arial" w:eastAsia="Arial" w:hAnsi="Arial"/>
          <w:sz w:val="8"/>
          <w:szCs w:val="8"/>
          <w:color w:val="auto"/>
        </w:rPr>
      </w:pPr>
    </w:p>
    <w:p>
      <w:pPr>
        <w:ind w:left="5620"/>
        <w:spacing w:after="0"/>
        <w:rPr>
          <w:rFonts w:ascii="Arial" w:cs="Arial" w:eastAsia="Arial" w:hAnsi="Arial"/>
          <w:sz w:val="8"/>
          <w:szCs w:val="8"/>
          <w:color w:val="auto"/>
        </w:rPr>
      </w:pPr>
      <w:r>
        <w:rPr>
          <w:rFonts w:ascii="Arial" w:cs="Arial" w:eastAsia="Arial" w:hAnsi="Arial"/>
          <w:sz w:val="10"/>
          <w:szCs w:val="10"/>
          <w:color w:val="auto"/>
        </w:rPr>
        <w:t>8</w:t>
      </w:r>
    </w:p>
    <w:p>
      <w:pPr>
        <w:sectPr>
          <w:pgSz w:w="11900" w:h="16838" w:orient="portrait"/>
          <w:cols w:equalWidth="0" w:num="1">
            <w:col w:w="11300"/>
          </w:cols>
          <w:pgMar w:left="300" w:top="712"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i w:val="1"/>
          <w:iCs w:val="1"/>
          <w:color w:val="auto"/>
        </w:rPr>
        <w:t>Adjusted Net Income and Adjusted Earnings Per Common Share</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define “Adjusted Net Income” as net income (loss) plus other adjustments included in the table below,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and Adjusted Earnings Per Common Share in the following table (amounts in thousands, except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80" w:type="dxa"/>
            <w:vAlign w:val="bottom"/>
          </w:tcPr>
          <w:p>
            <w:pPr>
              <w:spacing w:after="0"/>
              <w:rPr>
                <w:sz w:val="14"/>
                <w:szCs w:val="14"/>
                <w:color w:val="auto"/>
              </w:rPr>
            </w:pPr>
          </w:p>
        </w:tc>
        <w:tc>
          <w:tcPr>
            <w:tcW w:w="296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2"/>
                <w:szCs w:val="12"/>
                <w:b w:val="1"/>
                <w:bCs w:val="1"/>
                <w:color w:val="auto"/>
              </w:rPr>
              <w:t>Thirteen Weeks Ended</w:t>
            </w:r>
          </w:p>
        </w:tc>
        <w:tc>
          <w:tcPr>
            <w:tcW w:w="460" w:type="dxa"/>
            <w:vAlign w:val="bottom"/>
            <w:tcBorders>
              <w:bottom w:val="single" w:sz="8" w:color="auto"/>
            </w:tcBorders>
          </w:tcPr>
          <w:p>
            <w:pPr>
              <w:spacing w:after="0"/>
              <w:rPr>
                <w:sz w:val="14"/>
                <w:szCs w:val="14"/>
                <w:color w:val="auto"/>
              </w:rPr>
            </w:pPr>
          </w:p>
        </w:tc>
      </w:tr>
      <w:tr>
        <w:trPr>
          <w:trHeight w:val="169"/>
        </w:trPr>
        <w:tc>
          <w:tcPr>
            <w:tcW w:w="78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May 2, 2026</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May 3, 2025</w:t>
            </w:r>
          </w:p>
        </w:tc>
        <w:tc>
          <w:tcPr>
            <w:tcW w:w="460" w:type="dxa"/>
            <w:vAlign w:val="bottom"/>
            <w:tcBorders>
              <w:bottom w:val="single" w:sz="8" w:color="auto"/>
            </w:tcBorders>
          </w:tcPr>
          <w:p>
            <w:pPr>
              <w:spacing w:after="0"/>
              <w:rPr>
                <w:sz w:val="14"/>
                <w:szCs w:val="14"/>
                <w:color w:val="auto"/>
              </w:rPr>
            </w:pPr>
          </w:p>
        </w:tc>
      </w:tr>
      <w:tr>
        <w:trPr>
          <w:trHeight w:val="174"/>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1200" w:type="dxa"/>
            <w:vAlign w:val="bottom"/>
            <w:shd w:val="clear" w:color="auto" w:fill="CCEEFF"/>
          </w:tcPr>
          <w:p>
            <w:pPr>
              <w:jc w:val="right"/>
              <w:ind w:right="1060"/>
              <w:spacing w:after="0"/>
              <w:rPr>
                <w:sz w:val="20"/>
                <w:szCs w:val="20"/>
                <w:color w:val="auto"/>
              </w:rPr>
            </w:pPr>
            <w:r>
              <w:rPr>
                <w:rFonts w:ascii="Arial" w:cs="Arial" w:eastAsia="Arial" w:hAnsi="Arial"/>
                <w:sz w:val="12"/>
                <w:szCs w:val="12"/>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52,703</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8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46,084</w:t>
            </w:r>
          </w:p>
        </w:tc>
      </w:tr>
      <w:tr>
        <w:trPr>
          <w:trHeight w:val="175"/>
        </w:trPr>
        <w:tc>
          <w:tcPr>
            <w:tcW w:w="7880" w:type="dxa"/>
            <w:vAlign w:val="bottom"/>
          </w:tcPr>
          <w:p>
            <w:pPr>
              <w:spacing w:after="0"/>
              <w:rPr>
                <w:sz w:val="20"/>
                <w:szCs w:val="20"/>
                <w:color w:val="auto"/>
              </w:rPr>
            </w:pPr>
            <w:r>
              <w:rPr>
                <w:rFonts w:ascii="Arial" w:cs="Arial" w:eastAsia="Arial" w:hAnsi="Arial"/>
                <w:sz w:val="12"/>
                <w:szCs w:val="12"/>
                <w:color w:val="auto"/>
              </w:rPr>
              <w:t>Equity compensation (a)</w:t>
            </w:r>
          </w:p>
        </w:tc>
        <w:tc>
          <w:tcPr>
            <w:tcW w:w="1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11,100</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7,542</w:t>
            </w:r>
          </w:p>
        </w:tc>
      </w:tr>
      <w:tr>
        <w:trPr>
          <w:trHeight w:val="185"/>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Tax effects of these adjustments (b)</w:t>
            </w:r>
          </w:p>
        </w:tc>
        <w:tc>
          <w:tcPr>
            <w:tcW w:w="12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(2,584)</w:t>
            </w:r>
          </w:p>
        </w:tc>
        <w:tc>
          <w:tcPr>
            <w:tcW w:w="8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(2,029)</w:t>
            </w:r>
          </w:p>
        </w:tc>
      </w:tr>
      <w:tr>
        <w:trPr>
          <w:trHeight w:val="164"/>
        </w:trPr>
        <w:tc>
          <w:tcPr>
            <w:tcW w:w="7880" w:type="dxa"/>
            <w:vAlign w:val="bottom"/>
          </w:tcPr>
          <w:p>
            <w:pPr>
              <w:ind w:left="140"/>
              <w:spacing w:after="0"/>
              <w:rPr>
                <w:sz w:val="20"/>
                <w:szCs w:val="20"/>
                <w:color w:val="auto"/>
              </w:rPr>
            </w:pPr>
            <w:r>
              <w:rPr>
                <w:rFonts w:ascii="Arial" w:cs="Arial" w:eastAsia="Arial" w:hAnsi="Arial"/>
                <w:sz w:val="12"/>
                <w:szCs w:val="12"/>
                <w:color w:val="auto"/>
              </w:rPr>
              <w:t>Adjusted Net Income</w:t>
            </w:r>
          </w:p>
        </w:tc>
        <w:tc>
          <w:tcPr>
            <w:tcW w:w="1200" w:type="dxa"/>
            <w:vAlign w:val="bottom"/>
          </w:tcPr>
          <w:p>
            <w:pPr>
              <w:jc w:val="right"/>
              <w:ind w:right="1060"/>
              <w:spacing w:after="0"/>
              <w:rPr>
                <w:sz w:val="20"/>
                <w:szCs w:val="20"/>
                <w:color w:val="auto"/>
              </w:rPr>
            </w:pPr>
            <w:r>
              <w:rPr>
                <w:rFonts w:ascii="Arial" w:cs="Arial" w:eastAsia="Arial" w:hAnsi="Arial"/>
                <w:sz w:val="12"/>
                <w:szCs w:val="12"/>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61,219</w:t>
            </w:r>
          </w:p>
        </w:tc>
        <w:tc>
          <w:tcPr>
            <w:tcW w:w="80" w:type="dxa"/>
            <w:vAlign w:val="bottom"/>
          </w:tcPr>
          <w:p>
            <w:pPr>
              <w:spacing w:after="0"/>
              <w:rPr>
                <w:sz w:val="14"/>
                <w:szCs w:val="14"/>
                <w:color w:val="auto"/>
              </w:rPr>
            </w:pPr>
          </w:p>
        </w:tc>
        <w:tc>
          <w:tcPr>
            <w:tcW w:w="1220" w:type="dxa"/>
            <w:vAlign w:val="bottom"/>
          </w:tcPr>
          <w:p>
            <w:pPr>
              <w:jc w:val="right"/>
              <w:ind w:right="108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51,597</w:t>
            </w:r>
          </w:p>
        </w:tc>
      </w:tr>
      <w:tr>
        <w:trPr>
          <w:trHeight w:val="104"/>
        </w:trPr>
        <w:tc>
          <w:tcPr>
            <w:tcW w:w="78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r>
      <w:tr>
        <w:trPr>
          <w:trHeight w:val="172"/>
        </w:trPr>
        <w:tc>
          <w:tcPr>
            <w:tcW w:w="7880" w:type="dxa"/>
            <w:vAlign w:val="bottom"/>
          </w:tcPr>
          <w:p>
            <w:pPr>
              <w:spacing w:after="0"/>
              <w:rPr>
                <w:sz w:val="20"/>
                <w:szCs w:val="20"/>
                <w:color w:val="auto"/>
              </w:rPr>
            </w:pPr>
            <w:r>
              <w:rPr>
                <w:rFonts w:ascii="Arial" w:cs="Arial" w:eastAsia="Arial" w:hAnsi="Arial"/>
                <w:sz w:val="12"/>
                <w:szCs w:val="12"/>
                <w:color w:val="auto"/>
              </w:rPr>
              <w:t>Earnings per common share:</w:t>
            </w: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8"/>
        </w:trPr>
        <w:tc>
          <w:tcPr>
            <w:tcW w:w="78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Basic</w:t>
            </w:r>
          </w:p>
        </w:tc>
        <w:tc>
          <w:tcPr>
            <w:tcW w:w="1200" w:type="dxa"/>
            <w:vAlign w:val="bottom"/>
            <w:shd w:val="clear" w:color="auto" w:fill="CCEEFF"/>
          </w:tcPr>
          <w:p>
            <w:pPr>
              <w:jc w:val="right"/>
              <w:ind w:right="1060"/>
              <w:spacing w:after="0"/>
              <w:rPr>
                <w:sz w:val="20"/>
                <w:szCs w:val="20"/>
                <w:color w:val="auto"/>
              </w:rPr>
            </w:pPr>
            <w:r>
              <w:rPr>
                <w:rFonts w:ascii="Arial" w:cs="Arial" w:eastAsia="Arial" w:hAnsi="Arial"/>
                <w:sz w:val="12"/>
                <w:szCs w:val="12"/>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0.82</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8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0.69</w:t>
            </w:r>
          </w:p>
        </w:tc>
      </w:tr>
      <w:tr>
        <w:trPr>
          <w:trHeight w:val="175"/>
        </w:trPr>
        <w:tc>
          <w:tcPr>
            <w:tcW w:w="7880" w:type="dxa"/>
            <w:vAlign w:val="bottom"/>
          </w:tcPr>
          <w:p>
            <w:pPr>
              <w:ind w:left="140"/>
              <w:spacing w:after="0"/>
              <w:rPr>
                <w:sz w:val="20"/>
                <w:szCs w:val="20"/>
                <w:color w:val="auto"/>
              </w:rPr>
            </w:pPr>
            <w:r>
              <w:rPr>
                <w:rFonts w:ascii="Arial" w:cs="Arial" w:eastAsia="Arial" w:hAnsi="Arial"/>
                <w:sz w:val="12"/>
                <w:szCs w:val="12"/>
                <w:color w:val="auto"/>
              </w:rPr>
              <w:t>Diluted</w:t>
            </w:r>
          </w:p>
        </w:tc>
        <w:tc>
          <w:tcPr>
            <w:tcW w:w="1200" w:type="dxa"/>
            <w:vAlign w:val="bottom"/>
          </w:tcPr>
          <w:p>
            <w:pPr>
              <w:jc w:val="right"/>
              <w:ind w:right="1060"/>
              <w:spacing w:after="0"/>
              <w:rPr>
                <w:sz w:val="20"/>
                <w:szCs w:val="20"/>
                <w:color w:val="auto"/>
              </w:rPr>
            </w:pPr>
            <w:r>
              <w:rPr>
                <w:rFonts w:ascii="Arial" w:cs="Arial" w:eastAsia="Arial" w:hAnsi="Arial"/>
                <w:sz w:val="12"/>
                <w:szCs w:val="12"/>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0.80</w:t>
            </w:r>
          </w:p>
        </w:tc>
        <w:tc>
          <w:tcPr>
            <w:tcW w:w="80" w:type="dxa"/>
            <w:vAlign w:val="bottom"/>
          </w:tcPr>
          <w:p>
            <w:pPr>
              <w:spacing w:after="0"/>
              <w:rPr>
                <w:sz w:val="15"/>
                <w:szCs w:val="15"/>
                <w:color w:val="auto"/>
              </w:rPr>
            </w:pPr>
          </w:p>
        </w:tc>
        <w:tc>
          <w:tcPr>
            <w:tcW w:w="1220" w:type="dxa"/>
            <w:vAlign w:val="bottom"/>
          </w:tcPr>
          <w:p>
            <w:pPr>
              <w:jc w:val="right"/>
              <w:ind w:right="108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0.68</w:t>
            </w:r>
          </w:p>
        </w:tc>
      </w:tr>
      <w:tr>
        <w:trPr>
          <w:trHeight w:val="185"/>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Adjusted earnings per common share:</w:t>
            </w:r>
          </w:p>
        </w:tc>
        <w:tc>
          <w:tcPr>
            <w:tcW w:w="1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175"/>
        </w:trPr>
        <w:tc>
          <w:tcPr>
            <w:tcW w:w="7880" w:type="dxa"/>
            <w:vAlign w:val="bottom"/>
          </w:tcPr>
          <w:p>
            <w:pPr>
              <w:ind w:left="140"/>
              <w:spacing w:after="0"/>
              <w:rPr>
                <w:sz w:val="20"/>
                <w:szCs w:val="20"/>
                <w:color w:val="auto"/>
              </w:rPr>
            </w:pPr>
            <w:r>
              <w:rPr>
                <w:rFonts w:ascii="Arial" w:cs="Arial" w:eastAsia="Arial" w:hAnsi="Arial"/>
                <w:sz w:val="12"/>
                <w:szCs w:val="12"/>
                <w:color w:val="auto"/>
              </w:rPr>
              <w:t>Basic</w:t>
            </w:r>
          </w:p>
        </w:tc>
        <w:tc>
          <w:tcPr>
            <w:tcW w:w="1200" w:type="dxa"/>
            <w:vAlign w:val="bottom"/>
          </w:tcPr>
          <w:p>
            <w:pPr>
              <w:jc w:val="right"/>
              <w:ind w:right="1060"/>
              <w:spacing w:after="0"/>
              <w:rPr>
                <w:sz w:val="20"/>
                <w:szCs w:val="20"/>
                <w:color w:val="auto"/>
              </w:rPr>
            </w:pPr>
            <w:r>
              <w:rPr>
                <w:rFonts w:ascii="Arial" w:cs="Arial" w:eastAsia="Arial" w:hAnsi="Arial"/>
                <w:sz w:val="12"/>
                <w:szCs w:val="12"/>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0.95</w:t>
            </w:r>
          </w:p>
        </w:tc>
        <w:tc>
          <w:tcPr>
            <w:tcW w:w="80" w:type="dxa"/>
            <w:vAlign w:val="bottom"/>
          </w:tcPr>
          <w:p>
            <w:pPr>
              <w:spacing w:after="0"/>
              <w:rPr>
                <w:sz w:val="15"/>
                <w:szCs w:val="15"/>
                <w:color w:val="auto"/>
              </w:rPr>
            </w:pPr>
          </w:p>
        </w:tc>
        <w:tc>
          <w:tcPr>
            <w:tcW w:w="1220" w:type="dxa"/>
            <w:vAlign w:val="bottom"/>
          </w:tcPr>
          <w:p>
            <w:pPr>
              <w:jc w:val="right"/>
              <w:ind w:right="108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0.77</w:t>
            </w:r>
          </w:p>
        </w:tc>
      </w:tr>
      <w:tr>
        <w:trPr>
          <w:trHeight w:val="185"/>
        </w:trPr>
        <w:tc>
          <w:tcPr>
            <w:tcW w:w="78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Diluted</w:t>
            </w:r>
          </w:p>
        </w:tc>
        <w:tc>
          <w:tcPr>
            <w:tcW w:w="1200" w:type="dxa"/>
            <w:vAlign w:val="bottom"/>
            <w:shd w:val="clear" w:color="auto" w:fill="CCEEFF"/>
          </w:tcPr>
          <w:p>
            <w:pPr>
              <w:jc w:val="right"/>
              <w:ind w:right="1060"/>
              <w:spacing w:after="0"/>
              <w:rPr>
                <w:sz w:val="20"/>
                <w:szCs w:val="20"/>
                <w:color w:val="auto"/>
              </w:rPr>
            </w:pPr>
            <w:r>
              <w:rPr>
                <w:rFonts w:ascii="Arial" w:cs="Arial" w:eastAsia="Arial" w:hAnsi="Arial"/>
                <w:sz w:val="12"/>
                <w:szCs w:val="12"/>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0.93</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8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0.76</w:t>
            </w:r>
          </w:p>
        </w:tc>
      </w:tr>
      <w:tr>
        <w:trPr>
          <w:trHeight w:val="172"/>
        </w:trPr>
        <w:tc>
          <w:tcPr>
            <w:tcW w:w="7880" w:type="dxa"/>
            <w:vAlign w:val="bottom"/>
          </w:tcPr>
          <w:p>
            <w:pPr>
              <w:spacing w:after="0"/>
              <w:rPr>
                <w:sz w:val="20"/>
                <w:szCs w:val="20"/>
                <w:color w:val="auto"/>
              </w:rPr>
            </w:pPr>
            <w:r>
              <w:rPr>
                <w:rFonts w:ascii="Arial" w:cs="Arial" w:eastAsia="Arial" w:hAnsi="Arial"/>
                <w:sz w:val="12"/>
                <w:szCs w:val="12"/>
                <w:color w:val="auto"/>
              </w:rPr>
              <w:t>Weighted average common shares outstanding:</w:t>
            </w: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8"/>
        </w:trPr>
        <w:tc>
          <w:tcPr>
            <w:tcW w:w="78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Basic</w:t>
            </w:r>
          </w:p>
        </w:tc>
        <w:tc>
          <w:tcPr>
            <w:tcW w:w="12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64,432</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67,122</w:t>
            </w:r>
          </w:p>
        </w:tc>
      </w:tr>
      <w:tr>
        <w:trPr>
          <w:trHeight w:val="170"/>
        </w:trPr>
        <w:tc>
          <w:tcPr>
            <w:tcW w:w="7880" w:type="dxa"/>
            <w:vAlign w:val="bottom"/>
          </w:tcPr>
          <w:p>
            <w:pPr>
              <w:ind w:left="140"/>
              <w:spacing w:after="0"/>
              <w:rPr>
                <w:sz w:val="20"/>
                <w:szCs w:val="20"/>
                <w:color w:val="auto"/>
              </w:rPr>
            </w:pPr>
            <w:r>
              <w:rPr>
                <w:rFonts w:ascii="Arial" w:cs="Arial" w:eastAsia="Arial" w:hAnsi="Arial"/>
                <w:sz w:val="12"/>
                <w:szCs w:val="12"/>
                <w:color w:val="auto"/>
              </w:rPr>
              <w:t>Diluted</w:t>
            </w:r>
          </w:p>
        </w:tc>
        <w:tc>
          <w:tcPr>
            <w:tcW w:w="1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65,945</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68,170</w:t>
            </w:r>
          </w:p>
        </w:tc>
      </w:tr>
    </w:tbl>
    <w:p>
      <w:pPr>
        <w:spacing w:after="0" w:line="88" w:lineRule="exact"/>
        <w:rPr>
          <w:sz w:val="20"/>
          <w:szCs w:val="20"/>
          <w:color w:val="auto"/>
        </w:rPr>
      </w:pPr>
    </w:p>
    <w:p>
      <w:pPr>
        <w:ind w:left="420" w:hanging="416"/>
        <w:spacing w:after="0"/>
        <w:tabs>
          <w:tab w:leader="none" w:pos="420" w:val="left"/>
        </w:tabs>
        <w:numPr>
          <w:ilvl w:val="0"/>
          <w:numId w:val="6"/>
        </w:numPr>
        <w:rPr>
          <w:rFonts w:ascii="Arial" w:cs="Arial" w:eastAsia="Arial" w:hAnsi="Arial"/>
          <w:sz w:val="8"/>
          <w:szCs w:val="8"/>
          <w:color w:val="auto"/>
        </w:rPr>
      </w:pPr>
      <w:r>
        <w:rPr>
          <w:rFonts w:ascii="Arial" w:cs="Arial" w:eastAsia="Arial" w:hAnsi="Arial"/>
          <w:sz w:val="8"/>
          <w:szCs w:val="8"/>
          <w:color w:val="auto"/>
        </w:rPr>
        <w:t>Represents non-cash charges related to equity based compensation, which vary from period to period depending on certain factors such as the timing and valuation of awards, achievement of performance targets and equity award forfeitures.</w:t>
      </w:r>
    </w:p>
    <w:p>
      <w:pPr>
        <w:spacing w:after="0" w:line="43" w:lineRule="exact"/>
        <w:rPr>
          <w:rFonts w:ascii="Arial" w:cs="Arial" w:eastAsia="Arial" w:hAnsi="Arial"/>
          <w:sz w:val="8"/>
          <w:szCs w:val="8"/>
          <w:color w:val="auto"/>
        </w:rPr>
      </w:pPr>
    </w:p>
    <w:p>
      <w:pPr>
        <w:ind w:left="420" w:hanging="416"/>
        <w:spacing w:after="0"/>
        <w:tabs>
          <w:tab w:leader="none" w:pos="420" w:val="left"/>
        </w:tabs>
        <w:numPr>
          <w:ilvl w:val="0"/>
          <w:numId w:val="6"/>
        </w:numPr>
        <w:rPr>
          <w:rFonts w:ascii="Arial" w:cs="Arial" w:eastAsia="Arial" w:hAnsi="Arial"/>
          <w:sz w:val="8"/>
          <w:szCs w:val="8"/>
          <w:color w:val="auto"/>
        </w:rPr>
      </w:pPr>
      <w:r>
        <w:rPr>
          <w:rFonts w:ascii="Arial" w:cs="Arial" w:eastAsia="Arial" w:hAnsi="Arial"/>
          <w:sz w:val="8"/>
          <w:szCs w:val="8"/>
          <w:color w:val="auto"/>
        </w:rPr>
        <w:t>Represents the estimated tax effect of the total adjustments made to arrive at Adjusted Net Income.</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Adjusted Net Income and Adjusted Earnings Per Common Share, Diluted, Guidance Reconciliation (amounts in millions, except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20" w:type="dxa"/>
            <w:vAlign w:val="bottom"/>
          </w:tcPr>
          <w:p>
            <w:pPr>
              <w:spacing w:after="0"/>
              <w:rPr>
                <w:sz w:val="14"/>
                <w:szCs w:val="14"/>
                <w:color w:val="auto"/>
              </w:rPr>
            </w:pPr>
          </w:p>
        </w:tc>
        <w:tc>
          <w:tcPr>
            <w:tcW w:w="1840" w:type="dxa"/>
            <w:vAlign w:val="bottom"/>
          </w:tcPr>
          <w:p>
            <w:pPr>
              <w:jc w:val="center"/>
              <w:ind w:left="400"/>
              <w:spacing w:after="0"/>
              <w:rPr>
                <w:sz w:val="20"/>
                <w:szCs w:val="20"/>
                <w:color w:val="auto"/>
              </w:rPr>
            </w:pPr>
            <w:r>
              <w:rPr>
                <w:rFonts w:ascii="Arial" w:cs="Arial" w:eastAsia="Arial" w:hAnsi="Arial"/>
                <w:sz w:val="12"/>
                <w:szCs w:val="12"/>
                <w:b w:val="1"/>
                <w:bCs w:val="1"/>
                <w:color w:val="auto"/>
              </w:rPr>
              <w:t>Low Range*</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jc w:val="center"/>
              <w:ind w:right="300"/>
              <w:spacing w:after="0"/>
              <w:rPr>
                <w:sz w:val="20"/>
                <w:szCs w:val="20"/>
                <w:color w:val="auto"/>
              </w:rPr>
            </w:pPr>
            <w:r>
              <w:rPr>
                <w:rFonts w:ascii="Arial" w:cs="Arial" w:eastAsia="Arial" w:hAnsi="Arial"/>
                <w:sz w:val="12"/>
                <w:szCs w:val="12"/>
                <w:b w:val="1"/>
                <w:bCs w:val="1"/>
                <w:color w:val="auto"/>
              </w:rPr>
              <w:t>High Range*</w:t>
            </w:r>
          </w:p>
        </w:tc>
      </w:tr>
      <w:tr>
        <w:trPr>
          <w:trHeight w:val="168"/>
        </w:trPr>
        <w:tc>
          <w:tcPr>
            <w:tcW w:w="6620" w:type="dxa"/>
            <w:vAlign w:val="bottom"/>
          </w:tcPr>
          <w:p>
            <w:pPr>
              <w:spacing w:after="0"/>
              <w:rPr>
                <w:sz w:val="14"/>
                <w:szCs w:val="14"/>
                <w:color w:val="auto"/>
              </w:rPr>
            </w:pPr>
          </w:p>
        </w:tc>
        <w:tc>
          <w:tcPr>
            <w:tcW w:w="1840" w:type="dxa"/>
            <w:vAlign w:val="bottom"/>
          </w:tcPr>
          <w:p>
            <w:pPr>
              <w:jc w:val="center"/>
              <w:ind w:left="360"/>
              <w:spacing w:after="0"/>
              <w:rPr>
                <w:sz w:val="20"/>
                <w:szCs w:val="20"/>
                <w:color w:val="auto"/>
              </w:rPr>
            </w:pPr>
            <w:r>
              <w:rPr>
                <w:rFonts w:ascii="Arial" w:cs="Arial" w:eastAsia="Arial" w:hAnsi="Arial"/>
                <w:sz w:val="12"/>
                <w:szCs w:val="12"/>
                <w:b w:val="1"/>
                <w:bCs w:val="1"/>
                <w:color w:val="auto"/>
                <w:w w:val="98"/>
              </w:rPr>
              <w:t>Fiscal Year Ending</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jc w:val="center"/>
              <w:ind w:right="320"/>
              <w:spacing w:after="0"/>
              <w:rPr>
                <w:sz w:val="20"/>
                <w:szCs w:val="20"/>
                <w:color w:val="auto"/>
              </w:rPr>
            </w:pPr>
            <w:r>
              <w:rPr>
                <w:rFonts w:ascii="Arial" w:cs="Arial" w:eastAsia="Arial" w:hAnsi="Arial"/>
                <w:sz w:val="12"/>
                <w:szCs w:val="12"/>
                <w:b w:val="1"/>
                <w:bCs w:val="1"/>
                <w:color w:val="auto"/>
                <w:w w:val="98"/>
              </w:rPr>
              <w:t>Fiscal Year Ending</w:t>
            </w:r>
          </w:p>
        </w:tc>
      </w:tr>
      <w:tr>
        <w:trPr>
          <w:trHeight w:val="170"/>
        </w:trPr>
        <w:tc>
          <w:tcPr>
            <w:tcW w:w="6620" w:type="dxa"/>
            <w:vAlign w:val="bottom"/>
            <w:tcBorders>
              <w:bottom w:val="single" w:sz="8" w:color="CCEEFF"/>
            </w:tcBorders>
          </w:tcPr>
          <w:p>
            <w:pPr>
              <w:spacing w:after="0"/>
              <w:rPr>
                <w:sz w:val="14"/>
                <w:szCs w:val="14"/>
                <w:color w:val="auto"/>
              </w:rPr>
            </w:pPr>
          </w:p>
        </w:tc>
        <w:tc>
          <w:tcPr>
            <w:tcW w:w="1840" w:type="dxa"/>
            <w:vAlign w:val="bottom"/>
            <w:tcBorders>
              <w:bottom w:val="single" w:sz="8" w:color="auto"/>
            </w:tcBorders>
          </w:tcPr>
          <w:p>
            <w:pPr>
              <w:jc w:val="center"/>
              <w:ind w:left="380"/>
              <w:spacing w:after="0"/>
              <w:rPr>
                <w:sz w:val="20"/>
                <w:szCs w:val="20"/>
                <w:color w:val="auto"/>
              </w:rPr>
            </w:pPr>
            <w:r>
              <w:rPr>
                <w:rFonts w:ascii="Arial" w:cs="Arial" w:eastAsia="Arial" w:hAnsi="Arial"/>
                <w:sz w:val="12"/>
                <w:szCs w:val="12"/>
                <w:b w:val="1"/>
                <w:bCs w:val="1"/>
                <w:color w:val="auto"/>
                <w:w w:val="99"/>
              </w:rPr>
              <w:t>January 31, 2027</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ind w:right="300"/>
              <w:spacing w:after="0"/>
              <w:rPr>
                <w:sz w:val="20"/>
                <w:szCs w:val="20"/>
                <w:color w:val="auto"/>
              </w:rPr>
            </w:pPr>
            <w:r>
              <w:rPr>
                <w:rFonts w:ascii="Arial" w:cs="Arial" w:eastAsia="Arial" w:hAnsi="Arial"/>
                <w:sz w:val="12"/>
                <w:szCs w:val="12"/>
                <w:b w:val="1"/>
                <w:bCs w:val="1"/>
                <w:color w:val="auto"/>
                <w:w w:val="99"/>
              </w:rPr>
              <w:t>January 31, 2027</w:t>
            </w:r>
          </w:p>
        </w:tc>
      </w:tr>
      <w:tr>
        <w:trPr>
          <w:trHeight w:val="174"/>
        </w:trPr>
        <w:tc>
          <w:tcPr>
            <w:tcW w:w="662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1840" w:type="dxa"/>
            <w:vAlign w:val="bottom"/>
            <w:shd w:val="clear" w:color="auto" w:fill="CCEEFF"/>
          </w:tcPr>
          <w:p>
            <w:pPr>
              <w:jc w:val="right"/>
              <w:ind w:right="170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w:t>
            </w:r>
          </w:p>
        </w:tc>
      </w:tr>
      <w:tr>
        <w:trPr>
          <w:trHeight w:val="172"/>
        </w:trPr>
        <w:tc>
          <w:tcPr>
            <w:tcW w:w="66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Equity compensation (a)</w:t>
            </w:r>
          </w:p>
        </w:tc>
        <w:tc>
          <w:tcPr>
            <w:tcW w:w="18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w:t>
            </w:r>
          </w:p>
        </w:tc>
      </w:tr>
      <w:tr>
        <w:trPr>
          <w:trHeight w:val="193"/>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Adjusted Net Income</w:t>
            </w:r>
          </w:p>
        </w:tc>
        <w:tc>
          <w:tcPr>
            <w:tcW w:w="1840" w:type="dxa"/>
            <w:vAlign w:val="bottom"/>
            <w:tcBorders>
              <w:bottom w:val="single" w:sz="8" w:color="auto"/>
            </w:tcBorders>
            <w:shd w:val="clear" w:color="auto" w:fill="CCEEFF"/>
          </w:tcPr>
          <w:p>
            <w:pPr>
              <w:jc w:val="right"/>
              <w:ind w:right="1700"/>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w:t>
            </w:r>
          </w:p>
        </w:tc>
      </w:tr>
      <w:tr>
        <w:trPr>
          <w:trHeight w:val="162"/>
        </w:trPr>
        <w:tc>
          <w:tcPr>
            <w:tcW w:w="6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80"/>
        </w:trPr>
        <w:tc>
          <w:tcPr>
            <w:tcW w:w="6620" w:type="dxa"/>
            <w:vAlign w:val="bottom"/>
            <w:shd w:val="clear" w:color="auto" w:fill="CCEEFF"/>
          </w:tcPr>
          <w:p>
            <w:pPr>
              <w:spacing w:after="0"/>
              <w:rPr>
                <w:sz w:val="20"/>
                <w:szCs w:val="20"/>
                <w:color w:val="auto"/>
              </w:rPr>
            </w:pPr>
            <w:r>
              <w:rPr>
                <w:rFonts w:ascii="Arial" w:cs="Arial" w:eastAsia="Arial" w:hAnsi="Arial"/>
                <w:sz w:val="12"/>
                <w:szCs w:val="12"/>
                <w:color w:val="auto"/>
              </w:rPr>
              <w:t>Earnings Per Common Share, Diluted</w:t>
            </w:r>
          </w:p>
        </w:tc>
        <w:tc>
          <w:tcPr>
            <w:tcW w:w="1840" w:type="dxa"/>
            <w:vAlign w:val="bottom"/>
            <w:shd w:val="clear" w:color="auto" w:fill="CCEEFF"/>
          </w:tcPr>
          <w:p>
            <w:pPr>
              <w:jc w:val="right"/>
              <w:ind w:right="170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6.35</w:t>
            </w:r>
          </w:p>
        </w:tc>
      </w:tr>
      <w:tr>
        <w:trPr>
          <w:trHeight w:val="172"/>
        </w:trPr>
        <w:tc>
          <w:tcPr>
            <w:tcW w:w="66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Equity compensation (a)</w:t>
            </w:r>
          </w:p>
        </w:tc>
        <w:tc>
          <w:tcPr>
            <w:tcW w:w="18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0.45</w:t>
            </w:r>
          </w:p>
        </w:tc>
      </w:tr>
      <w:tr>
        <w:trPr>
          <w:trHeight w:val="193"/>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Adjusted Earnings Per Common Share, Diluted</w:t>
            </w:r>
          </w:p>
        </w:tc>
        <w:tc>
          <w:tcPr>
            <w:tcW w:w="1840" w:type="dxa"/>
            <w:vAlign w:val="bottom"/>
            <w:tcBorders>
              <w:bottom w:val="single" w:sz="8" w:color="auto"/>
            </w:tcBorders>
            <w:shd w:val="clear" w:color="auto" w:fill="CCEEFF"/>
          </w:tcPr>
          <w:p>
            <w:pPr>
              <w:jc w:val="right"/>
              <w:ind w:right="1700"/>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6.80</w:t>
            </w:r>
          </w:p>
        </w:tc>
      </w:tr>
    </w:tbl>
    <w:p>
      <w:pPr>
        <w:spacing w:after="0" w:line="168" w:lineRule="exact"/>
        <w:rPr>
          <w:sz w:val="20"/>
          <w:szCs w:val="20"/>
          <w:color w:val="auto"/>
        </w:rPr>
      </w:pPr>
    </w:p>
    <w:p>
      <w:pPr>
        <w:ind w:left="360" w:hanging="356"/>
        <w:spacing w:after="0"/>
        <w:tabs>
          <w:tab w:leader="none" w:pos="360" w:val="left"/>
        </w:tabs>
        <w:numPr>
          <w:ilvl w:val="0"/>
          <w:numId w:val="7"/>
        </w:numPr>
        <w:rPr>
          <w:rFonts w:ascii="Arial" w:cs="Arial" w:eastAsia="Arial" w:hAnsi="Arial"/>
          <w:sz w:val="8"/>
          <w:szCs w:val="8"/>
          <w:color w:val="auto"/>
        </w:rPr>
      </w:pPr>
      <w:r>
        <w:rPr>
          <w:rFonts w:ascii="Arial" w:cs="Arial" w:eastAsia="Arial" w:hAnsi="Arial"/>
          <w:sz w:val="8"/>
          <w:szCs w:val="8"/>
          <w:color w:val="auto"/>
        </w:rPr>
        <w:t>Amounts presented have been rounded.</w:t>
      </w:r>
    </w:p>
    <w:p>
      <w:pPr>
        <w:spacing w:after="0" w:line="43" w:lineRule="exact"/>
        <w:rPr>
          <w:sz w:val="20"/>
          <w:szCs w:val="20"/>
          <w:color w:val="auto"/>
        </w:rPr>
      </w:pPr>
    </w:p>
    <w:p>
      <w:pPr>
        <w:ind w:left="360" w:hanging="356"/>
        <w:spacing w:after="0"/>
        <w:tabs>
          <w:tab w:leader="none" w:pos="360" w:val="left"/>
        </w:tabs>
        <w:numPr>
          <w:ilvl w:val="0"/>
          <w:numId w:val="8"/>
        </w:numPr>
        <w:rPr>
          <w:rFonts w:ascii="Arial" w:cs="Arial" w:eastAsia="Arial" w:hAnsi="Arial"/>
          <w:sz w:val="8"/>
          <w:szCs w:val="8"/>
          <w:color w:val="auto"/>
        </w:rPr>
      </w:pPr>
      <w:r>
        <w:rPr>
          <w:rFonts w:ascii="Arial" w:cs="Arial" w:eastAsia="Arial" w:hAnsi="Arial"/>
          <w:sz w:val="8"/>
          <w:szCs w:val="8"/>
          <w:color w:val="auto"/>
        </w:rPr>
        <w:t>Adjustments include non-cash charges related to equity-based compensation (as defined above), which may vary from period to period. These amounts are also tax affected.</w:t>
      </w:r>
    </w:p>
    <w:p>
      <w:pPr>
        <w:spacing w:after="0" w:line="59" w:lineRule="exact"/>
        <w:rPr>
          <w:rFonts w:ascii="Arial" w:cs="Arial" w:eastAsia="Arial" w:hAnsi="Arial"/>
          <w:sz w:val="8"/>
          <w:szCs w:val="8"/>
          <w:color w:val="auto"/>
        </w:rPr>
      </w:pPr>
    </w:p>
    <w:p>
      <w:pPr>
        <w:ind w:left="5620"/>
        <w:spacing w:after="0"/>
        <w:rPr>
          <w:rFonts w:ascii="Arial" w:cs="Arial" w:eastAsia="Arial" w:hAnsi="Arial"/>
          <w:sz w:val="8"/>
          <w:szCs w:val="8"/>
          <w:color w:val="auto"/>
        </w:rPr>
      </w:pPr>
      <w:r>
        <w:rPr>
          <w:rFonts w:ascii="Arial" w:cs="Arial" w:eastAsia="Arial" w:hAnsi="Arial"/>
          <w:sz w:val="10"/>
          <w:szCs w:val="10"/>
          <w:color w:val="auto"/>
        </w:rPr>
        <w:t>9</w:t>
      </w:r>
    </w:p>
    <w:p>
      <w:pPr>
        <w:sectPr>
          <w:pgSz w:w="11900" w:h="16838" w:orient="portrait"/>
          <w:cols w:equalWidth="0" w:num="1">
            <w:col w:w="11300"/>
          </w:cols>
          <w:pgMar w:left="300" w:top="696"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i w:val="1"/>
          <w:iCs w:val="1"/>
          <w:color w:val="auto"/>
        </w:rPr>
        <w:t>Adjusted Free Cash Flow</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We define “Adjusted Free Cash Flow” as net cash provided by (used in) operating activities less net cash used in investing activities. We describe these adjustments reconciling net cash provided by operating activities to adjusted free cash flow in the following table (amounts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0" w:type="dxa"/>
            <w:vAlign w:val="bottom"/>
            <w:gridSpan w:val="4"/>
          </w:tcPr>
          <w:p>
            <w:pPr>
              <w:jc w:val="right"/>
              <w:ind w:right="540"/>
              <w:spacing w:after="0"/>
              <w:rPr>
                <w:sz w:val="20"/>
                <w:szCs w:val="20"/>
                <w:color w:val="auto"/>
              </w:rPr>
            </w:pPr>
            <w:r>
              <w:rPr>
                <w:rFonts w:ascii="Arial" w:cs="Arial" w:eastAsia="Arial" w:hAnsi="Arial"/>
                <w:sz w:val="12"/>
                <w:szCs w:val="12"/>
                <w:b w:val="1"/>
                <w:bCs w:val="1"/>
                <w:color w:val="auto"/>
              </w:rPr>
              <w:t>Thirteen Weeks Ended</w:t>
            </w:r>
          </w:p>
        </w:tc>
        <w:tc>
          <w:tcPr>
            <w:tcW w:w="520" w:type="dxa"/>
            <w:vAlign w:val="bottom"/>
          </w:tcPr>
          <w:p>
            <w:pPr>
              <w:spacing w:after="0"/>
              <w:rPr>
                <w:sz w:val="14"/>
                <w:szCs w:val="14"/>
                <w:color w:val="auto"/>
              </w:rPr>
            </w:pPr>
          </w:p>
        </w:tc>
      </w:tr>
      <w:tr>
        <w:trPr>
          <w:trHeight w:val="194"/>
        </w:trPr>
        <w:tc>
          <w:tcPr>
            <w:tcW w:w="3880" w:type="dxa"/>
            <w:vAlign w:val="bottom"/>
            <w:tcBorders>
              <w:bottom w:val="single" w:sz="8" w:color="CCEEFF"/>
            </w:tcBorders>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May 2, 2026</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May 3, 2025</w:t>
            </w:r>
          </w:p>
        </w:tc>
        <w:tc>
          <w:tcPr>
            <w:tcW w:w="520" w:type="dxa"/>
            <w:vAlign w:val="bottom"/>
            <w:tcBorders>
              <w:bottom w:val="single" w:sz="8" w:color="auto"/>
            </w:tcBorders>
          </w:tcPr>
          <w:p>
            <w:pPr>
              <w:spacing w:after="0"/>
              <w:rPr>
                <w:sz w:val="16"/>
                <w:szCs w:val="16"/>
                <w:color w:val="auto"/>
              </w:rPr>
            </w:pPr>
          </w:p>
        </w:tc>
      </w:tr>
      <w:tr>
        <w:trPr>
          <w:trHeight w:val="174"/>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5100" w:type="dxa"/>
            <w:vAlign w:val="bottom"/>
            <w:gridSpan w:val="2"/>
            <w:shd w:val="clear" w:color="auto" w:fill="CCEEFF"/>
          </w:tcPr>
          <w:p>
            <w:pPr>
              <w:jc w:val="right"/>
              <w:ind w:right="1060"/>
              <w:spacing w:after="0"/>
              <w:rPr>
                <w:sz w:val="20"/>
                <w:szCs w:val="20"/>
                <w:color w:val="auto"/>
              </w:rPr>
            </w:pPr>
            <w:r>
              <w:rPr>
                <w:rFonts w:ascii="Arial" w:cs="Arial" w:eastAsia="Arial" w:hAnsi="Arial"/>
                <w:sz w:val="12"/>
                <w:szCs w:val="12"/>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160,606</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157,472</w:t>
            </w:r>
          </w:p>
        </w:tc>
      </w:tr>
      <w:tr>
        <w:trPr>
          <w:trHeight w:val="175"/>
        </w:trPr>
        <w:tc>
          <w:tcPr>
            <w:tcW w:w="3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cash used in investing activities</w:t>
            </w:r>
          </w:p>
        </w:tc>
        <w:tc>
          <w:tcPr>
            <w:tcW w:w="39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(38,997)</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(50,988)</w:t>
            </w:r>
          </w:p>
        </w:tc>
      </w:tr>
      <w:tr>
        <w:trPr>
          <w:trHeight w:val="194"/>
        </w:trPr>
        <w:tc>
          <w:tcPr>
            <w:tcW w:w="38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Adjusted Free Cash Flow</w:t>
            </w:r>
          </w:p>
        </w:tc>
        <w:tc>
          <w:tcPr>
            <w:tcW w:w="5100" w:type="dxa"/>
            <w:vAlign w:val="bottom"/>
            <w:gridSpan w:val="2"/>
            <w:shd w:val="clear" w:color="auto" w:fill="CCEEFF"/>
          </w:tcPr>
          <w:p>
            <w:pPr>
              <w:jc w:val="right"/>
              <w:ind w:right="1060"/>
              <w:spacing w:after="0"/>
              <w:rPr>
                <w:sz w:val="20"/>
                <w:szCs w:val="20"/>
                <w:color w:val="auto"/>
              </w:rPr>
            </w:pPr>
            <w:r>
              <w:rPr>
                <w:rFonts w:ascii="Arial" w:cs="Arial" w:eastAsia="Arial" w:hAnsi="Arial"/>
                <w:sz w:val="12"/>
                <w:szCs w:val="12"/>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121,609</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106,484</w:t>
            </w:r>
          </w:p>
        </w:tc>
      </w:tr>
      <w:tr>
        <w:trPr>
          <w:trHeight w:val="431"/>
        </w:trPr>
        <w:tc>
          <w:tcPr>
            <w:tcW w:w="3880" w:type="dxa"/>
            <w:vAlign w:val="bottom"/>
            <w:tcBorders>
              <w:top w:val="single" w:sz="8" w:color="CCEEFF"/>
            </w:tcBorders>
          </w:tcPr>
          <w:p>
            <w:pPr>
              <w:spacing w:after="0"/>
              <w:rPr>
                <w:sz w:val="24"/>
                <w:szCs w:val="24"/>
                <w:color w:val="auto"/>
              </w:rPr>
            </w:pPr>
          </w:p>
        </w:tc>
        <w:tc>
          <w:tcPr>
            <w:tcW w:w="3900" w:type="dxa"/>
            <w:vAlign w:val="bottom"/>
            <w:tcBorders>
              <w:top w:val="single" w:sz="8" w:color="CCEEFF"/>
            </w:tcBorders>
          </w:tcPr>
          <w:p>
            <w:pPr>
              <w:jc w:val="right"/>
              <w:ind w:right="2024"/>
              <w:spacing w:after="0"/>
              <w:rPr>
                <w:sz w:val="20"/>
                <w:szCs w:val="20"/>
                <w:color w:val="auto"/>
              </w:rPr>
            </w:pPr>
            <w:r>
              <w:rPr>
                <w:rFonts w:ascii="Arial" w:cs="Arial" w:eastAsia="Arial" w:hAnsi="Arial"/>
                <w:sz w:val="10"/>
                <w:szCs w:val="10"/>
                <w:color w:val="auto"/>
              </w:rPr>
              <w:t>10</w:t>
            </w:r>
          </w:p>
        </w:tc>
        <w:tc>
          <w:tcPr>
            <w:tcW w:w="1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bl>
    <w:p>
      <w:pPr>
        <w:sectPr>
          <w:pgSz w:w="11900" w:h="16838" w:orient="portrait"/>
          <w:cols w:equalWidth="0" w:num="1">
            <w:col w:w="11300"/>
          </w:cols>
          <w:pgMar w:left="300" w:top="696" w:right="299" w:bottom="1440"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2026-06-09T07:09:57Z</dcterms:created>
  <dcterms:modified xsi:type="dcterms:W3CDTF">2026-06-09T07:09:57Z</dcterms:modified>
</cp:coreProperties>
</file>