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640" w:right="1400" w:hanging="2447"/>
        <w:spacing w:after="0" w:line="280" w:lineRule="auto"/>
        <w:tabs>
          <w:tab w:leader="none" w:pos="137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November 2, 2024</w:t>
      </w: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184785</wp:posOffset>
            </wp:positionV>
            <wp:extent cx="137160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ind w:right="220"/>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10160" w:firstLine="2"/>
        <w:spacing w:after="0" w:line="217"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1" w:lineRule="exact"/>
        <w:rPr>
          <w:sz w:val="24"/>
          <w:szCs w:val="24"/>
          <w:color w:val="auto"/>
        </w:rPr>
      </w:pPr>
    </w:p>
    <w:p>
      <w:pPr>
        <w:ind w:right="40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ind w:right="2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ind w:right="22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December 3, 2024, Academy Sports and Outdoors, Inc. had 69,397,097 shares of common stock, par value $0.01 per share, outstanding.</w:t>
      </w:r>
    </w:p>
    <w:p>
      <w:pPr>
        <w:sectPr>
          <w:pgSz w:w="11900" w:h="16838" w:orient="portrait"/>
          <w:cols w:equalWidth="0" w:num="1">
            <w:col w:w="11020"/>
          </w:cols>
          <w:pgMar w:left="540" w:top="581" w:right="33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ind w:left="109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5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tcBorders>
              <w:right w:val="single" w:sz="8" w:color="CCEEFF"/>
            </w:tcBorders>
            <w:gridSpan w:val="2"/>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5"/>
          </w:tcPr>
          <w:p>
            <w:pPr>
              <w:spacing w:after="0"/>
              <w:rPr>
                <w:sz w:val="15"/>
                <w:szCs w:val="15"/>
                <w:color w:val="auto"/>
              </w:rPr>
            </w:pPr>
          </w:p>
        </w:tc>
        <w:tc>
          <w:tcPr>
            <w:tcW w:w="520" w:type="dxa"/>
            <w:vAlign w:val="bottom"/>
            <w:gridSpan w:val="2"/>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60" w:type="dxa"/>
            <w:vAlign w:val="bottom"/>
            <w:gridSpan w:val="9"/>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9"/>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840" w:type="dxa"/>
            <w:vAlign w:val="bottom"/>
            <w:gridSpan w:val="7"/>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67" w:lineRule="exact"/>
        <w:rPr>
          <w:sz w:val="20"/>
          <w:szCs w:val="20"/>
          <w:color w:val="auto"/>
        </w:rPr>
      </w:pPr>
    </w:p>
    <w:tbl>
      <w:tblPr>
        <w:tblLayout w:type="fixed"/>
        <w:tblInd w:w="220" w:type="dxa"/>
        <w:tblCellMar>
          <w:top w:w="0" w:type="dxa"/>
          <w:left w:w="0" w:type="dxa"/>
          <w:bottom w:w="0" w:type="dxa"/>
          <w:right w:w="0" w:type="dxa"/>
        </w:tblCellMar>
      </w:tblPr>
      <w:tr>
        <w:trPr>
          <w:trHeight w:val="235"/>
        </w:trPr>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November 2, 2024</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February 3, 2024</w:t>
            </w:r>
          </w:p>
        </w:tc>
        <w:tc>
          <w:tcPr>
            <w:tcW w:w="120" w:type="dxa"/>
            <w:vAlign w:val="bottom"/>
          </w:tcPr>
          <w:p>
            <w:pPr>
              <w:spacing w:after="0"/>
              <w:rPr>
                <w:sz w:val="20"/>
                <w:szCs w:val="20"/>
                <w:color w:val="auto"/>
              </w:rPr>
            </w:pPr>
          </w:p>
        </w:tc>
        <w:tc>
          <w:tcPr>
            <w:tcW w:w="142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October 28, 2023</w:t>
            </w:r>
          </w:p>
        </w:tc>
        <w:tc>
          <w:tcPr>
            <w:tcW w:w="0" w:type="dxa"/>
            <w:vAlign w:val="bottom"/>
          </w:tcPr>
          <w:p>
            <w:pPr>
              <w:spacing w:after="0"/>
              <w:rPr>
                <w:sz w:val="1"/>
                <w:szCs w:val="1"/>
                <w:color w:val="auto"/>
              </w:rPr>
            </w:pPr>
          </w:p>
        </w:tc>
      </w:tr>
      <w:tr>
        <w:trPr>
          <w:trHeight w:val="216"/>
        </w:trPr>
        <w:tc>
          <w:tcPr>
            <w:tcW w:w="5920" w:type="dxa"/>
            <w:vAlign w:val="bottom"/>
            <w:tcBorders>
              <w:top w:val="single" w:sz="8" w:color="CCEEFF"/>
            </w:tcBorders>
            <w:shd w:val="clear" w:color="auto" w:fill="CCEEFF"/>
          </w:tcPr>
          <w:p>
            <w:pPr>
              <w:ind w:left="25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295,996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274,827</w:t>
            </w:r>
          </w:p>
        </w:tc>
        <w:tc>
          <w:tcPr>
            <w:tcW w:w="0" w:type="dxa"/>
            <w:vAlign w:val="bottom"/>
          </w:tcPr>
          <w:p>
            <w:pPr>
              <w:spacing w:after="0"/>
              <w:rPr>
                <w:sz w:val="1"/>
                <w:szCs w:val="1"/>
                <w:color w:val="auto"/>
              </w:rPr>
            </w:pPr>
          </w:p>
        </w:tc>
      </w:tr>
      <w:tr>
        <w:trPr>
          <w:trHeight w:val="167"/>
        </w:trPr>
        <w:tc>
          <w:tcPr>
            <w:tcW w:w="592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$2,609, $2,217 and</w:t>
            </w:r>
          </w:p>
        </w:tc>
        <w:tc>
          <w:tcPr>
            <w:tcW w:w="1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18,124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19,371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17,706</w:t>
            </w:r>
          </w:p>
        </w:tc>
        <w:tc>
          <w:tcPr>
            <w:tcW w:w="0" w:type="dxa"/>
            <w:vAlign w:val="bottom"/>
          </w:tcPr>
          <w:p>
            <w:pPr>
              <w:spacing w:after="0"/>
              <w:rPr>
                <w:sz w:val="1"/>
                <w:szCs w:val="1"/>
                <w:color w:val="auto"/>
              </w:rPr>
            </w:pPr>
          </w:p>
        </w:tc>
      </w:tr>
      <w:tr>
        <w:trPr>
          <w:trHeight w:val="223"/>
        </w:trPr>
        <w:tc>
          <w:tcPr>
            <w:tcW w:w="5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$3,102, respectively</w:t>
            </w:r>
          </w:p>
        </w:tc>
        <w:tc>
          <w:tcPr>
            <w:tcW w:w="1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1,524,978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1,194,159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1,492,219</w:t>
            </w:r>
          </w:p>
        </w:tc>
        <w:tc>
          <w:tcPr>
            <w:tcW w:w="0" w:type="dxa"/>
            <w:vAlign w:val="bottom"/>
          </w:tcPr>
          <w:p>
            <w:pPr>
              <w:spacing w:after="0"/>
              <w:rPr>
                <w:sz w:val="1"/>
                <w:szCs w:val="1"/>
                <w:color w:val="auto"/>
              </w:rPr>
            </w:pPr>
          </w:p>
        </w:tc>
      </w:tr>
      <w:tr>
        <w:trPr>
          <w:trHeight w:val="228"/>
        </w:trPr>
        <w:tc>
          <w:tcPr>
            <w:tcW w:w="5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68,884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110,823</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1,907,982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1,895,575</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503,115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445,209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429,648</w:t>
            </w:r>
          </w:p>
        </w:tc>
        <w:tc>
          <w:tcPr>
            <w:tcW w:w="0" w:type="dxa"/>
            <w:vAlign w:val="bottom"/>
          </w:tcPr>
          <w:p>
            <w:pPr>
              <w:spacing w:after="0"/>
              <w:rPr>
                <w:sz w:val="1"/>
                <w:szCs w:val="1"/>
                <w:color w:val="auto"/>
              </w:rPr>
            </w:pPr>
          </w:p>
        </w:tc>
      </w:tr>
      <w:tr>
        <w:trPr>
          <w:trHeight w:val="228"/>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1,189,116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1,126,825</w:t>
            </w: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578,815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578,236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578,071</w:t>
            </w:r>
          </w:p>
        </w:tc>
        <w:tc>
          <w:tcPr>
            <w:tcW w:w="0" w:type="dxa"/>
            <w:vAlign w:val="bottom"/>
          </w:tcPr>
          <w:p>
            <w:pPr>
              <w:spacing w:after="0"/>
              <w:rPr>
                <w:sz w:val="1"/>
                <w:szCs w:val="1"/>
                <w:color w:val="auto"/>
              </w:rPr>
            </w:pPr>
          </w:p>
        </w:tc>
      </w:tr>
      <w:tr>
        <w:trPr>
          <w:trHeight w:val="228"/>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50,830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29,231</w:t>
            </w:r>
          </w:p>
        </w:tc>
        <w:tc>
          <w:tcPr>
            <w:tcW w:w="0" w:type="dxa"/>
            <w:vAlign w:val="bottom"/>
          </w:tcPr>
          <w:p>
            <w:pPr>
              <w:spacing w:after="0"/>
              <w:rPr>
                <w:sz w:val="1"/>
                <w:szCs w:val="1"/>
                <w:color w:val="auto"/>
              </w:rPr>
            </w:pPr>
          </w:p>
        </w:tc>
      </w:tr>
      <w:tr>
        <w:trPr>
          <w:trHeight w:val="225"/>
        </w:trPr>
        <w:tc>
          <w:tcPr>
            <w:tcW w:w="592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5,091,778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4,676,713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4,921,270</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92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764,489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541,077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820,428</w:t>
            </w: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314,289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232,046</w:t>
            </w:r>
          </w:p>
        </w:tc>
        <w:tc>
          <w:tcPr>
            <w:tcW w:w="0" w:type="dxa"/>
            <w:vAlign w:val="bottom"/>
          </w:tcPr>
          <w:p>
            <w:pPr>
              <w:spacing w:after="0"/>
              <w:rPr>
                <w:sz w:val="1"/>
                <w:szCs w:val="1"/>
                <w:color w:val="auto"/>
              </w:rPr>
            </w:pPr>
          </w:p>
        </w:tc>
      </w:tr>
      <w:tr>
        <w:trPr>
          <w:trHeight w:val="228"/>
        </w:trPr>
        <w:tc>
          <w:tcPr>
            <w:tcW w:w="5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130,236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117,141</w:t>
            </w: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21"/>
        </w:trPr>
        <w:tc>
          <w:tcPr>
            <w:tcW w:w="592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1,212,014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879,858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1,172,615</w:t>
            </w:r>
          </w:p>
        </w:tc>
        <w:tc>
          <w:tcPr>
            <w:tcW w:w="0" w:type="dxa"/>
            <w:vAlign w:val="bottom"/>
          </w:tcPr>
          <w:p>
            <w:pPr>
              <w:spacing w:after="0"/>
              <w:rPr>
                <w:sz w:val="1"/>
                <w:szCs w:val="1"/>
                <w:color w:val="auto"/>
              </w:rPr>
            </w:pPr>
          </w:p>
        </w:tc>
      </w:tr>
      <w:tr>
        <w:trPr>
          <w:trHeight w:val="272"/>
        </w:trPr>
        <w:tc>
          <w:tcPr>
            <w:tcW w:w="5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483,148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484,551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583,364</w:t>
            </w: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1,173,158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1,091,294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1,095,812</w:t>
            </w:r>
          </w:p>
        </w:tc>
        <w:tc>
          <w:tcPr>
            <w:tcW w:w="0" w:type="dxa"/>
            <w:vAlign w:val="bottom"/>
          </w:tcPr>
          <w:p>
            <w:pPr>
              <w:spacing w:after="0"/>
              <w:rPr>
                <w:sz w:val="1"/>
                <w:szCs w:val="1"/>
                <w:color w:val="auto"/>
              </w:rPr>
            </w:pPr>
          </w:p>
        </w:tc>
      </w:tr>
      <w:tr>
        <w:trPr>
          <w:trHeight w:val="228"/>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250,970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264,565</w:t>
            </w: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10,961</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11,827</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3,130,251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2,722,063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3,128,183</w:t>
            </w:r>
          </w:p>
        </w:tc>
        <w:tc>
          <w:tcPr>
            <w:tcW w:w="0" w:type="dxa"/>
            <w:vAlign w:val="bottom"/>
          </w:tcPr>
          <w:p>
            <w:pPr>
              <w:spacing w:after="0"/>
              <w:rPr>
                <w:sz w:val="1"/>
                <w:szCs w:val="1"/>
                <w:color w:val="auto"/>
              </w:rPr>
            </w:pPr>
          </w:p>
        </w:tc>
      </w:tr>
      <w:tr>
        <w:trPr>
          <w:trHeight w:val="252"/>
        </w:trPr>
        <w:tc>
          <w:tcPr>
            <w:tcW w:w="5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1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outstanding</w:t>
            </w:r>
          </w:p>
        </w:tc>
        <w:tc>
          <w:tcPr>
            <w:tcW w:w="120" w:type="dxa"/>
            <w:vAlign w:val="bottom"/>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92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Common stock, $0.01 par value, authorized 300,000,000 shares; 69,932,128;</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20" w:type="dxa"/>
            <w:vAlign w:val="bottom"/>
          </w:tcPr>
          <w:p>
            <w:pPr>
              <w:ind w:left="220"/>
              <w:spacing w:after="0" w:line="171" w:lineRule="exact"/>
              <w:rPr>
                <w:sz w:val="20"/>
                <w:szCs w:val="20"/>
                <w:color w:val="auto"/>
              </w:rPr>
            </w:pPr>
            <w:r>
              <w:rPr>
                <w:rFonts w:ascii="Times New Roman" w:cs="Times New Roman" w:eastAsia="Times New Roman" w:hAnsi="Times New Roman"/>
                <w:sz w:val="17"/>
                <w:szCs w:val="17"/>
                <w:color w:val="auto"/>
              </w:rPr>
              <w:t>74,349,927 and 74,143,759 issued and outstanding as of November 2, 2024,</w:t>
            </w:r>
          </w:p>
        </w:tc>
        <w:tc>
          <w:tcPr>
            <w:tcW w:w="1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0" w:type="dxa"/>
            <w:vAlign w:val="bottom"/>
          </w:tcPr>
          <w:p>
            <w:pPr>
              <w:spacing w:after="0"/>
              <w:rPr>
                <w:sz w:val="1"/>
                <w:szCs w:val="1"/>
                <w:color w:val="auto"/>
              </w:rPr>
            </w:pPr>
          </w:p>
        </w:tc>
      </w:tr>
      <w:tr>
        <w:trPr>
          <w:trHeight w:val="226"/>
        </w:trPr>
        <w:tc>
          <w:tcPr>
            <w:tcW w:w="5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February 3, 2024 and October 28, 2023, respectively.</w:t>
            </w:r>
          </w:p>
        </w:tc>
        <w:tc>
          <w:tcPr>
            <w:tcW w:w="1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245,511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239,447</w:t>
            </w:r>
          </w:p>
        </w:tc>
        <w:tc>
          <w:tcPr>
            <w:tcW w:w="0" w:type="dxa"/>
            <w:vAlign w:val="bottom"/>
          </w:tcPr>
          <w:p>
            <w:pPr>
              <w:spacing w:after="0"/>
              <w:rPr>
                <w:sz w:val="1"/>
                <w:szCs w:val="1"/>
                <w:color w:val="auto"/>
              </w:rPr>
            </w:pPr>
          </w:p>
        </w:tc>
      </w:tr>
      <w:tr>
        <w:trPr>
          <w:trHeight w:val="228"/>
        </w:trPr>
        <w:tc>
          <w:tcPr>
            <w:tcW w:w="5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1,715,317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1,711,809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1,552,899</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1,961,527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1,954,650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1,793,087</w:t>
            </w:r>
          </w:p>
        </w:tc>
        <w:tc>
          <w:tcPr>
            <w:tcW w:w="0" w:type="dxa"/>
            <w:vAlign w:val="bottom"/>
          </w:tcPr>
          <w:p>
            <w:pPr>
              <w:spacing w:after="0"/>
              <w:rPr>
                <w:sz w:val="1"/>
                <w:szCs w:val="1"/>
                <w:color w:val="auto"/>
              </w:rPr>
            </w:pPr>
          </w:p>
        </w:tc>
      </w:tr>
      <w:tr>
        <w:trPr>
          <w:trHeight w:val="225"/>
        </w:trPr>
        <w:tc>
          <w:tcPr>
            <w:tcW w:w="592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5,091,778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4,676,713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4,921,270</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31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October 28, 2023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October 28, 2023</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1,343,330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4,256,530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4,364,463</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886,617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2,785,299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2,851,261</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456,713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1,471,231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1,513,202</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365,239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1,087,287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345,910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1,039,312</w:t>
            </w:r>
          </w:p>
        </w:tc>
        <w:tc>
          <w:tcPr>
            <w:tcW w:w="0" w:type="dxa"/>
            <w:vAlign w:val="bottom"/>
          </w:tcPr>
          <w:p>
            <w:pPr>
              <w:spacing w:after="0"/>
              <w:rPr>
                <w:sz w:val="1"/>
                <w:szCs w:val="1"/>
                <w:color w:val="auto"/>
              </w:rPr>
            </w:pPr>
          </w:p>
        </w:tc>
      </w:tr>
      <w:tr>
        <w:trPr>
          <w:trHeight w:val="223"/>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383,944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473,890</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372,929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451,899</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88,113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100,876</w:t>
            </w:r>
          </w:p>
        </w:tc>
        <w:tc>
          <w:tcPr>
            <w:tcW w:w="0" w:type="dxa"/>
            <w:vAlign w:val="bottom"/>
          </w:tcPr>
          <w:p>
            <w:pPr>
              <w:spacing w:after="0"/>
              <w:rPr>
                <w:sz w:val="1"/>
                <w:szCs w:val="1"/>
                <w:color w:val="auto"/>
              </w:rPr>
            </w:pPr>
          </w:p>
        </w:tc>
      </w:tr>
      <w:tr>
        <w:trPr>
          <w:trHeight w:val="223"/>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65,763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284,816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351,023</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72,047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3,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242,098</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$ 1,711,809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1,954,650</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4,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240,559</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$ 1,664,236</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1,905,521</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(98,781)</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August 3,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244,584</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$ 1,707,101</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1,952,394</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65,763</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6,296</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(1,044)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(54,362)</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(7,739)</w:t>
            </w:r>
          </w:p>
        </w:tc>
        <w:tc>
          <w:tcPr>
            <w:tcW w:w="0" w:type="dxa"/>
            <w:vAlign w:val="bottom"/>
          </w:tcPr>
          <w:p>
            <w:pPr>
              <w:spacing w:after="0"/>
              <w:rPr>
                <w:sz w:val="1"/>
                <w:szCs w:val="1"/>
                <w:color w:val="auto"/>
              </w:rPr>
            </w:pP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November 2,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245,511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$ 1,715,317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1,961,527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57"/>
        </w:trPr>
        <w:tc>
          <w:tcPr>
            <w:tcW w:w="6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28, 2023</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$ 1,411,330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1,628,306</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April 29,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76,440</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229,633</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$ 1,450,565</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1,680,962</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(107,349)</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July 29, 2023</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236,789</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$ 1,500,502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1,738,039</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(43,910)</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0" w:type="dxa"/>
            <w:vAlign w:val="bottom"/>
          </w:tcPr>
          <w:p>
            <w:pPr>
              <w:spacing w:after="0"/>
              <w:rPr>
                <w:sz w:val="1"/>
                <w:szCs w:val="1"/>
                <w:color w:val="auto"/>
              </w:rPr>
            </w:pP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October 28, 2023</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$ 1,552,899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1,793,087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20" w:type="dxa"/>
            <w:vAlign w:val="bottom"/>
          </w:tcPr>
          <w:p>
            <w:pPr>
              <w:spacing w:after="0"/>
              <w:rPr>
                <w:sz w:val="19"/>
                <w:szCs w:val="19"/>
                <w:color w:val="auto"/>
              </w:rPr>
            </w:pP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284,816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351,023</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79,394</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20" w:type="dxa"/>
            <w:vAlign w:val="bottom"/>
          </w:tcPr>
          <w:p>
            <w:pPr>
              <w:spacing w:after="0"/>
              <w:rPr>
                <w:sz w:val="19"/>
                <w:szCs w:val="19"/>
                <w:color w:val="auto"/>
              </w:rPr>
            </w:pP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compensation</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9"/>
                <w:szCs w:val="19"/>
                <w:color w:val="auto"/>
              </w:rPr>
            </w:pP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(330,819)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(208,702)</w:t>
            </w:r>
          </w:p>
        </w:tc>
        <w:tc>
          <w:tcPr>
            <w:tcW w:w="20" w:type="dxa"/>
            <w:vAlign w:val="bottom"/>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(59,234)</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20" w:type="dxa"/>
            <w:vAlign w:val="bottom"/>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214,264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128,301</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20" w:type="dxa"/>
            <w:vAlign w:val="bottom"/>
          </w:tcPr>
          <w:p>
            <w:pPr>
              <w:spacing w:after="0"/>
              <w:rPr>
                <w:sz w:val="19"/>
                <w:szCs w:val="19"/>
                <w:color w:val="auto"/>
              </w:rPr>
            </w:pPr>
          </w:p>
        </w:tc>
      </w:tr>
      <w:tr>
        <w:trPr>
          <w:trHeight w:val="230"/>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 w:type="dxa"/>
            <w:vAlign w:val="bottom"/>
          </w:tcPr>
          <w:p>
            <w:pPr>
              <w:spacing w:after="0"/>
              <w:rPr>
                <w:sz w:val="19"/>
                <w:szCs w:val="19"/>
                <w:color w:val="auto"/>
              </w:rPr>
            </w:pPr>
          </w:p>
        </w:tc>
      </w:tr>
      <w:tr>
        <w:trPr>
          <w:trHeight w:val="223"/>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387,912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301,042</w:t>
            </w:r>
          </w:p>
        </w:tc>
        <w:tc>
          <w:tcPr>
            <w:tcW w:w="20" w:type="dxa"/>
            <w:vAlign w:val="bottom"/>
          </w:tcPr>
          <w:p>
            <w:pPr>
              <w:spacing w:after="0"/>
              <w:rPr>
                <w:sz w:val="19"/>
                <w:szCs w:val="19"/>
                <w:color w:val="auto"/>
              </w:rPr>
            </w:pPr>
          </w:p>
        </w:tc>
      </w:tr>
      <w:tr>
        <w:trPr>
          <w:trHeight w:val="88"/>
        </w:trPr>
        <w:tc>
          <w:tcPr>
            <w:tcW w:w="7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(151,963)</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0" w:type="dxa"/>
            <w:vAlign w:val="bottom"/>
          </w:tcPr>
          <w:p>
            <w:pPr>
              <w:spacing w:after="0"/>
              <w:rPr>
                <w:sz w:val="19"/>
                <w:szCs w:val="19"/>
                <w:color w:val="auto"/>
              </w:rPr>
            </w:pP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(136,445)</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(150,191)</w:t>
            </w:r>
          </w:p>
        </w:tc>
        <w:tc>
          <w:tcPr>
            <w:tcW w:w="20" w:type="dxa"/>
            <w:vAlign w:val="bottom"/>
          </w:tcPr>
          <w:p>
            <w:pPr>
              <w:spacing w:after="0"/>
              <w:rPr>
                <w:sz w:val="22"/>
                <w:szCs w:val="22"/>
                <w:color w:val="auto"/>
              </w:rPr>
            </w:pPr>
          </w:p>
        </w:tc>
      </w:tr>
      <w:tr>
        <w:trPr>
          <w:trHeight w:val="230"/>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Revolving Credit Facilities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Term Loan</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issuance fees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program</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(273,766)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(200,072)</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(23,842)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20" w:type="dxa"/>
            <w:vAlign w:val="bottom"/>
          </w:tcPr>
          <w:p>
            <w:pPr>
              <w:spacing w:after="0"/>
              <w:rPr>
                <w:sz w:val="19"/>
                <w:szCs w:val="19"/>
                <w:color w:val="auto"/>
              </w:rPr>
            </w:pP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(303,391)</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(213,169)</w:t>
            </w:r>
          </w:p>
        </w:tc>
        <w:tc>
          <w:tcPr>
            <w:tcW w:w="20" w:type="dxa"/>
            <w:vAlign w:val="bottom"/>
          </w:tcPr>
          <w:p>
            <w:pPr>
              <w:spacing w:after="0"/>
              <w:rPr>
                <w:sz w:val="22"/>
                <w:szCs w:val="22"/>
                <w:color w:val="auto"/>
              </w:rPr>
            </w:pPr>
          </w:p>
        </w:tc>
      </w:tr>
      <w:tr>
        <w:trPr>
          <w:trHeight w:val="229"/>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(51,924)</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(62,318)</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347,920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337,145</w:t>
            </w:r>
          </w:p>
        </w:tc>
        <w:tc>
          <w:tcPr>
            <w:tcW w:w="20" w:type="dxa"/>
            <w:vAlign w:val="bottom"/>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295,996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274,827</w:t>
            </w:r>
          </w:p>
        </w:tc>
        <w:tc>
          <w:tcPr>
            <w:tcW w:w="20" w:type="dxa"/>
            <w:vAlign w:val="bottom"/>
          </w:tcPr>
          <w:p>
            <w:pPr>
              <w:spacing w:after="0"/>
              <w:rPr>
                <w:sz w:val="19"/>
                <w:szCs w:val="19"/>
                <w:color w:val="auto"/>
              </w:rPr>
            </w:pPr>
          </w:p>
        </w:tc>
      </w:tr>
      <w:tr>
        <w:trPr>
          <w:trHeight w:val="21"/>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115"/>
        </w:trPr>
        <w:tc>
          <w:tcPr>
            <w:tcW w:w="7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6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20,612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26,785</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105,833</w:t>
            </w:r>
          </w:p>
        </w:tc>
      </w:tr>
      <w:tr>
        <w:trPr>
          <w:trHeight w:val="54"/>
        </w:trPr>
        <w:tc>
          <w:tcPr>
            <w:tcW w:w="7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15,834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110,450</w:t>
            </w: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 Our fiscal year represents the 52 or 53 weeks ending on the Saturday closest to January 31.</w:t>
      </w:r>
    </w:p>
    <w:p>
      <w:pPr>
        <w:spacing w:after="0" w:line="133"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leading full-line sporting goods and outdoor recreational products retailer in the United States in terms of net sales. As of November 2, 2024, we operated 293 "Academy Sports + Outdoors" retail locations in 19 states and three distribution centers located in Katy, Texas, Twiggs County, Georgia and Cookeville, Tennessee.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February 3, 2024, as filed with the Securities and Exchange Commission on March 21, 2024 (the "Annual Report"). The information furnished herein reflects all normal recurring adjustments which are, in the opinion of management, necessary for a fair presentation of the results for the interim periods presented. The results of operations for the thirteen and thirty-nine weeks ended November 2, 2024 are not necessarily indicative of the results that will be realized for the fiscal year ending February 1, 2025 or any other period. The balance sheet as of February 3, 2024 has been derived from our audited financial statements as of that date. For further information, refer to our audited financial statements and notes thereto included in the Annual Report.</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Academy Procurement Co., LLC, Mason Creek Insurance Co., LLC and Academy International Limited. NAHC, Academy Managing Co., LLC, and Associated Investors, LLC are intermediate holding companies.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October 28, 2023 for comparability purposes. This reclassification is in divisional presentation only and did not impact the overall net sales balances previously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On November 29, 2023, the Board of Directors approved a new share repurchase program (the "2023 Share Repurchase Program") under which the Company was authorized to purchase up to $600 million of its outstanding shares during the three-year period ending November 29, 2026.</w:t>
      </w:r>
    </w:p>
    <w:p>
      <w:pPr>
        <w:spacing w:after="0" w:line="94" w:lineRule="exact"/>
        <w:rPr>
          <w:sz w:val="20"/>
          <w:szCs w:val="20"/>
          <w:color w:val="auto"/>
        </w:rPr>
      </w:pPr>
    </w:p>
    <w:p>
      <w:pPr>
        <w:ind w:right="120" w:firstLine="401"/>
        <w:spacing w:after="0" w:line="241" w:lineRule="auto"/>
        <w:rPr>
          <w:sz w:val="20"/>
          <w:szCs w:val="20"/>
          <w:color w:val="auto"/>
        </w:rPr>
      </w:pPr>
      <w:r>
        <w:rPr>
          <w:rFonts w:ascii="Times New Roman" w:cs="Times New Roman" w:eastAsia="Times New Roman" w:hAnsi="Times New Roman"/>
          <w:sz w:val="18"/>
          <w:szCs w:val="18"/>
          <w:color w:val="auto"/>
        </w:rPr>
        <w:t>Under the 2023 Share Repurchase Program, repurchases could be made using a variety of methods, which may include open market purchases, block trades, privately negotiated transactions, accelerated share repurchase programs and/or Rule 10b5-1 or other non-discretionary trading plans, all in compliance with the rules of the SEC and other applicable legal requirements. The timing, manner, price and amount of any common share repurchases under the 2023 Share Repurchase Program are determined by the Company in its discretion and depend on a variety of factors, including legal requirements, price and economic and market conditions. The 2023 Share Repurchase Program did not obligate the Company to acquire any particular number of common shares, and the program may be suspended, extended, modified or discontinued at any time.</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1,044,027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863,631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4,837,850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3,607,705</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Aggregate amount paid (amounts in millions)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52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113"/>
        </w:trPr>
        <w:tc>
          <w:tcPr>
            <w:tcW w:w="35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0" w:right="440" w:hanging="10"/>
        <w:spacing w:after="0" w:line="241" w:lineRule="auto"/>
        <w:tabs>
          <w:tab w:leader="none" w:pos="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estimated excise tax fees of $0.9 million and $2.9 million for the thirteen and thirty-nine weeks ended November 2, 2024, respectively, and $0.3 million and $1.5 million for the thirteen and thirty-nine weeks ended October 28, 2023, respectively.</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November 2, 2024, we had $423.0 million available under the 2023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Our liability associated with these arrangements, which is presented within accounts payable on the condensed consolidated balance sheets, was $2.5 million, $7.2 million and $6.9 million as of November 2, 2024, February 3, 2024 and October 28,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This pronouncement is intended to enhance the transparency and decision usefulness of income tax disclosures and establishes new income tax disclosure requirements, including requiring disaggregation of a reporting entity’s effective tax rate reconciliation and disaggregation of the income taxes paid based on the applicable tax jurisdiction. The new guidance is effective for fiscal years beginning after December 15, 2024 and should be applied on a prospective basis with the option to apply the standard retrospectively. The Company is currently evaluating the impact that the adoption of this accounting standard will have on its financial disclosures.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enhance the disclosures on reportable segments. Under this pronouncement, all public entities (including those with a single reporting segment) are required to include incremental disclosures related to a public entity’s reportable segments, including disclosure of disaggregated expense information that is regularly provided to the chief operating decision maker and included within each reported measure of segment profit or loss. The new guidance is effective for fiscal years beginning after December 15, 2023, and interim periods within fiscal years beginning after December 15, 2024, and should be adopted retrospectively. The Company is currently evaluating the impact that the adoption of this accounting standard will have on its financial disclosures.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 (DISE)</w:t>
      </w:r>
    </w:p>
    <w:p>
      <w:pPr>
        <w:spacing w:after="0" w:line="24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November 4, the FASB issued ASU 2024-03, Disaggregation of Income Statement Expenses (DISE),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The requirements will be applied prospectively with the option for retrospective application. The Company is currently evaluating the impact that the adoption of this accounting standard will have on its financial disclosures.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4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09"/>
        </w:trPr>
        <w:tc>
          <w:tcPr>
            <w:tcW w:w="35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431,637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403,498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1,198,139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1,158,183</w:t>
            </w:r>
          </w:p>
        </w:tc>
      </w:tr>
      <w:tr>
        <w:trPr>
          <w:trHeight w:val="22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1,103,671</w:t>
            </w:r>
          </w:p>
        </w:tc>
      </w:tr>
      <w:tr>
        <w:trPr>
          <w:trHeight w:val="230"/>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341,768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1,113,989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1,165,663</w:t>
            </w:r>
          </w:p>
        </w:tc>
      </w:tr>
      <w:tr>
        <w:trPr>
          <w:trHeight w:val="22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890,026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913,077</w:t>
            </w:r>
          </w:p>
        </w:tc>
      </w:tr>
      <w:tr>
        <w:trPr>
          <w:trHeight w:val="223"/>
        </w:trPr>
        <w:tc>
          <w:tcPr>
            <w:tcW w:w="356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1,335,932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1,389,976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4,231,900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4,340,594</w:t>
            </w:r>
          </w:p>
        </w:tc>
      </w:tr>
      <w:tr>
        <w:trPr>
          <w:trHeight w:val="229"/>
        </w:trPr>
        <w:tc>
          <w:tcPr>
            <w:tcW w:w="3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r>
      <w:tr>
        <w:trPr>
          <w:trHeight w:val="223"/>
        </w:trPr>
        <w:tc>
          <w:tcPr>
            <w:tcW w:w="3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1,343,330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1,397,777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4,256,530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4,364,463</w:t>
            </w: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500" w:hanging="248"/>
        <w:spacing w:after="0" w:line="261" w:lineRule="auto"/>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October 28, 2023, for comparability purposes. This reclassification is in divisional presentation only and did not impact the overall net sales balances previously disclosed.</w:t>
      </w:r>
    </w:p>
    <w:p>
      <w:pPr>
        <w:ind w:left="500" w:hanging="248"/>
        <w:spacing w:after="0" w:line="261" w:lineRule="auto"/>
        <w:tabs>
          <w:tab w:leader="none" w:pos="46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consisted of 8.8% and 9.2% for the thirteen and thirty-nine weeks ended November 2, 2024, respectively, and 9.4% and 9.0% for the thirteen and thirty-nine weeks ended October 28, 2023, respectively.</w:t>
      </w:r>
    </w:p>
    <w:p>
      <w:pPr>
        <w:ind w:left="500" w:hanging="248"/>
        <w:spacing w:after="0" w:line="263" w:lineRule="auto"/>
        <w:tabs>
          <w:tab w:leader="none" w:pos="46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consisted primarily of the gift card breakage income, credit card bounties and royalties, shipping income, net hunting and fishing license income, sales return allowance and other items.</w:t>
      </w:r>
    </w:p>
    <w:p>
      <w:pPr>
        <w:spacing w:after="0" w:line="138"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consolidated balance sheets is established at the time of sale and revenues are recognized as the gift cards are redeemed in stores or on our website.</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October 28, 2023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October 28, 2023</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w:t>
            </w:r>
          </w:p>
        </w:tc>
      </w:tr>
      <w:tr>
        <w:trPr>
          <w:trHeight w:val="223"/>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61,968</w:t>
            </w:r>
          </w:p>
        </w:tc>
      </w:tr>
      <w:tr>
        <w:trPr>
          <w:trHeight w:val="23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(77,626)</w:t>
            </w:r>
          </w:p>
        </w:tc>
      </w:tr>
      <w:tr>
        <w:trPr>
          <w:trHeight w:val="230"/>
        </w:trPr>
        <w:tc>
          <w:tcPr>
            <w:tcW w:w="3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6"/>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 w:type="dxa"/>
            <w:vAlign w:val="bottom"/>
          </w:tcPr>
          <w:p>
            <w:pPr>
              <w:spacing w:after="0"/>
              <w:rPr>
                <w:sz w:val="22"/>
                <w:szCs w:val="22"/>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March 2029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November 2027</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592,500</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483,148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583,364</w:t>
            </w:r>
          </w:p>
        </w:tc>
      </w:tr>
      <w:tr>
        <w:trPr>
          <w:trHeight w:val="21"/>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Deferred loan costs are related to the Term Loan and Notes.</w:t>
      </w:r>
    </w:p>
    <w:p>
      <w:pPr>
        <w:spacing w:after="0" w:line="167"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As of November 2, 2024, February 3, 2024 and October 28, 2023, the balance in deferred loan costs related to the ABL Facility (as defined below) was approximately $6.4 million, $2.1 million and $2.3 million, respectively, and was included in other noncurrent assets on our consolidated balance sheets. Total amortization of deferred loan costs was $0.6 million and $1.8 million for the thirteen and thirty-nine weeks ended November 2, 2024, respectively, and $0.6 million and $1.8 million for the thirteen and thirty-nine weeks ended October 28, 2023, respectively. Total expenses related to accretion of original issuance discount was $0.0 and $0.1 million for the thirteen and thirty-nine weeks ended November 2, 2024, respectively, and $0.1 million and $0.2 million for the thirteen and thirty-nine weeks ended October 28, 2023, respectively. The expenses related to amortization of deferred loan costs and accretion of original issuance discount are included in interest expense, net on the condensed consolidated statements of income.</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refer to the 2020 Term Loan and the amendments thereto collectively as the "Term Loan".</w:t>
      </w:r>
    </w:p>
    <w:p>
      <w:pPr>
        <w:spacing w:after="0" w:line="171"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Academy, Ltd. entered into a seven-year $400.0 million senior secured term loan (the "2020 Term Loan"). 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Under the Amendment, the Term Loan bore interest, at Academy, Ltd.'s election, at either (1) LIBOR rate with a floor of 0.75%, plus a margin of 3.75%, or (2) a base rate equal to the highest of (a) the federal funds rate plus 0.50%, (b) Credit Suisse's "prime rate", or (c) the one-month LIBOR rate plus 1.00%, plus a margin of 4.00%.</w:t>
      </w:r>
    </w:p>
    <w:p>
      <w:pPr>
        <w:spacing w:after="0" w:line="133"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May 17, 2023, Academy, Ltd. entered into a Conforming Changes Amendment to the Second Amended and Restated Credit Agreement, dated as of November 6, 2020, among Academy, Ltd., as Borrower, Credit Suisse AG, Cayman Islands Branch, as the administrative agent and collateral agent and the several lenders party thereto and the several other parties named therein, which updated the Term Loan benchmark base interest rate from LIBOR to Adjusted Term SOFR (as defined in the Conforming Changes Amendment to the Second Amended and Restated Credit Agreement). The transition of our Term Loan to Adjusted Term SOFR became effective on August 1, 2023. Borrowings under the Term Loan bear interest, at our election, at either (1) Adjusted Term SOFR with a floor of 0.75% rate plus a margin of 3.75% or (2) a base rate equal to the highest of (a) the federal funds rate plus 0.50%, (b) the U.S. "prime rate" announced by the administrative agent, or (c) the one-month Adjusted Term SOFR with a floor of 0.75% rate, plus a margin of 3.75%. Quarterly principal payments of $750 thousand are required through September 30, 2027 and borrowings mature on November 6, 2027. As of November 2, 2024, the weighted average interest rate was 8.88%, with interest payable monthly. The terms and conditions of the Term Loan also require that the outstanding balance under the Term Loan is prepaid under certain circumstances. As of November 2, 2024, no prepayment was due under the terms and conditions of the Term Loan.</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require cash interest payments semi-annually in arrears on May 15 and November 15 of each year at a rate of 6.00% per year.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3" w:name="page14"/>
    <w:bookmarkEnd w:id="13"/>
    <w:p>
      <w:pPr>
        <w:ind w:left="328"/>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16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We refer to the 2020 ABL Facility and the amendments thereto collectively as the "ABL Facility".</w:t>
      </w:r>
    </w:p>
    <w:p>
      <w:pPr>
        <w:spacing w:after="0" w:line="171"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On November 6, 2020, Academy, Ltd., as borrower, and the guarantors, amended the previously existing secured asset-based revolving credit facility by entering into an amendment to the First Amended and Restated ABL Credit Agreement, dated as of November 6, 2020, with JPMorgan Chase Bank, N.A. as the administrative agent and collateral agent, letter of credit issuer and swingline lender and the several lenders party thereto, which ABL amendment, among other things, extended the maturity of Academy, Ltd.’s asset-based revolving credit facility thereunder to November 6, 2025 (the "2020 ABL Facility").</w:t>
      </w:r>
    </w:p>
    <w:p>
      <w:pPr>
        <w:spacing w:after="0" w:line="210"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On March 30, 2023, Academy, Ltd., as borrower, and the guarantors, amended the 2020 ABL Facility by entering into an amendment to the First Amended and Restated ABL Credit Agreement, dated as of July 2, 2015, with JP Morgan Chase Bank, N.A. as the ABL Agent and the several lenders party thereto, which ABL amendment updated its benchmark base interest rate from LIBOR to Adjusted Term SOFR.</w:t>
      </w:r>
    </w:p>
    <w:p>
      <w:pPr>
        <w:spacing w:after="0" w:line="122" w:lineRule="exact"/>
        <w:rPr>
          <w:sz w:val="20"/>
          <w:szCs w:val="20"/>
          <w:color w:val="auto"/>
        </w:rPr>
      </w:pPr>
    </w:p>
    <w:p>
      <w:pPr>
        <w:jc w:val="both"/>
        <w:ind w:left="8" w:firstLine="324"/>
        <w:spacing w:after="0" w:line="253" w:lineRule="auto"/>
        <w:rPr>
          <w:sz w:val="20"/>
          <w:szCs w:val="20"/>
          <w:color w:val="auto"/>
        </w:rPr>
      </w:pPr>
      <w:r>
        <w:rPr>
          <w:rFonts w:ascii="Times New Roman" w:cs="Times New Roman" w:eastAsia="Times New Roman" w:hAnsi="Times New Roman"/>
          <w:sz w:val="18"/>
          <w:szCs w:val="18"/>
          <w:color w:val="auto"/>
        </w:rPr>
        <w:t>On March 8, 2024, Academy, Ltd., as borrower, and New Academy Holding Company, LLC, Associated Investors, L.L.C. and Academy Managing Co., L.L.C., as guarantors, entered into an amendment (the “ABL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Academy’s asset-based revolving credit facility (the “ABL Credit Facility”) to March 8, 2029, unless (i) more than $100 million of the aggregate principal amount of the Notes or the Term Loan, or any refinancing thereof, in each case, is outstanding on the date that is 91 days prior to the earliest maturity date of any such indebtedness or</w:t>
      </w:r>
    </w:p>
    <w:p>
      <w:pPr>
        <w:spacing w:after="0" w:line="5" w:lineRule="exact"/>
        <w:rPr>
          <w:sz w:val="20"/>
          <w:szCs w:val="20"/>
          <w:color w:val="auto"/>
        </w:rPr>
      </w:pPr>
    </w:p>
    <w:p>
      <w:pPr>
        <w:ind w:left="268" w:hanging="268"/>
        <w:spacing w:after="0"/>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less than $100 million of the aggregate principal amount of the Notes or the Term Loan, in either case, is outstanding on the date that is</w:t>
      </w:r>
    </w:p>
    <w:p>
      <w:pPr>
        <w:spacing w:after="0" w:line="9" w:lineRule="exact"/>
        <w:rPr>
          <w:rFonts w:ascii="Times New Roman" w:cs="Times New Roman" w:eastAsia="Times New Roman" w:hAnsi="Times New Roman"/>
          <w:sz w:val="18"/>
          <w:szCs w:val="18"/>
          <w:color w:val="auto"/>
        </w:rPr>
      </w:pPr>
    </w:p>
    <w:p>
      <w:pPr>
        <w:jc w:val="both"/>
        <w:ind w:left="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days prior to the earliest maturity date of any such indebtedness and a Reserve (as defined in the ABL Amendment) in the ABL Credit Facility has not been taken for such amount, then the maturity date of the ABL Credit Facility will be the date that is 91 days earlier than the earlier maturity date of the Notes and the Term Loan.</w:t>
      </w:r>
    </w:p>
    <w:p>
      <w:pPr>
        <w:spacing w:after="0" w:line="132"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November 2, 2024, we had outstanding letters of credit of approximately $9.3 million, all of which were issued under the ABL Facility, and we had no borrowings outstanding under the ABL Facility, leaving an available borrowing capacity under the ABL Facility of $990.7 million.</w:t>
      </w:r>
    </w:p>
    <w:p>
      <w:pPr>
        <w:spacing w:after="0" w:line="129"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0.25%. The terms and conditions of the ABL Facility also require that we prepay outstanding loans under the ABL Facility under certain circumstances. As of November 2, 2024, no future prepayments of outstanding loans have been triggered under the terms and conditions of the ABL Facility. In connection with the ABL Amendment and the reduction of two lenders who dropped out of the ABL Facility, the Company wrote off $0.4 million of deferred loan costs related to the ABL Facility.</w:t>
      </w:r>
    </w:p>
    <w:p>
      <w:pPr>
        <w:spacing w:after="0" w:line="131" w:lineRule="exact"/>
        <w:rPr>
          <w:sz w:val="20"/>
          <w:szCs w:val="20"/>
          <w:color w:val="auto"/>
        </w:rPr>
      </w:pPr>
    </w:p>
    <w:p>
      <w:pPr>
        <w:jc w:val="both"/>
        <w:ind w:left="8"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may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November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cash equivalents on the condensed consolidated balance sheets and are redeemable on demand. As of November 2, 2024, February 3, 2024 and October 28, 2023, we held $245.1 million, $303.4 million and $224.0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November 2, 2024, February 3, 2024, and October 28, 2023, the estimated fair value of the Term Loan and Notes was $0.5 billion, $0.5 billion and $0.6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635,815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542,698</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718,924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671,939</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383,507</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1,846,893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1,665,405</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(1,343,778)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(1,235,757)</w:t>
            </w: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503,115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429,648</w:t>
            </w: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$29.3 million and $87.1 million in the thirteen and thirty-nine weeks ended November 2, 2024, respectively, and $27.4 million and $79.4 million in the thirteen and thirty-nine weeks ended October 28,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87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34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w:t>
            </w:r>
          </w:p>
        </w:tc>
      </w:tr>
      <w:tr>
        <w:trPr>
          <w:trHeight w:val="230"/>
        </w:trPr>
        <w:tc>
          <w:tcPr>
            <w:tcW w:w="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33,014</w:t>
            </w:r>
          </w:p>
        </w:tc>
      </w:tr>
      <w:tr>
        <w:trPr>
          <w:trHeight w:val="229"/>
        </w:trPr>
        <w:tc>
          <w:tcPr>
            <w:tcW w:w="34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29"/>
        </w:trPr>
        <w:tc>
          <w:tcPr>
            <w:tcW w:w="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r>
      <w:tr>
        <w:trPr>
          <w:trHeight w:val="229"/>
        </w:trPr>
        <w:tc>
          <w:tcPr>
            <w:tcW w:w="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74,171</w:t>
            </w: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29"/>
        </w:trPr>
        <w:tc>
          <w:tcPr>
            <w:tcW w:w="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48,160</w:t>
            </w:r>
          </w:p>
        </w:tc>
      </w:tr>
      <w:tr>
        <w:trPr>
          <w:trHeight w:val="229"/>
        </w:trPr>
        <w:tc>
          <w:tcPr>
            <w:tcW w:w="34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30"/>
        </w:trPr>
        <w:tc>
          <w:tcPr>
            <w:tcW w:w="340" w:type="dxa"/>
            <w:vAlign w:val="bottom"/>
          </w:tcPr>
          <w:p>
            <w:pPr>
              <w:spacing w:after="0"/>
              <w:rPr>
                <w:sz w:val="19"/>
                <w:szCs w:val="19"/>
                <w:color w:val="auto"/>
              </w:rPr>
            </w:pPr>
          </w:p>
        </w:tc>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21,426</w:t>
            </w:r>
          </w:p>
        </w:tc>
      </w:tr>
      <w:tr>
        <w:trPr>
          <w:trHeight w:val="248"/>
        </w:trPr>
        <w:tc>
          <w:tcPr>
            <w:tcW w:w="34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232,046</w:t>
            </w:r>
          </w:p>
        </w:tc>
      </w:tr>
      <w:tr>
        <w:trPr>
          <w:trHeight w:val="20"/>
        </w:trPr>
        <w:tc>
          <w:tcPr>
            <w:tcW w:w="34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left="340" w:firstLine="324"/>
        <w:spacing w:after="0" w:line="253"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2020 Omnibus Incentive Plan provides for the grant of certain equity incentive awards (each, an "Award"), such as options to purchase ASO, Inc. common stock (each, a "Stock Option") and restricted units that may settle in ASO, Inc. common stock (each, a "Restricted Stock Unit") to our directors, executives and eligible employees of the Company. Awards granted under the 2020 Omnibus Incentive Plan consist of Stock Options that vest upon the satisfaction of time-based requirements (each, a "Service Option"), Restricted Stock Units that vest upon the satisfaction of time-based requirements (each, a "Service Restricted Stock Unit") and Restricted Stock Units that vest upon the satisfaction of time and performance and/or market based requirements (each, a "Performance Restricted Stock Unit").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November 2, 2024, there were 4,111,000 shares that were authorized and available for future issuance under the 2020 Omnibus Incentive Plan.</w:t>
      </w:r>
    </w:p>
    <w:p>
      <w:pPr>
        <w:spacing w:after="0" w:line="140"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under the ESPP and as of November 2, 2024, there were 1,531,484 shares authorized and available for future issuance under the ESPP.</w:t>
      </w:r>
    </w:p>
    <w:p>
      <w:pPr>
        <w:spacing w:after="0" w:line="122"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Equity compensation expense was $6.3 million and $20.4 million for the thirteen and thirty-nine weeks ended November 2, 2024, respectively. Equity compensation expense was $6.2 million and $26.1 million for the thirteen and thirty-nine weeks ended October 28, 2023, respectively. These costs are included in selling, general and administrative expenses in the consolidated statements of income. For all Awards granted in 2023 and 2024,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pacing w:after="0" w:line="3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Award grants during the thirty-nine weeks ended November 2, 2024:</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380" w:type="dxa"/>
            <w:vAlign w:val="bottom"/>
          </w:tcPr>
          <w:p>
            <w:pPr>
              <w:spacing w:after="0"/>
              <w:rPr>
                <w:sz w:val="18"/>
                <w:szCs w:val="18"/>
                <w:color w:val="auto"/>
              </w:rPr>
            </w:pP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r>
      <w:tr>
        <w:trPr>
          <w:trHeight w:val="241"/>
        </w:trPr>
        <w:tc>
          <w:tcPr>
            <w:tcW w:w="6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r>
      <w:tr>
        <w:trPr>
          <w:trHeight w:val="225"/>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4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129,041</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November 2, 2024:</w:t>
      </w:r>
    </w:p>
    <w:p>
      <w:pPr>
        <w:spacing w:after="0" w:line="26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4,626,231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28,364,732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6,981,524</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October 28, 2023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October 28, 2023</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65,763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284,816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351,023</w:t>
            </w:r>
          </w:p>
        </w:tc>
        <w:tc>
          <w:tcPr>
            <w:tcW w:w="0" w:type="dxa"/>
            <w:vAlign w:val="bottom"/>
          </w:tcPr>
          <w:p>
            <w:pPr>
              <w:spacing w:after="0"/>
              <w:rPr>
                <w:sz w:val="1"/>
                <w:szCs w:val="1"/>
                <w:color w:val="auto"/>
              </w:rPr>
            </w:pPr>
          </w:p>
        </w:tc>
      </w:tr>
      <w:tr>
        <w:trPr>
          <w:trHeight w:val="88"/>
        </w:trPr>
        <w:tc>
          <w:tcPr>
            <w:tcW w:w="3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75,809</w:t>
            </w:r>
          </w:p>
        </w:tc>
        <w:tc>
          <w:tcPr>
            <w:tcW w:w="0" w:type="dxa"/>
            <w:vAlign w:val="bottom"/>
          </w:tcPr>
          <w:p>
            <w:pPr>
              <w:spacing w:after="0"/>
              <w:rPr>
                <w:sz w:val="1"/>
                <w:szCs w:val="1"/>
                <w:color w:val="auto"/>
              </w:rPr>
            </w:pPr>
          </w:p>
        </w:tc>
      </w:tr>
      <w:tr>
        <w:trPr>
          <w:trHeight w:val="175"/>
        </w:trPr>
        <w:tc>
          <w:tcPr>
            <w:tcW w:w="37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Service Restricted Units and</w:t>
            </w: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Restricted Stock Units</w:t>
            </w:r>
          </w:p>
        </w:tc>
        <w:tc>
          <w:tcPr>
            <w:tcW w:w="14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Restricted Stock</w:t>
            </w: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and Liquidity Event Restricted Units</w:t>
            </w:r>
          </w:p>
        </w:tc>
        <w:tc>
          <w:tcPr>
            <w:tcW w:w="1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Unit Options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55"/>
        </w:trPr>
        <w:tc>
          <w:tcPr>
            <w:tcW w:w="37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4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71,774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73,744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77,893</w:t>
            </w:r>
          </w:p>
        </w:tc>
        <w:tc>
          <w:tcPr>
            <w:tcW w:w="0" w:type="dxa"/>
            <w:vAlign w:val="bottom"/>
          </w:tcPr>
          <w:p>
            <w:pPr>
              <w:spacing w:after="0"/>
              <w:rPr>
                <w:sz w:val="1"/>
                <w:szCs w:val="1"/>
                <w:color w:val="auto"/>
              </w:rPr>
            </w:pPr>
          </w:p>
        </w:tc>
      </w:tr>
      <w:tr>
        <w:trPr>
          <w:trHeight w:val="236"/>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08"/>
        </w:trPr>
        <w:tc>
          <w:tcPr>
            <w:tcW w:w="3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stock-based awards excluded from</w:t>
            </w: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calculation</w:t>
            </w:r>
          </w:p>
        </w:tc>
        <w:tc>
          <w:tcPr>
            <w:tcW w:w="14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and Other Commitments</w:t>
      </w:r>
    </w:p>
    <w:p>
      <w:pPr>
        <w:spacing w:after="0" w:line="175" w:lineRule="exact"/>
        <w:rPr>
          <w:sz w:val="20"/>
          <w:szCs w:val="20"/>
          <w:color w:val="auto"/>
        </w:rPr>
      </w:pPr>
    </w:p>
    <w:p>
      <w:pPr>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November 2, 2024, we have obligations under technology-related, construction and other contractual commitments in the amount of $107.9 million. Of such commitments, approximately $52.3 million is payable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previously disclosed, in May and December 2023, U.S. Customs and Border Protection ("CBP") notified us that we owed additional duties relating to certain products that we imported from China that CBP believed were subject to certain anti-dumping and/or countervailing duties. While we contested CBP’s determination, we were required to deposit with CBP duties relating to these products (the “AD/CVD deposits”), which are included in prepaid expenses and other current assets on the Company’s consolidated balance sheet. In January 2024, we requested a changed circumstances review of CBP’s determination by the U.S. Department of Commerce (the “DOC”). In April 2024, the DOC made a determination in the Company’s favor in connection with the changed circumstances review, and in May 2024, instructed CBP to begin the process of issuing refunds to the Company on the AD/CVD deposits. In August 2024, the Company received a full refund of the AD/CVD deposits. This matter is now resolved, and the refund is recorded as cash within cash and cash equivalents on our unaudited condensed consolidated balance sheet for the quarter ending November 2, 2024.</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discussed above, there have been no material developments during the fiscal quarter ended November 2, 2024,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November 2, 2024, we have $10.0 million in related commitments through 2027, of which $5.9 million is payable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75" w:lineRule="exact"/>
        <w:rPr>
          <w:sz w:val="20"/>
          <w:szCs w:val="20"/>
          <w:color w:val="auto"/>
        </w:rPr>
      </w:pPr>
    </w:p>
    <w:p>
      <w:pPr>
        <w:jc w:val="both"/>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November 2, 2024 through December 10, 2024, the issuance date of the consolidated financial statements, and identified the following matters to report: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Declaration of Dividend</w:t>
      </w:r>
    </w:p>
    <w:p>
      <w:pPr>
        <w:spacing w:after="0" w:line="1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On December 4, 2024, the Company's Board of Directors declared a quarterly cash dividend with respect to the fiscal quarter ended November 2, 2024, of $0.11 per share of the Company's common stock, payable on January 15, 2025, to stockholders of record as of the close of business on December 18, 2024.</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Authorization</w:t>
      </w:r>
    </w:p>
    <w:p>
      <w:pPr>
        <w:spacing w:after="0" w:line="175"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On December 4, 2024, the Company's Board of Directors authorized a new share repurchase program under which the Company is authorized to purchase up to $700 million of its outstanding shares during the three-year period ending December 4, 2027 (the "2024 Share Repurchase Program"), and which replaces the 2023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and economic and market conditions. The 2024 Share Repurchase Program does not obligate the Company to acquire any particular number of common shares, and the program may be suspended, extended, modified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macroeconomic conditions,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February 3, 2024 (the "Annual Report"), as filed with the Securities and Exchange Commission (the "SEC") on March 21, 2024, as such risk factors have been updated from time to time in our periodic filings with the SEC, and are accessible on the SEC's website at www.sec.gov.</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21" w:lineRule="exact"/>
        <w:rPr>
          <w:sz w:val="20"/>
          <w:szCs w:val="20"/>
          <w:color w:val="auto"/>
        </w:rPr>
      </w:pPr>
    </w:p>
    <w:p>
      <w:pPr>
        <w:ind w:right="72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"Risk Factors" in the Annual Report, as the same may be updated by subsequent Forms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6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ind w:left="660" w:hanging="328"/>
        <w:spacing w:after="0" w:line="243" w:lineRule="auto"/>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 including in China, which exposes us to various international risks, including potential tariffs, that could have a material adverse effect on our business and results of operations;</w:t>
      </w:r>
    </w:p>
    <w:p>
      <w:pPr>
        <w:spacing w:after="0" w:line="3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systems;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660" w:hanging="328"/>
        <w:spacing w:after="0" w:line="281" w:lineRule="auto"/>
        <w:tabs>
          <w:tab w:leader="none" w:pos="6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private label brand merchandise;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attract, train and retain quality team members in sufficient numbers, increases in wage and labor costs, and changes in laws and other labor issues;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materials) costs and availability;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inventory shrink;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other sustainability-related matters;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indemnities coverage may not be sufficient;</w:t>
      </w:r>
    </w:p>
    <w:p>
      <w:pPr>
        <w:spacing w:after="0" w:line="63" w:lineRule="exact"/>
        <w:rPr>
          <w:sz w:val="20"/>
          <w:szCs w:val="20"/>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safety;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below);</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or may decline;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 to pay dividends on our common stock or conduct stock repurchases;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and</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36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and thirty-nine weeks ended November 2, 2024 and our audited financial statements for the fiscal year ended February 3, 2024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All of the Company's sales and business operations occur at Academy, Ltd., and Academy, Ltd., is also the borrower and/or issuer of the Company's long-term debt and lessee of facilities.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"2024 third quarter," or similar reference refers to the thirteen week period ended November 2, 2024, and any reference to the "prior year quarter," "2023 third quarter" or similar reference refers to the thirteen week period ended October 28, 2023. Unless otherwise specified, all comparisons regarding the current period of 2024 are made to the corresponding period of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 sports and recreation, apparel, and footwear (representing 32%, 21%, 26%, and 21% of our 2024 third quarter net sales, respectively) through both leading national brands and a portfolio of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November 2, 2024, we operated 293 stores that range in size from approximately 40,000 to 137,000 gross square feet, with an average size of approximately 70,000 gross square feet, throughout 19 contiguous states located primarily in the southern United States. Our stores are supported by approximately 23,000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540" w:type="dxa"/>
            <w:vAlign w:val="bottom"/>
          </w:tcPr>
          <w:p>
            <w:pPr>
              <w:spacing w:after="0"/>
              <w:rPr>
                <w:sz w:val="19"/>
                <w:szCs w:val="19"/>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new stores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Q3 new stores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 and Recent Trends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the relative condition of the U.S. economy,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 Additionally, the U.S. macroeconomic environment in which we operate remains challenging as the result of numerous factors, including continued high inflation, higher consumer debt and interest rates, reduced access to credit, employment and income uncertainty, and lower consumer sentiment, which are impacting consumer discretionary spending behavior and the promotional landscape in which we operate. The Company's 2024 fiscal year is a 52-week year, whereas the 2023 fiscal year was a 53-week year, which created a one week shift.</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comparable sales metric for the 2024 third quarter compares the thirteen and thirty-nine weeks ended November 2, 2024 versus the thirteen and thirty-nine weeks ended November 4, 2023. The prior year rate of decline in comparable store sales slowed in year-to-date 2024 compared to the two prior year periods, with a decrease of 5.9% in 2024 compared to 7.6% and 6.9% in 2023 and 2022, respectively. See the discussion on Net Sales below for factors contributing to these changes.</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and average ticket. </w:t>
      </w:r>
      <w:r>
        <w:rPr>
          <w:rFonts w:ascii="Times New Roman" w:cs="Times New Roman" w:eastAsia="Times New Roman" w:hAnsi="Times New Roman"/>
          <w:sz w:val="18"/>
          <w:szCs w:val="18"/>
          <w:color w:val="auto"/>
        </w:rPr>
        <w:t>We define transactions as the number of customer transactions for stores and e-commerce during a given period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comparable sales divided by the number of transactions during a given period, which tells us the average amount the customer is spending on a purchase.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broad assortment gives us an advantage over mass general merchants who typically do not carry the leading national brands sold at Academy. We have also continued to add private label brand products to our assortment of products, which we generally price lower than the national brand products of comparable quality that we also offer. A shift in our sales mix in which we sell more units of our private label brand products and fewer units of the national brand products would generally have a positive impact on our gross margin but an adverse impact on our total net sales.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We continue to invest in initiatives that will increase traffic to our stores and e-commerce platform, which includes our website and mobile app, and drive increased sales conversion. These initiatives include investments in our new customer data platform and the development of strategies that focus on customer segmentation with the intention of improving customer identification and increasing customer engagement. Additionally, we recently implemented several innovative website features to enhance the customer online shopping experience, including a redesigned home page, additional BOPIS features, and enhanced shipping notifications. Our improved e-commerce platform supports our stores with digital marketing and our BOPIS and ship-to-store programs. These platforms allow us to connect further with our customers for marketing and product education and assists us in introducing customers to the Academy brand by reaching customers outside of our current store footprint. During the 2024 year-to-date third quarter,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further investments by us.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as we execute our new store opening growth plans. Our results of operations have been and will continue to be materially affected by the timing and number of new store openings. We are continually assessing the number of locations available that could accommodate our preferred size of stores in markets we would consider, and during 2024 we opened 11 new stores. We believe our real estate strategy has positioned us well for further expansion.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which consist primarily of payroll and benefits, distribution center occupancy costs and freight and are generally variable in nature relative to our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private label merchandise sales, and our ability to control cost of goods sold, such as inventory and logistics cost management. Our gross margin is also impacted by variables including duties, commodity costs, freight costs, shrinkage (discussed below), inventory processing costs and e-commerce shipping costs. We track and measure gross margin as a percentage of net sales in order to evaluate our performance against profitability targets.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refer to loss or theft of inventory as "shrinkage" or "shrink". Over recent years, the United States retail industry, including Academy, has experienced a significant increase in inventory shrink, which has resulted in a negative impact to our gross margins. A prolonged period of significant increased shrink could have a material negative impact on our gross margin and results of operations.</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equity-based compensation, store and corporate headquarters occupancy costs, advertising, credit card processing, information technology, pre-opening costs and other store and administrative expenses. These expenses are both variable and fixed in nature. SG&amp;A expenses as a percentage of sales increased from 23.8% in the 2023 year-to-date third quarter to 25.5% in the 2024 year-to-date third quarter, which was primarily attributable to our store growth strategy as well as deleverage from decreased sales, partially offset by favorable reductions in equity compensation. We track and measure operating expenses as a percentage of net sales in order to evaluate our performance against profitability targets. Management of SG&amp;A expenses depends on our ability to balance a control of operating costs, such as store and corporate headcount, information technology infrastructure and marketing and advertising expenses, while efficiently and effectively servicing our customers.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increase and result in a negative impact to SG&amp;A as a percentage of sales. The following table summarizes our pre-opening expense activity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pre-opening expenses incurred (in millions)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212"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our unaudited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included under Part I, Item 1 of this Quarterly Report) and the amortization of our deferred loan costs and original issuance discounts associated with the acquisition of the debt. During the fourth quarter of 2023, we utilized cash on hand to voluntarily prepay $100 million of outstanding borrowings on our Term Loan. This pay down resulted in decreased interest expense in year-to-date 2024 as compared to the prior year period, and we anticipate it will result in decreased interest expense compared to 2023 throughout the remainder of 2024.</w:t>
      </w:r>
    </w:p>
    <w:p>
      <w:pPr>
        <w:spacing w:after="0" w:line="14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 result of changes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November 2, 2024 Compared to Thirteen Weeks Ended October 28, 2023</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220" w:type="dxa"/>
            <w:vAlign w:val="bottom"/>
          </w:tcPr>
          <w:p>
            <w:pPr>
              <w:spacing w:after="0"/>
              <w:rPr>
                <w:sz w:val="19"/>
                <w:szCs w:val="19"/>
                <w:color w:val="auto"/>
              </w:rPr>
            </w:pPr>
          </w:p>
        </w:tc>
        <w:tc>
          <w:tcPr>
            <w:tcW w:w="22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1,343,330</w:t>
            </w: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1,397,777</w:t>
            </w: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886,617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915,136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456,713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482,641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365,239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345,910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19,329</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88,731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129,947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65,763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$54.4 million, or 3.9%, in the 2024 third quarter from the prior year third quarter. This is primarily a result of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which was partially offset by $34.6 million of net sales, including e-commerce, generated by 18 new stores opened since the end of the 2023 third quarter. Since re-launching our new store program in 2022, we have opened 34 new stores, 16 of which have been open for at least twelve months. Over the last twelve months, those 16 stores have averaged approximately $13 million in net sales per store, including e-commerce. Performance of new stores in year one is highly dependent on which season the new store opens and the brand awareness in the region the new store opens.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Comparable sales decreased 4.9% driven by lower comparable sales across all merchandise divisions, except outdoor, as a result of a 7.1% decrease in comparable transactions, partially offset by an increase in average ticket of 2.4%. The decrease of 3.9% in net sales was driven by decreased sales of 8.8% in the sports and recreation merchandise division, 8.6% in the apparel merchandise division and 7.5% in the footwear merchandise division, partially offset by increased sales of 7.0% in the outdoor merchandise division. Additionally, we experienced a challenging month in October 2024 with unseasonably warm temperatures across our footprint along with lapping the Rangers World Series run in the prior year, which collectively resulted in a decrease of 2.7% in net sales and 2.6% in comparable sales for the 2024 third quarter.</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E-commerce net sales represented 8.8% of merchandise sales for the 2024 third quarter compared to 9.4% for the prior year third quarter.</w:t>
      </w:r>
    </w:p>
    <w:p>
      <w:pPr>
        <w:spacing w:after="0" w:line="5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$25.9 million, or 5.4%, to $456.7 million in the 2024 third quarter from $482.6 million in the 2023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As a percentage of net sales, gross margin decreased 50 basis points from 34.5% in the 2023 third quarter to 34.0% in the 2024 third quarter. The decrease of 50 basis points in gross margin was primarily attributable to:</w:t>
      </w:r>
    </w:p>
    <w:p>
      <w:pPr>
        <w:spacing w:after="0" w:line="67" w:lineRule="exact"/>
        <w:rPr>
          <w:sz w:val="20"/>
          <w:szCs w:val="20"/>
          <w:color w:val="auto"/>
        </w:rPr>
      </w:pPr>
    </w:p>
    <w:p>
      <w:pPr>
        <w:ind w:left="660" w:right="2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basis points of unfavorability in merchandise margin as a result of 40 basis points of margin deleverage due to increased penetration of our outdoor merchandise division from a 7.0% increase in outdoor net sales;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basis points of unfavorability due to increased supply chain costs associated with our transition to a new warehouse management system at our Georgia distribution center and increased freight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6" w:name="page27"/>
    <w:bookmarkEnd w:id="26"/>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$19.3 million, or 5.6%, to $365.2 million in the 2024 third quarter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$345.9 million in the 2023 third quarter, primarily driven by our increased strategic investments of $17.5 million in new stores and technology as well as deleverage from decreased sales.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$1.8 million, or 16.3%, in the 2024 third quarter when compared with the 2023 third quarter,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 lower outstanding balance on our long-term debt driven by a voluntary prepayment of $100.0 million made on February 1, 2024.</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$2.3 million in the 2024 third quarter when compared with the 2023 third quarter, primarily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increased money market investments in the current year.</w:t>
      </w:r>
    </w:p>
    <w:p>
      <w:pPr>
        <w:spacing w:after="0" w:line="10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$7.0 million to $23.0 million for the 2024 third quarter as compared to $30.0 million in the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quarter, resulting primarily from a decrease in pre-tax income. The Company's effective income tax rate was 25.9% for the third quarter of 2024 compared to 23.1% for the third quarter of 2023. The increase in effective tax rate was primarily the result of a reduction in excess tax benefits for share-based compensation in 2024 compared to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November 2, 2024 Compared to Thirty-Nine Weeks Ended October 28, 2023</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840" w:type="dxa"/>
            <w:vAlign w:val="bottom"/>
            <w:tcBorders>
              <w:bottom w:val="single" w:sz="8" w:color="auto"/>
            </w:tcBorders>
          </w:tcPr>
          <w:p>
            <w:pPr>
              <w:spacing w:after="0"/>
              <w:rPr>
                <w:sz w:val="20"/>
                <w:szCs w:val="20"/>
                <w:color w:val="auto"/>
              </w:rPr>
            </w:pPr>
          </w:p>
        </w:tc>
      </w:tr>
      <w:tr>
        <w:trPr>
          <w:trHeight w:val="223"/>
        </w:trPr>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220" w:type="dxa"/>
            <w:vAlign w:val="bottom"/>
          </w:tcPr>
          <w:p>
            <w:pPr>
              <w:spacing w:after="0"/>
              <w:rPr>
                <w:sz w:val="19"/>
                <w:szCs w:val="19"/>
                <w:color w:val="auto"/>
              </w:rPr>
            </w:pPr>
          </w:p>
        </w:tc>
        <w:tc>
          <w:tcPr>
            <w:tcW w:w="22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4,256,530</w:t>
            </w:r>
          </w:p>
        </w:tc>
        <w:tc>
          <w:tcPr>
            <w:tcW w:w="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4,364,463</w:t>
            </w:r>
          </w:p>
        </w:tc>
        <w:tc>
          <w:tcPr>
            <w:tcW w:w="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2,785,299</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2,851,261</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1,471,231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1,513,202</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1,087,287</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1,039,312</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383,944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27,706</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(17,140)</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49.3 %</w:t>
            </w:r>
          </w:p>
        </w:tc>
      </w:tr>
      <w:tr>
        <w:trPr>
          <w:trHeight w:val="223"/>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372,929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451,899</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88,113</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100,876</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3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284,816</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351,023</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$107.9 million, or 2.5%, year-to-date 2024 compared to year-to-date 2023. This is primarily a result of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which was partially offset by $89.0 million of net sales, including e-commerce, generated by 18 new stores opened since the end of the 2023 third quarter. Since re-launching our new store program in 2022, we have opened 34 new stores, 16 of which have been open for at least twelve months. Over the last twelve months, those 16 stores have averaged approximately $13 million in net sales per store, including e-commerce. Performance of new stores in year one is highly dependent on which season the new store opens and the brand awareness in the region the new store opens.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Comparable sales decreased 5.9% driven by lower comparable sales across all merchandise divisions as a result of a 6.4% decrease in comparable transactions, partially offset by an increase in average ticket of 0.5%. The decrease of 2.5% in net sales was driven by decreased sales of 6.7% in the sports and recreation merchandise division, 4.4% in the apparel division and 2.5% in the footwear division, partially offset by an increase of 3.4% in the outdoors merchandise division. Additionally, we experienced a challenging month in October 2024 with unseasonably warm temperatures across our footprint along with lapping the Rangers World Series run in the prior year, which collectively resulted in a decrease of approximately 1% in both net and comparable sales for the year-to-date 2024.</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E-commerce net sales represented 9.2% of merchandise sales for year-to-date 2024 compared to 9.0% for year-to-date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$42.0 million, or 2.8%, to $1,471.2 million for the year-to-date 2024 from $1,513.2 million for the year-to-date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As a percentage of net sales, gross margin decreased 10 basis points from 34.7% for the year-to-date 2023 to 34.6% for the year-to-date 2024. The decrease of 10 basis points in gross margin was primarily attributable to:</w:t>
      </w:r>
    </w:p>
    <w:p>
      <w:pPr>
        <w:spacing w:after="0" w:line="121"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basis points of unfavorability in merchandise margin as a result of margin deleverage due to increased penetration of our outdoor merchandise division compared to year-to-date 2023; partially offset by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basis points of favorability due to product cost management, including lower shipping costs compared to year-to-date 2023 due to increased fulfillment through our BOPIS program.</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$48.0 million, or 4.6%, to $1,087.3 million for the year-to-date 2024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$1,039.3 million for the year-to-date 2023, primarily as a result of our increased strategic investments of $51.1 million in new stores and technology as well as deleverage from decreased sales.</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$5.8 million, or 17.2%, for the year-to-date 2024 when compared with the year-to-date 2023,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 lower outstanding balance on our long-term debt driven by a voluntary prepayment of $100.0 million made on February 1, 2024.</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$5.7 million for the year-to-date 2024 when compared with the year-to-date 2023, primarily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higher interest rates on increased money market investments in the current year.</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Write off of Deferred Loan Costs. </w:t>
      </w:r>
      <w:r>
        <w:rPr>
          <w:rFonts w:ascii="Times New Roman" w:cs="Times New Roman" w:eastAsia="Times New Roman" w:hAnsi="Times New Roman"/>
          <w:sz w:val="18"/>
          <w:szCs w:val="18"/>
          <w:color w:val="auto"/>
        </w:rPr>
        <w:t>Write off of Deferred Loan Costs increased by $0.4 million for the year-to-date 2024 when compared with the year-to-date 2023, in connection with the amendment in the 2024 first quarter that led to the write off of deferred loan costs on the ABL Facility for the year-to-date 2024.</w:t>
      </w:r>
    </w:p>
    <w:p>
      <w:pPr>
        <w:spacing w:after="0" w:line="19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$12.8 million to $88.1 million for the year-to-date 2024 as compared to $100.9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year-to-date 2023, resulting primarily from a decrease in pre-tax income. The Company's effective income tax rate was 23.6% for the year-to-date 2024 compared to 22.3% for the year-to-date 2023. The increase in effective tax rate is primarily the result of a reduction in excess tax benefits for share-based compensation in 2024 compared to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(used in) operating activities to Adjusted Free Cash Flow in the applicable table below.</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8" w:name="page29"/>
    <w:bookmarkEnd w:id="2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(used in)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34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284,816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351,023</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33,473</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100,876</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79,394</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26,128</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508,581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590,894</w:t>
            </w: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(87,108)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(79,394)</w:t>
            </w:r>
          </w:p>
        </w:tc>
      </w:tr>
      <w:tr>
        <w:trPr>
          <w:trHeight w:val="248"/>
        </w:trPr>
        <w:tc>
          <w:tcPr>
            <w:tcW w:w="4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421,473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511,500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20" w:right="40" w:hanging="494"/>
        <w:spacing w:after="0" w:line="261"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284,816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351,023</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26,128</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(b)</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r>
      <w:tr>
        <w:trPr>
          <w:trHeight w:val="248"/>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300,728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371,242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72,047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75,809</w:t>
            </w:r>
          </w:p>
        </w:tc>
      </w:tr>
      <w:tr>
        <w:trPr>
          <w:trHeight w:val="22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77,893</w:t>
            </w:r>
          </w:p>
        </w:tc>
      </w:tr>
    </w:tbl>
    <w:p>
      <w:pPr>
        <w:spacing w:after="0" w:line="99" w:lineRule="exact"/>
        <w:rPr>
          <w:sz w:val="20"/>
          <w:szCs w:val="20"/>
          <w:color w:val="auto"/>
        </w:rPr>
      </w:pPr>
    </w:p>
    <w:p>
      <w:pPr>
        <w:ind w:left="520" w:right="40" w:hanging="494"/>
        <w:spacing w:after="0" w:line="241"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14" w:lineRule="exact"/>
        <w:rPr>
          <w:rFonts w:ascii="Times New Roman" w:cs="Times New Roman" w:eastAsia="Times New Roman" w:hAnsi="Times New Roman"/>
          <w:sz w:val="14"/>
          <w:szCs w:val="14"/>
          <w:color w:val="auto"/>
        </w:rPr>
      </w:pPr>
    </w:p>
    <w:p>
      <w:pPr>
        <w:ind w:left="520" w:right="40" w:hanging="494"/>
        <w:spacing w:after="0" w:line="241"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thirteen and thirty-nine weeks ended November 2, 2024 and October 28, 2023, this represents the estimated tax effect (by using the projected full year tax rates for the respective years) of the total adjustments made to arrive at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2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96,891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57,476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387,912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301,042</w:t>
            </w: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(62,707)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7"/>
              </w:rPr>
              <w:t>(42,345)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(136,445)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rPr>
              <w:t>(150,191)</w:t>
            </w:r>
          </w:p>
        </w:tc>
      </w:tr>
      <w:tr>
        <w:trPr>
          <w:trHeight w:val="248"/>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34,184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15,131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251,467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150,851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repurchase common stock. We fund these liquidity requirements through cash and cash equivalents, cash generated from operating activities, issuances of debt (such as the Notes) and borrowings under our ABL Facility. On November 2, 2024, our cash and cash equivalents totaled $296.0 million. We believe our cash and cash equivalents, as well as our availability under the ABL Facility, will be sufficient to fund our cash requirements for the next 12 months and the longer term foreseeable future.</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2, 2024, the Company's long-term debt and interest rates consist of (see Note 4 to the accompanying financial statements):</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- 6.00% fixed rate senior secured notes with $400 million in principal outstanding and full principal maturing November 15, 2027;</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- 8.88% variable rate term-loan with $89.5 million in principal outstanding maturing November 6, 2027 and quarterly principal payments of $750 thousand;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$1.0 billion commitment on a variable rate secured asset-based revolving credit facility with no principal outstanding maturing March 8, 2029.</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current debt obligations by fiscal year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After 2028</w:t>
            </w: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87,956</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110,034</w:t>
            </w:r>
          </w:p>
        </w:tc>
      </w:tr>
      <w:tr>
        <w:trPr>
          <w:trHeight w:val="230"/>
        </w:trPr>
        <w:tc>
          <w:tcPr>
            <w:tcW w:w="3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424,000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484,000</w:t>
            </w:r>
          </w:p>
        </w:tc>
      </w:tr>
      <w:tr>
        <w:trPr>
          <w:trHeight w:val="230"/>
        </w:trPr>
        <w:tc>
          <w:tcPr>
            <w:tcW w:w="3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w:t>
            </w:r>
          </w:p>
        </w:tc>
      </w:tr>
    </w:tbl>
    <w:p>
      <w:pPr>
        <w:spacing w:after="0" w:line="85" w:lineRule="exact"/>
        <w:rPr>
          <w:sz w:val="20"/>
          <w:szCs w:val="20"/>
          <w:color w:val="auto"/>
        </w:rPr>
      </w:pPr>
    </w:p>
    <w:p>
      <w:pPr>
        <w:ind w:left="220" w:hanging="194"/>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discount and debt issuance costs and are approximated based on projected interest rates and assume no unscheduled principal payments.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debt issuance costs and assumes Notes are paid in full at maturity date.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minimum revolving credit commitment of $1.0 billion and assumes no balances drawn on our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977,254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985,447</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9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988,447</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predominantly lease store locations, distribution centers, office space and certain equipment under operating leases expiring between fiscal years 2024 and 2044. Operating lease obligations include future minimum lease payments under all of our non-cancelable operating leases at November 2, 2024. The following table summarizes our remaining operating lease obligations by fiscal year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2028</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240,761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223,179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1,126,715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2,071,611</w:t>
            </w:r>
          </w:p>
        </w:tc>
      </w:tr>
    </w:tbl>
    <w:p>
      <w:pPr>
        <w:spacing w:after="0" w:line="85" w:lineRule="exact"/>
        <w:rPr>
          <w:sz w:val="20"/>
          <w:szCs w:val="20"/>
          <w:color w:val="auto"/>
        </w:rPr>
      </w:pPr>
    </w:p>
    <w:p>
      <w:pPr>
        <w:ind w:left="220" w:hanging="194"/>
        <w:spacing w:after="0"/>
        <w:tabs>
          <w:tab w:leader="none" w:pos="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lease payments have not been reduced by sublease rentals of $2.0 million due in the future under non-cancelable sub-leases.</w:t>
      </w:r>
    </w:p>
    <w:p>
      <w:pPr>
        <w:spacing w:after="0" w:line="5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include stores where we have an executed contract but have not taken possession of the location as of November 2, 2024.</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2023, the Board of Directors approved a new share repurchase program (the "2023 Share Repurchase Program") under which the Company was authorized to purchase up to $600 million of its outstanding shares during the three-year period ending November 29, 2026. The 2023 Share Repurchase Program did not obligate the Company to acquire any particular number of common shares, and the program may be suspended, extended, modified or discontinued at any time. As of November 2, 2024, the Company had $423.0 million remaining for share repurchases under the 2023 Share Repurchase Program (see Note 2 to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year-to-date 2024 third quarter (dollar amounts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20" w:type="dxa"/>
            <w:vAlign w:val="bottom"/>
          </w:tcPr>
          <w:p>
            <w:pPr>
              <w:spacing w:after="0"/>
              <w:rPr>
                <w:sz w:val="17"/>
                <w:szCs w:val="17"/>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3"/>
        </w:trPr>
        <w:tc>
          <w:tcPr>
            <w:tcW w:w="5480" w:type="dxa"/>
            <w:vAlign w:val="bottom"/>
          </w:tcPr>
          <w:p>
            <w:pPr>
              <w:spacing w:after="0"/>
              <w:rPr>
                <w:sz w:val="21"/>
                <w:szCs w:val="2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60" w:type="dxa"/>
            <w:vAlign w:val="bottom"/>
          </w:tcPr>
          <w:p>
            <w:pPr>
              <w:spacing w:after="0"/>
              <w:rPr>
                <w:sz w:val="21"/>
                <w:szCs w:val="21"/>
                <w:color w:val="auto"/>
              </w:rPr>
            </w:pPr>
          </w:p>
        </w:tc>
        <w:tc>
          <w:tcPr>
            <w:tcW w:w="158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640" w:type="dxa"/>
            <w:vAlign w:val="bottom"/>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Repurchased </w:t>
            </w:r>
            <w:r>
              <w:rPr>
                <w:rFonts w:ascii="Times New Roman" w:cs="Times New Roman" w:eastAsia="Times New Roman" w:hAnsi="Times New Roman"/>
                <w:sz w:val="23"/>
                <w:szCs w:val="23"/>
                <w:b w:val="1"/>
                <w:bCs w:val="1"/>
                <w:color w:val="auto"/>
                <w:vertAlign w:val="superscript"/>
              </w:rPr>
              <w:t>(1)</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4, 2024 to May 4, 2024)</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1,983,967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122,425</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5, 2024 to August 3, 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97,900</w:t>
            </w: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Third Quarter (August 4, 2024 to November 2, 2024) </w:t>
            </w:r>
            <w:r>
              <w:rPr>
                <w:rFonts w:ascii="Times New Roman" w:cs="Times New Roman" w:eastAsia="Times New Roman" w:hAnsi="Times New Roman"/>
                <w:sz w:val="23"/>
                <w:szCs w:val="23"/>
                <w:color w:val="auto"/>
                <w:vertAlign w:val="superscript"/>
              </w:rPr>
              <w:t>(2)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53,441</w:t>
            </w: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 Repurchase Activity</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4,837,850</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273,766</w:t>
            </w:r>
          </w:p>
        </w:tc>
      </w:tr>
      <w:tr>
        <w:trPr>
          <w:trHeight w:val="21"/>
        </w:trPr>
        <w:tc>
          <w:tcPr>
            <w:tcW w:w="54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60" w:hanging="207"/>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unpaid excise taxes.</w:t>
      </w:r>
    </w:p>
    <w:p>
      <w:pPr>
        <w:spacing w:after="0" w:line="41" w:lineRule="exact"/>
        <w:rPr>
          <w:rFonts w:ascii="Times New Roman" w:cs="Times New Roman" w:eastAsia="Times New Roman" w:hAnsi="Times New Roman"/>
          <w:sz w:val="14"/>
          <w:szCs w:val="14"/>
          <w:color w:val="auto"/>
        </w:rPr>
      </w:pPr>
    </w:p>
    <w:p>
      <w:pPr>
        <w:ind w:left="260" w:hanging="207"/>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Part II, Item 2 - Unregistered Sales of Equity Securities and Use of Proceeds for further detail on the 2024 third quarter share repurchases.</w:t>
      </w:r>
    </w:p>
    <w:p>
      <w:pPr>
        <w:spacing w:after="0" w:line="37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December 4 2024, the Board of Directors of the Company approved a new share repurchase program (the "2024 Share Repurchase Program", which will replace the 2023 Share Repurchase Program) under which the Company is authorized to purchase up to $700 million of its outstanding shares during the three-year period ending December 4, 2027 (see Note 11 to the accompanying financial statements).</w:t>
      </w: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quarterly dividend payments for the year-to-date 2024 (amounts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20" w:type="dxa"/>
            <w:vAlign w:val="bottom"/>
          </w:tcPr>
          <w:p>
            <w:pPr>
              <w:spacing w:after="0"/>
              <w:rPr>
                <w:sz w:val="17"/>
                <w:szCs w:val="17"/>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Dividends Paid</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4, 2024 to May 4,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26, 2024</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5, 2024 to August 3, 2024)</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(August 4, 2024 to November 2, 2024) (2)</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19, 2024</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4, 2024, the Company's Board of Directors declared a quarterly cash dividend with respect to the fiscal quarter ended November 2, 2024, of $0.11 per share of the Company's common stock, payable on January 15, 2025, to stockholders of record as of the close of business on December 18,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our capital expenditures for the thirty-nine weeks ended November 2, 2024 and October 28, 2023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6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280" w:type="dxa"/>
            <w:vAlign w:val="bottom"/>
          </w:tcPr>
          <w:p>
            <w:pPr>
              <w:spacing w:after="0"/>
              <w:rPr>
                <w:sz w:val="19"/>
                <w:szCs w:val="19"/>
                <w:color w:val="auto"/>
              </w:rPr>
            </w:pPr>
          </w:p>
        </w:tc>
        <w:tc>
          <w:tcPr>
            <w:tcW w:w="1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73,321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75,156</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135,866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151,963</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ind w:firstLine="324"/>
        <w:spacing w:after="0" w:line="271" w:lineRule="auto"/>
        <w:rPr>
          <w:sz w:val="20"/>
          <w:szCs w:val="20"/>
          <w:color w:val="auto"/>
        </w:rPr>
      </w:pPr>
      <w:r>
        <w:rPr>
          <w:rFonts w:ascii="Times New Roman" w:cs="Times New Roman" w:eastAsia="Times New Roman" w:hAnsi="Times New Roman"/>
          <w:sz w:val="18"/>
          <w:szCs w:val="18"/>
          <w:color w:val="auto"/>
        </w:rPr>
        <w:t>We expect capital expenditures for fiscal year 2024 to be between $185 million and $210 million. The following table summarizes our forecasted allocation of capital expenditures for fiscal year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319" w:lineRule="exact"/>
        <w:rPr>
          <w:sz w:val="20"/>
          <w:szCs w:val="20"/>
          <w:color w:val="auto"/>
        </w:rPr>
      </w:pPr>
    </w:p>
    <w:p>
      <w:pPr>
        <w:ind w:right="300" w:firstLine="324"/>
        <w:spacing w:after="0" w:line="470" w:lineRule="auto"/>
        <w:rPr>
          <w:sz w:val="20"/>
          <w:szCs w:val="20"/>
          <w:color w:val="auto"/>
        </w:rPr>
      </w:pPr>
      <w:r>
        <w:rPr>
          <w:rFonts w:ascii="Times New Roman" w:cs="Times New Roman" w:eastAsia="Times New Roman" w:hAnsi="Times New Roman"/>
          <w:sz w:val="18"/>
          <w:szCs w:val="18"/>
          <w:color w:val="auto"/>
        </w:rPr>
        <w:t xml:space="preserve">We review forecasted capital expenditures throughout the year and will adjust or our capital expenditures based on business conditions at that time. </w:t>
      </w:r>
      <w:r>
        <w:rPr>
          <w:rFonts w:ascii="Times New Roman" w:cs="Times New Roman" w:eastAsia="Times New Roman" w:hAnsi="Times New Roman"/>
          <w:sz w:val="18"/>
          <w:szCs w:val="18"/>
          <w:b w:val="1"/>
          <w:bCs w:val="1"/>
          <w:i w:val="1"/>
          <w:iCs w:val="1"/>
          <w:color w:val="auto"/>
        </w:rPr>
        <w:t>Cash Flows for the Thirty-Nine Weeks Ended November 2, 2024 and October 28,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56"/>
        </w:trPr>
        <w:tc>
          <w:tcPr>
            <w:tcW w:w="7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220" w:type="dxa"/>
            <w:vAlign w:val="bottom"/>
          </w:tcPr>
          <w:p>
            <w:pPr>
              <w:spacing w:after="0"/>
              <w:rPr>
                <w:sz w:val="19"/>
                <w:szCs w:val="19"/>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October 28, 2023</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387,912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301,042</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(136,445)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(150,191)</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(213,169)</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(51,924)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(62,318)</w:t>
            </w:r>
          </w:p>
        </w:tc>
      </w:tr>
      <w:tr>
        <w:trPr>
          <w:trHeight w:val="20"/>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18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for the year-to-date 2024 increased $86.9 million, compared to the year-to-date 2023. This increase in cash was attributable to:</w:t>
      </w:r>
    </w:p>
    <w:p>
      <w:pPr>
        <w:spacing w:after="0" w:line="10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$147.9 million net increase in cash flows provided by operating assets and liabilities;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million net increase in non-cash charges;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$66.2 million decrease in net income.</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in cash flows from operating assets and liabilities was primarily attributable to:</w:t>
      </w:r>
    </w:p>
    <w:p>
      <w:pPr>
        <w:spacing w:after="0" w:line="171" w:lineRule="exact"/>
        <w:rPr>
          <w:sz w:val="20"/>
          <w:szCs w:val="20"/>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$86.0 million increase in cash flows from accounts payable, due to timing of payments for increased merchandise inventories relative to the prior year period;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$73.8 million increase in cash flows from prepaid expenses and other current assets, due to timing of payments relative to the prior year period;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million increase in cash flows from accrued expenses and other current liabilities, primarily driven by a $25.5 million increase in accrued personnel costs related to bonuses and timing of payments;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 million increase in cash flows from income taxes payables, due to timing of payments relative to the prior year period;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$122.1 million decrease in cash flows from merchandise inventories, net due to lower sales in the current year period.</w:t>
      </w:r>
    </w:p>
    <w:p>
      <w:pPr>
        <w:spacing w:after="0" w:line="24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decreased $13.7 million in the year-to-date 2024 compared to the year-to-date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in cash used in investing activities was primarily attributable to:</w:t>
      </w:r>
    </w:p>
    <w:p>
      <w:pPr>
        <w:spacing w:after="0" w:line="105" w:lineRule="exact"/>
        <w:rPr>
          <w:sz w:val="20"/>
          <w:szCs w:val="20"/>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million lower capital expenditures, primarily driven by decreased spending related to Corporate, e-commerce, and information technology programs in the year-to-date 2024 compared to the year-to-date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increased $90.2 million in the year-to-date 2024, compared to the year-to-date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drivers of the increase were:</w:t>
      </w:r>
    </w:p>
    <w:p>
      <w:pPr>
        <w:spacing w:after="0" w:line="105" w:lineRule="exact"/>
        <w:rPr>
          <w:sz w:val="20"/>
          <w:szCs w:val="20"/>
          <w:color w:val="auto"/>
        </w:rPr>
      </w:pPr>
    </w:p>
    <w:p>
      <w:pPr>
        <w:ind w:left="660" w:right="54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$73.7 million increase in cash outflows primarily caused by an increase in repurchases and simultaneous retirement of common stock in the current year;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million decrease in proceeds from the exercise of stock options;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million increase in debt issuance fees paid during the current year as part of the ABL Amendment;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increase in dividends paid during the current year.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included under Part I, Item 1 of this Quarterly Report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10—Commitments to our unaudited consolidated financial statements included under Part I, Item 1 of this Quarterly Report is incorporated herein by reference.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November 2, 2024,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4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repurchases and cancellations of shares of our common stock during the 2024 third quarter:</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24"/>
                <w:szCs w:val="24"/>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that May Yet</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89"/>
        </w:trPr>
        <w:tc>
          <w:tcPr>
            <w:tcW w:w="45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80" w:type="dxa"/>
            <w:vAlign w:val="bottom"/>
            <w:gridSpan w:val="3"/>
            <w:vMerge w:val="continue"/>
          </w:tcPr>
          <w:p>
            <w:pPr>
              <w:spacing w:after="0"/>
              <w:rPr>
                <w:sz w:val="16"/>
                <w:szCs w:val="16"/>
                <w:color w:val="auto"/>
              </w:rPr>
            </w:pPr>
          </w:p>
        </w:tc>
        <w:tc>
          <w:tcPr>
            <w:tcW w:w="17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6"/>
                <w:szCs w:val="16"/>
                <w:color w:val="auto"/>
              </w:rPr>
            </w:pPr>
          </w:p>
        </w:tc>
        <w:tc>
          <w:tcPr>
            <w:tcW w:w="14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29"/>
        </w:trPr>
        <w:tc>
          <w:tcPr>
            <w:tcW w:w="4580" w:type="dxa"/>
            <w:vAlign w:val="bottom"/>
            <w:gridSpan w:val="2"/>
            <w:vMerge w:val="continue"/>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 Share (b)</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 Programs (c)</w:t>
            </w: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 (c)</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4, 2024 to August 31, 2024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446,425,298</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 2024 to October 5, 2024</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446,425,298</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6, 2024 to November 2,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423,016,153</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1,044,027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1,044,027</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423,016,153</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1940" w:hanging="252"/>
        <w:spacing w:after="0" w:line="261" w:lineRule="auto"/>
        <w:tabs>
          <w:tab w:leader="none" w:pos="21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repurchased excludes shares which were net-settled, and therefore not issued, to cover employee withholding related to the vesting of certain restricted stock awards and exercise of certain stock option awards.</w:t>
      </w:r>
    </w:p>
    <w:p>
      <w:pPr>
        <w:ind w:left="220" w:hanging="212"/>
        <w:spacing w:after="0"/>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excise taxes.</w:t>
      </w:r>
    </w:p>
    <w:p>
      <w:pPr>
        <w:spacing w:after="0" w:line="14" w:lineRule="exact"/>
        <w:rPr>
          <w:rFonts w:ascii="Times New Roman" w:cs="Times New Roman" w:eastAsia="Times New Roman" w:hAnsi="Times New Roman"/>
          <w:sz w:val="14"/>
          <w:szCs w:val="14"/>
          <w:color w:val="auto"/>
        </w:rPr>
      </w:pPr>
    </w:p>
    <w:p>
      <w:pPr>
        <w:jc w:val="both"/>
        <w:ind w:left="260" w:hanging="252"/>
        <w:spacing w:after="0" w:line="255" w:lineRule="auto"/>
        <w:tabs>
          <w:tab w:leader="none" w:pos="21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29, 2023, the Board of Directors of the Company authorized a share repurchase program (the "2023 Share Repurchase Program") under which the Company was authorized to purchase up to $600 million of its outstanding shares during the three-year period ending November 29, 2026. The 2023 Share Repurchase Program did not obligate the Company to acquire any particular number of common shares, and the program may be suspended, extended, modified or discontinued at any time. As of November 2, 2024, approximately $423.0 million remained available for share repurchases pursuant to the 2023 Share Repurchase Program (see Note 2 to the accompanying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November 2, 2024, no director or officer (as defined in Rule 16a-1(f) under the Exchange Act)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440" w:type="dxa"/>
            <w:vAlign w:val="bottom"/>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Amended and Restated Certificate of Incorporation of the Registrant (incorporated by reference to Exhibit 3.1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Report on Form 8-K filed on October 6, 2020).</w:t>
            </w:r>
          </w:p>
        </w:tc>
      </w:tr>
      <w:tr>
        <w:trPr>
          <w:trHeight w:val="189"/>
        </w:trPr>
        <w:tc>
          <w:tcPr>
            <w:tcW w:w="4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Certificate of Change of Registered Agent and/or Registered Office of the Registrant (incorporated by reference to Exhibit 3.1 to the</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Registrant’s Current Report on Form 8-K filed on June 1, 2023).</w:t>
            </w:r>
          </w:p>
        </w:tc>
      </w:tr>
      <w:tr>
        <w:trPr>
          <w:trHeight w:val="189"/>
        </w:trPr>
        <w:tc>
          <w:tcPr>
            <w:tcW w:w="4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3.2 to the Registrant's Quarterly Report on</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10-Q filed on December 7, 2022).</w:t>
            </w:r>
          </w:p>
        </w:tc>
      </w:tr>
      <w:tr>
        <w:trPr>
          <w:trHeight w:val="189"/>
        </w:trPr>
        <w:tc>
          <w:tcPr>
            <w:tcW w:w="5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189"/>
        </w:trPr>
        <w:tc>
          <w:tcPr>
            <w:tcW w:w="15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tcPr>
          <w:p>
            <w:pPr>
              <w:spacing w:after="0"/>
              <w:rPr>
                <w:sz w:val="15"/>
                <w:szCs w:val="15"/>
                <w:color w:val="auto"/>
              </w:rPr>
            </w:pPr>
          </w:p>
        </w:tc>
        <w:tc>
          <w:tcPr>
            <w:tcW w:w="14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20" w:type="dxa"/>
            <w:vAlign w:val="bottom"/>
            <w:shd w:val="clear" w:color="auto" w:fill="CCEEFF"/>
          </w:tcPr>
          <w:p>
            <w:pPr>
              <w:spacing w:after="0"/>
              <w:rPr>
                <w:sz w:val="20"/>
                <w:szCs w:val="20"/>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740" w:type="dxa"/>
            <w:vAlign w:val="bottom"/>
          </w:tcPr>
          <w:p>
            <w:pPr>
              <w:spacing w:after="0"/>
              <w:rPr>
                <w:sz w:val="23"/>
                <w:szCs w:val="23"/>
                <w:color w:val="auto"/>
              </w:rPr>
            </w:pPr>
          </w:p>
        </w:tc>
      </w:tr>
      <w:tr>
        <w:trPr>
          <w:trHeight w:val="230"/>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57"/>
        </w:trPr>
        <w:tc>
          <w:tcPr>
            <w:tcW w:w="20" w:type="dxa"/>
            <w:vAlign w:val="bottom"/>
            <w:shd w:val="clear" w:color="auto" w:fill="CCEEFF"/>
          </w:tcPr>
          <w:p>
            <w:pPr>
              <w:spacing w:after="0"/>
              <w:rPr>
                <w:sz w:val="22"/>
                <w:szCs w:val="22"/>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 contract or compensatory plans or arrangements.</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December 10, 2024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p>
      <w:pPr>
        <w:ind w:left="6000"/>
        <w:spacing w:after="0"/>
        <w:tabs>
          <w:tab w:leader="none" w:pos="6460" w:val="left"/>
          <w:tab w:leader="none" w:pos="686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EARL CARLTON FORD,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Earl Carlton Ford, IV</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08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Lawrence,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November 2, 2024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626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8"/>
              </w:rPr>
              <w:t>Date: December 10, 2024</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626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26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26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Earl Carlton Ford, IV,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November 2, 2024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626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8"/>
              </w:rPr>
              <w:t>Date: December 10, 2024</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626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26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26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November 2, 2024,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33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8"/>
              </w:rPr>
              <w:t>Date: December 10, 2024</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3320" w:type="dxa"/>
            <w:vAlign w:val="bottom"/>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32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2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November 2, 2024, as filed with the Securities and Exchange Commission on the date hereof (the “Report”), I, Earl Carlton Ford, IV,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33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8"/>
              </w:rPr>
              <w:t>Date: December 10, 2024</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3320" w:type="dxa"/>
            <w:vAlign w:val="bottom"/>
          </w:tcPr>
          <w:p>
            <w:pPr>
              <w:spacing w:after="0"/>
              <w:rPr>
                <w:sz w:val="18"/>
                <w:szCs w:val="18"/>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332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3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90"/>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lowerRoman"/>
      <w:start w:val="2"/>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0" Type="http://schemas.openxmlformats.org/officeDocument/2006/relationships/hyperlink" Target="https://www.sec.gov/Archives/edgar/data/1817358/000119312520264744/d910645dex31.htm" TargetMode="External"/><Relationship Id="rId51" Type="http://schemas.openxmlformats.org/officeDocument/2006/relationships/hyperlink" Target="https://www.sec.gov/Archives/edgar/data/1817358/000181735823000123/ex31toformcertofchangeofre.htm" TargetMode="External"/><Relationship Id="rId52" Type="http://schemas.openxmlformats.org/officeDocument/2006/relationships/hyperlink" Target="https://www.sec.gov/Archives/edgar/data/1817358/000181735822000182/exhibit3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2024-12-10T15:16:48Z</dcterms:created>
  <dcterms:modified xsi:type="dcterms:W3CDTF">2024-12-10T15:16:48Z</dcterms:modified>
</cp:coreProperties>
</file>