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0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300" w:type="dxa"/>
            <w:vAlign w:val="bottom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5266055</wp:posOffset>
            </wp:positionH>
            <wp:positionV relativeFrom="paragraph">
              <wp:posOffset>-626745</wp:posOffset>
            </wp:positionV>
            <wp:extent cx="58420" cy="6400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3987165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15875</wp:posOffset>
            </wp:positionV>
            <wp:extent cx="7046595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Johnson Samuel J</w:t>
        </w:r>
      </w:hyperlink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 w:line="3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ACADEMY SPORTS AND OUTDOORS, INC. 1800 NORTH MASON ROAD</w:t>
      </w:r>
    </w:p>
    <w:p>
      <w:pPr>
        <w:spacing w:after="0" w:line="192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(Street)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KATY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7"/>
          <w:szCs w:val="17"/>
          <w:color w:val="0000FF"/>
        </w:rPr>
        <w:t>TX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77449</w:t>
      </w: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3820" w:type="dxa"/>
            <w:vAlign w:val="bottom"/>
            <w:gridSpan w:val="4"/>
          </w:tcPr>
          <w:p>
            <w:pPr>
              <w:ind w:left="60"/>
              <w:spacing w:after="0" w:line="138" w:lineRule="exact"/>
              <w:rPr>
                <w:rFonts w:ascii="Arial" w:cs="Arial" w:eastAsia="Arial" w:hAnsi="Arial"/>
                <w:sz w:val="15"/>
                <w:szCs w:val="15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5"/>
                  <w:szCs w:val="15"/>
                  <w:color w:val="0000EE"/>
                </w:rPr>
                <w:t xml:space="preserve">Academy Sports &amp; Outdoors, Inc. </w:t>
              </w:r>
            </w:hyperlink>
            <w:r>
              <w:rPr>
                <w:rFonts w:ascii="Arial" w:cs="Arial" w:eastAsia="Arial" w:hAnsi="Arial"/>
                <w:sz w:val="15"/>
                <w:szCs w:val="15"/>
                <w:color w:val="000000"/>
              </w:rPr>
              <w:t>[</w:t>
            </w:r>
            <w:r>
              <w:rPr>
                <w:rFonts w:ascii="Arial" w:cs="Arial" w:eastAsia="Arial" w:hAnsi="Arial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ASO</w:t>
            </w:r>
            <w:r>
              <w:rPr>
                <w:rFonts w:ascii="Arial" w:cs="Arial" w:eastAsia="Arial" w:hAnsi="Arial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5"/>
                <w:szCs w:val="15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20" w:type="dxa"/>
            <w:vAlign w:val="bottom"/>
            <w:gridSpan w:val="2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EVP, Retail Operations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8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09/10/2021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7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80"/>
        <w:spacing w:after="0" w:line="218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20" w:space="120"/>
            <w:col w:w="7240"/>
          </w:cols>
          <w:pgMar w:left="460" w:top="221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0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21,862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09/10/2021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21,862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2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21,862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Granted under the Company's 2020 Omnibus Incentive Plan.</w:t>
      </w:r>
    </w:p>
    <w:p>
      <w:pPr>
        <w:spacing w:after="0" w:line="44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contingent right upon vesting to receive one share of Issuer common stock, par value $0.01 per share ("Common Stock").</w:t>
      </w:r>
    </w:p>
    <w:p>
      <w:pPr>
        <w:spacing w:after="0" w:line="44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80" w:firstLine="2"/>
        <w:spacing w:after="0" w:line="249" w:lineRule="auto"/>
        <w:tabs>
          <w:tab w:leader="none" w:pos="16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On September 10, 2021, subject to the Reporting Person's continued services with the Issuer, the Reporting Person was granted 21,862 time-based restricted stock units that vest 50% on each the second and third anniversary of the date of grant.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97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/s/ Gary Holland, Attorney-in-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09/10/2021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60" w:type="dxa"/>
            <w:vAlign w:val="bottom"/>
            <w:vMerge w:val="restart"/>
          </w:tcPr>
          <w:p>
            <w:pPr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fact</w:t>
            </w:r>
          </w:p>
        </w:tc>
        <w:tc>
          <w:tcPr>
            <w:tcW w:w="19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5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82299" TargetMode="External"/><Relationship Id="rId13" Type="http://schemas.openxmlformats.org/officeDocument/2006/relationships/hyperlink" Target="http://www.sec.gov/cgi-bin/browse-edgar?action=getcompany&amp;CIK=00018173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2021-09-10T17:21:15Z</dcterms:created>
  <dcterms:modified xsi:type="dcterms:W3CDTF">2021-09-10T17:21:15Z</dcterms:modified>
</cp:coreProperties>
</file>