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0592x1_drs_100-regcov_pg1"/>
        <w:bookmarkStart w:id="1" w:name="filename1.htm"/>
        <w:bookmarkStart w:id="2" w:name="ksfilename1"/>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UNITED STATES</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6858000" cy="776605"/>
                <wp:effectExtent l="0" t="0" r="0" b="0"/>
                <wp:wrapSquare wrapText="largest"/>
                <wp:docPr id="1" name="Frame1"/>
                <a:graphic xmlns:a="http://schemas.openxmlformats.org/drawingml/2006/main">
                  <a:graphicData uri="http://schemas.microsoft.com/office/word/2010/wordprocessingShape">
                    <wps:wsp>
                      <wps:cNvSpPr txBox="1"/>
                      <wps:spPr>
                        <a:xfrm>
                          <a:off x="0" y="0"/>
                          <a:ext cx="6858000" cy="776605"/>
                        </a:xfrm>
                        <a:prstGeom prst="rect"/>
                      </wps:spPr>
                      <wps:txbx>
                        <w:txbxContent>
                          <w:p>
                            <w:pPr>
                              <w:pStyle w:val="TextBody"/>
                              <w:spacing w:before="550" w:after="283"/>
                              <w:jc w:val="center"/>
                              <w:rPr>
                                <w:rFonts w:ascii="Times New Roman;Times;serif" w:hAnsi="Times New Roman;Times;serif"/>
                                <w:b/>
                                <w:color w:val="000000"/>
                                <w:sz w:val="17"/>
                              </w:rPr>
                            </w:pPr>
                            <w:r>
                              <w:rPr>
                                <w:rFonts w:ascii="Times New Roman;Times;serif" w:hAnsi="Times New Roman;Times;serif"/>
                                <w:b/>
                                <w:color w:val="000000"/>
                                <w:sz w:val="17"/>
                              </w:rPr>
                              <w:t>As confidentially submitted with the Securities and Exchange Commission on September 1, 2021</w:t>
                            </w:r>
                          </w:p>
                          <w:p>
                            <w:pPr>
                              <w:pStyle w:val="TextBody"/>
                              <w:spacing w:before="0" w:after="283"/>
                              <w:jc w:val="right"/>
                              <w:rPr>
                                <w:rFonts w:ascii="Times New Roman;Times;serif" w:hAnsi="Times New Roman;Times;serif"/>
                                <w:b/>
                                <w:color w:val="000000"/>
                                <w:sz w:val="17"/>
                              </w:rPr>
                            </w:pPr>
                            <w:r>
                              <w:rPr>
                                <w:rFonts w:ascii="Times New Roman;Times;serif" w:hAnsi="Times New Roman;Times;serif"/>
                                <w:b/>
                                <w:color w:val="000000"/>
                                <w:sz w:val="17"/>
                              </w:rPr>
                              <w:t>Registration No. 333-    </w:t>
                            </w:r>
                          </w:p>
                        </w:txbxContent>
                      </wps:txbx>
                      <wps:bodyPr anchor="t" lIns="0" tIns="0" rIns="0" bIns="0">
                        <a:noAutofit/>
                      </wps:bodyPr>
                    </wps:wsp>
                  </a:graphicData>
                </a:graphic>
              </wp:anchor>
            </w:drawing>
          </mc:Choice>
          <mc:Fallback>
            <w:pict>
              <v:rect style="position:absolute;rotation:0;width:540pt;height:61.15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550" w:after="283"/>
                        <w:jc w:val="center"/>
                        <w:rPr>
                          <w:rFonts w:ascii="Times New Roman;Times;serif" w:hAnsi="Times New Roman;Times;serif"/>
                          <w:b/>
                          <w:color w:val="000000"/>
                          <w:sz w:val="17"/>
                        </w:rPr>
                      </w:pPr>
                      <w:r>
                        <w:rPr>
                          <w:rFonts w:ascii="Times New Roman;Times;serif" w:hAnsi="Times New Roman;Times;serif"/>
                          <w:b/>
                          <w:color w:val="000000"/>
                          <w:sz w:val="17"/>
                        </w:rPr>
                        <w:t>As confidentially submitted with the Securities and Exchange Commission on September 1, 2021</w:t>
                      </w:r>
                    </w:p>
                    <w:p>
                      <w:pPr>
                        <w:pStyle w:val="TextBody"/>
                        <w:spacing w:before="0" w:after="283"/>
                        <w:jc w:val="right"/>
                        <w:rPr>
                          <w:rFonts w:ascii="Times New Roman;Times;serif" w:hAnsi="Times New Roman;Times;serif"/>
                          <w:b/>
                          <w:color w:val="000000"/>
                          <w:sz w:val="17"/>
                        </w:rPr>
                      </w:pPr>
                      <w:r>
                        <w:rPr>
                          <w:rFonts w:ascii="Times New Roman;Times;serif" w:hAnsi="Times New Roman;Times;serif"/>
                          <w:b/>
                          <w:color w:val="000000"/>
                          <w:sz w:val="17"/>
                        </w:rPr>
                        <w:t>Registration No. 333-    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0" cy="518795"/>
                <wp:effectExtent l="0" t="0" r="0" b="0"/>
                <wp:wrapSquare wrapText="largest"/>
                <wp:docPr id="2" name="Frame2"/>
                <a:graphic xmlns:a="http://schemas.openxmlformats.org/drawingml/2006/main">
                  <a:graphicData uri="http://schemas.microsoft.com/office/word/2010/wordprocessingShape">
                    <wps:wsp>
                      <wps:cNvSpPr txBox="1"/>
                      <wps:spPr>
                        <a:xfrm>
                          <a:off x="0" y="0"/>
                          <a:ext cx="6858000" cy="518795"/>
                        </a:xfrm>
                        <a:prstGeom prst="rect"/>
                      </wps:spPr>
                      <wps:txbx>
                        <w:txbxContent>
                          <w:p>
                            <w:pPr>
                              <w:pStyle w:val="TextBody"/>
                              <w:spacing w:before="12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xbxContent>
                      </wps:txbx>
                      <wps:bodyPr anchor="t" lIns="0" tIns="0" rIns="0" bIns="0">
                        <a:noAutofit/>
                      </wps:bodyPr>
                    </wps:wsp>
                  </a:graphicData>
                </a:graphic>
              </wp:anchor>
            </w:drawing>
          </mc:Choice>
          <mc:Fallback>
            <w:pict>
              <v:rect style="position:absolute;rotation:0;width:540pt;height:40.85pt;mso-wrap-distance-left:0pt;mso-wrap-distance-right:0pt;mso-wrap-distance-top:0pt;mso-wrap-distance-bottom:0pt;margin-top:0pt;mso-position-vertical:top;mso-position-vertical-relative:text;margin-left:-1.45pt;mso-position-horizontal:left;mso-position-horizontal-relative:text">
                <v:textbox>
                  <w:txbxContent>
                    <w:p>
                      <w:pPr>
                        <w:pStyle w:val="TextBody"/>
                        <w:spacing w:before="12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xbxContent>
                </v:textbox>
                <w10:wrap type="square" side="right"/>
              </v:rect>
            </w:pict>
          </mc:Fallback>
        </mc:AlternateConten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SECURITIES AND EXCHANGE COMMISSION</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Washington, D.C. 20549</w:t>
      </w:r>
    </w:p>
    <w:p>
      <w:pPr>
        <w:pStyle w:val="TextBody"/>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CONFIDENTIAL DRAFT SUBMISSION</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 S-1</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REGISTRATION STATEMENT</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UNDER</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SECURITIES ACT OF 1933</w:t>
      </w:r>
    </w:p>
    <w:p>
      <w:pPr>
        <w:pStyle w:val="TextBody"/>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Academy Sports and Outdoors,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(Exact name of registrant as specified in its charter)</w:t>
      </w:r>
    </w:p>
    <w:tbl>
      <w:tblPr>
        <w:tblW w:w="5957" w:type="dxa"/>
        <w:jc w:val="left"/>
        <w:tblInd w:w="0" w:type="dxa"/>
        <w:tblCellMar>
          <w:top w:w="0" w:type="dxa"/>
          <w:left w:w="0" w:type="dxa"/>
          <w:bottom w:w="0" w:type="dxa"/>
          <w:right w:w="0" w:type="dxa"/>
        </w:tblCellMar>
      </w:tblPr>
      <w:tblGrid>
        <w:gridCol w:w="2285"/>
        <w:gridCol w:w="23"/>
        <w:gridCol w:w="23"/>
        <w:gridCol w:w="2210"/>
        <w:gridCol w:w="23"/>
        <w:gridCol w:w="23"/>
        <w:gridCol w:w="1370"/>
      </w:tblGrid>
      <w:tr>
        <w:trPr/>
        <w:tc>
          <w:tcPr>
            <w:tcW w:w="2285"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Delaware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5940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85-1800912</w:t>
            </w:r>
          </w:p>
        </w:tc>
      </w:tr>
      <w:tr>
        <w:trPr/>
        <w:tc>
          <w:tcPr>
            <w:tcW w:w="2285"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(State or other jurisdiction of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incorporation or organization)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(Primary Standard Industrial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Classification Code Number)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(I.R.S. Employer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Identification No.)</w:t>
            </w:r>
          </w:p>
        </w:tc>
      </w:tr>
    </w:tbl>
    <w:p>
      <w:pPr>
        <w:pStyle w:val="TextBody"/>
        <w:spacing w:before="8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1800 North Mason Road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Katy, Texas 77449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(281) 646-5200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(Address, including zip code, and telephone number, including area code, of registrant’s principal executive offices)</w:t>
      </w:r>
    </w:p>
    <w:p>
      <w:pPr>
        <w:pStyle w:val="TextBody"/>
        <w:spacing w:before="8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Rene G. Casares, Esq.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Senior Vice President and General Counsel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1800 North Mason Road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Katy, Texas 77449 </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(281) 646-5200</w:t>
      </w:r>
    </w:p>
    <w:p>
      <w:pPr>
        <w:pStyle w:val="TextBody"/>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(Name, address, including zip code, and telephone number, including area code, of registrant’s agent for service)</w:t>
      </w:r>
    </w:p>
    <w:p>
      <w:pPr>
        <w:pStyle w:val="TextBody"/>
        <w:spacing w:before="80" w:after="283"/>
        <w:jc w:val="center"/>
        <w:rPr>
          <w:rFonts w:ascii="Times New Roman;Times;serif" w:hAnsi="Times New Roman;Times;serif"/>
          <w:b/>
          <w:i/>
          <w:color w:val="000000"/>
          <w:sz w:val="17"/>
        </w:rPr>
      </w:pPr>
      <w:r>
        <w:rPr>
          <w:rFonts w:ascii="Times New Roman;Times;serif" w:hAnsi="Times New Roman;Times;serif"/>
          <w:b/>
          <w:i/>
          <w:color w:val="000000"/>
          <w:sz w:val="17"/>
        </w:rPr>
        <w:t>With copies to:</w:t>
      </w:r>
    </w:p>
    <w:tbl>
      <w:tblPr>
        <w:tblW w:w="4736" w:type="dxa"/>
        <w:jc w:val="left"/>
        <w:tblInd w:w="0" w:type="dxa"/>
        <w:tblCellMar>
          <w:top w:w="0" w:type="dxa"/>
          <w:left w:w="0" w:type="dxa"/>
          <w:bottom w:w="0" w:type="dxa"/>
          <w:right w:w="0" w:type="dxa"/>
        </w:tblCellMar>
      </w:tblPr>
      <w:tblGrid>
        <w:gridCol w:w="2480"/>
        <w:gridCol w:w="23"/>
        <w:gridCol w:w="23"/>
        <w:gridCol w:w="2210"/>
      </w:tblGrid>
      <w:tr>
        <w:trPr/>
        <w:tc>
          <w:tcPr>
            <w:tcW w:w="2480"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Joseph H. Kaufman, Esq.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Sunny Cheong, Esq.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Simpson Thacher &amp; Bartlett LLP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425 Lexington Avenue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New York, New York 10017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(212) 455-2000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Marc D. Jaffe, Esq.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Ian D. Schuman, Esq.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Latham &amp; Watkins LLP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1271 Avenue of the Americas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 xml:space="preserve">New York, New York 10020 </w:t>
            </w:r>
          </w:p>
          <w:p>
            <w:pPr>
              <w:pStyle w:val="TableContents"/>
              <w:spacing w:before="0" w:after="283"/>
              <w:jc w:val="center"/>
              <w:rPr>
                <w:rFonts w:ascii="Times New Roman;Times;serif" w:hAnsi="Times New Roman;Times;serif"/>
                <w:b/>
                <w:color w:val="000000"/>
                <w:sz w:val="17"/>
              </w:rPr>
            </w:pPr>
            <w:r>
              <w:rPr>
                <w:rFonts w:ascii="Times New Roman;Times;serif" w:hAnsi="Times New Roman;Times;serif"/>
                <w:b/>
                <w:color w:val="000000"/>
                <w:sz w:val="17"/>
              </w:rPr>
              <w:t>(212) 906-1200</w:t>
            </w:r>
          </w:p>
        </w:tc>
      </w:tr>
    </w:tbl>
    <w:p>
      <w:pPr>
        <w:pStyle w:val="TextBody"/>
        <w:spacing w:before="60" w:after="283"/>
        <w:ind w:left="0" w:right="0" w:firstLine="400"/>
        <w:jc w:val="left"/>
        <w:rPr>
          <w:rFonts w:ascii="Times New Roman;Times;serif" w:hAnsi="Times New Roman;Times;serif"/>
          <w:b/>
          <w:color w:val="000000"/>
          <w:sz w:val="17"/>
        </w:rPr>
      </w:pPr>
      <w:r>
        <w:rPr>
          <w:rFonts w:ascii="Times New Roman;Times;serif" w:hAnsi="Times New Roman;Times;serif"/>
          <w:b/>
          <w:color w:val="000000"/>
          <w:sz w:val="17"/>
        </w:rPr>
        <w:t>Approximate date of commencement of proposed sale to the public</w:t>
      </w:r>
      <w:r>
        <w:rPr>
          <w:rFonts w:ascii="Times New Roman;Times;serif" w:hAnsi="Times New Roman;Times;serif"/>
          <w:b w:val="false"/>
          <w:color w:val="000000"/>
          <w:sz w:val="17"/>
        </w:rPr>
        <w:t xml:space="preserve">: As soon as practicable after this Registration Statement is declared effective. </w:t>
      </w:r>
    </w:p>
    <w:p>
      <w:pPr>
        <w:pStyle w:val="TextBody"/>
        <w:spacing w:before="60" w:after="283"/>
        <w:ind w:left="0" w:right="0" w:firstLine="400"/>
        <w:jc w:val="left"/>
        <w:rPr>
          <w:rFonts w:ascii="Times New Roman;Times;serif" w:hAnsi="Times New Roman;Times;serif"/>
          <w:color w:val="000000"/>
          <w:sz w:val="17"/>
        </w:rPr>
      </w:pPr>
      <w:r>
        <w:rPr>
          <w:rFonts w:ascii="Times New Roman;Times;serif" w:hAnsi="Times New Roman;Times;serif"/>
          <w:color w:val="000000"/>
          <w:sz w:val="17"/>
        </w:rPr>
        <w:t>If any of the securities being registered on this Form are to be offered on a delayed or continuous basis pursuant to Rule 415 under the Securities Act of 1933, check the following box:  ☐</w:t>
      </w:r>
    </w:p>
    <w:p>
      <w:pPr>
        <w:pStyle w:val="TextBody"/>
        <w:spacing w:before="60" w:after="283"/>
        <w:ind w:left="0" w:right="0" w:firstLine="400"/>
        <w:jc w:val="left"/>
        <w:rPr>
          <w:rFonts w:ascii="Times New Roman;Times;serif" w:hAnsi="Times New Roman;Times;serif"/>
          <w:color w:val="000000"/>
          <w:sz w:val="17"/>
        </w:rPr>
      </w:pPr>
      <w:r>
        <w:rPr>
          <w:rFonts w:ascii="Times New Roman;Times;serif" w:hAnsi="Times New Roman;Times;serif"/>
          <w:color w:val="000000"/>
          <w:sz w:val="17"/>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before="60" w:after="283"/>
        <w:ind w:left="0" w:right="0" w:firstLine="400"/>
        <w:jc w:val="left"/>
        <w:rPr>
          <w:rFonts w:ascii="Times New Roman;Times;serif" w:hAnsi="Times New Roman;Times;serif"/>
          <w:color w:val="000000"/>
          <w:sz w:val="17"/>
        </w:rPr>
      </w:pPr>
      <w:r>
        <w:rPr>
          <w:rFonts w:ascii="Times New Roman;Times;serif" w:hAnsi="Times New Roman;Times;serif"/>
          <w:color w:val="000000"/>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60" w:after="283"/>
        <w:ind w:left="0" w:right="0" w:firstLine="400"/>
        <w:jc w:val="left"/>
        <w:rPr>
          <w:rFonts w:ascii="Times New Roman;Times;serif" w:hAnsi="Times New Roman;Times;serif"/>
          <w:color w:val="000000"/>
          <w:sz w:val="17"/>
        </w:rPr>
      </w:pPr>
      <w:r>
        <w:rPr>
          <w:rFonts w:ascii="Times New Roman;Times;serif" w:hAnsi="Times New Roman;Times;serif"/>
          <w:color w:val="000000"/>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60" w:after="283"/>
        <w:ind w:left="0" w:right="0" w:firstLine="400"/>
        <w:jc w:val="left"/>
        <w:rPr>
          <w:rFonts w:ascii="Times New Roman;Times;serif" w:hAnsi="Times New Roman;Times;serif"/>
          <w:color w:val="000000"/>
          <w:sz w:val="17"/>
        </w:rPr>
      </w:pPr>
      <w:r>
        <w:rPr>
          <w:rFonts w:ascii="Times New Roman;Times;serif" w:hAnsi="Times New Roman;Times;serif"/>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CellMar>
          <w:top w:w="0" w:type="dxa"/>
          <w:left w:w="0" w:type="dxa"/>
          <w:bottom w:w="0" w:type="dxa"/>
          <w:right w:w="0" w:type="dxa"/>
        </w:tblCellMar>
      </w:tblPr>
      <w:tblGrid>
        <w:gridCol w:w="1580"/>
        <w:gridCol w:w="23"/>
        <w:gridCol w:w="23"/>
        <w:gridCol w:w="275"/>
        <w:gridCol w:w="23"/>
        <w:gridCol w:w="23"/>
        <w:gridCol w:w="60"/>
        <w:gridCol w:w="23"/>
        <w:gridCol w:w="23"/>
        <w:gridCol w:w="1940"/>
        <w:gridCol w:w="23"/>
        <w:gridCol w:w="23"/>
        <w:gridCol w:w="350"/>
      </w:tblGrid>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Large accelerated filer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Accelerated filer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0" w:type="dxa"/>
            <w:tcBorders/>
            <w:shd w:fill="auto" w:val="clear"/>
            <w:vAlign w:val="center"/>
          </w:tcPr>
          <w:p>
            <w:pPr>
              <w:pStyle w:val="TableContents"/>
              <w:spacing w:before="0" w:after="283"/>
              <w:ind w:left="0" w:right="0" w:hanging="0"/>
              <w:jc w:val="left"/>
              <w:rPr>
                <w:color w:val="000000"/>
              </w:rPr>
            </w:pPr>
            <w:r>
              <w:rPr>
                <w:color w:val="000000"/>
              </w:rPr>
              <w:t> ☐</w:t>
            </w:r>
          </w:p>
        </w:tc>
      </w:tr>
      <w:tr>
        <w:trPr/>
        <w:tc>
          <w:tcPr>
            <w:tcW w:w="15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Non-accelerated filer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Smaller reporting company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0" w:type="dxa"/>
            <w:tcBorders/>
            <w:shd w:fill="auto" w:val="clear"/>
            <w:vAlign w:val="center"/>
          </w:tcPr>
          <w:p>
            <w:pPr>
              <w:pStyle w:val="TableContents"/>
              <w:spacing w:before="0" w:after="283"/>
              <w:ind w:left="0" w:right="0" w:hanging="0"/>
              <w:jc w:val="left"/>
              <w:rPr>
                <w:color w:val="000000"/>
              </w:rPr>
            </w:pPr>
            <w:r>
              <w:rPr>
                <w:color w:val="000000"/>
              </w:rPr>
              <w:t xml:space="preserve"> ☐ </w:t>
            </w:r>
          </w:p>
        </w:tc>
      </w:tr>
      <w:tr>
        <w:trPr/>
        <w:tc>
          <w:tcPr>
            <w:tcW w:w="158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Emerging growth company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0" w:type="dxa"/>
            <w:tcBorders/>
            <w:shd w:fill="auto" w:val="clear"/>
            <w:vAlign w:val="center"/>
          </w:tcPr>
          <w:p>
            <w:pPr>
              <w:pStyle w:val="TableContents"/>
              <w:spacing w:before="0" w:after="283"/>
              <w:ind w:left="0" w:right="0" w:hanging="0"/>
              <w:jc w:val="left"/>
              <w:rPr>
                <w:color w:val="000000"/>
              </w:rPr>
            </w:pPr>
            <w:r>
              <w:rPr>
                <w:color w:val="000000"/>
              </w:rPr>
              <w:t> ☐</w:t>
            </w:r>
          </w:p>
        </w:tc>
      </w:tr>
    </w:tbl>
    <w:p>
      <w:pPr>
        <w:pStyle w:val="TextBody"/>
        <w:spacing w:before="60" w:after="283"/>
        <w:ind w:left="0" w:right="0" w:firstLine="400"/>
        <w:jc w:val="left"/>
        <w:rPr>
          <w:rFonts w:ascii="Times New Roman;Times;serif" w:hAnsi="Times New Roman;Times;serif"/>
          <w:color w:val="000000"/>
          <w:sz w:val="17"/>
        </w:rPr>
      </w:pPr>
      <w:r>
        <w:rPr>
          <w:rFonts w:ascii="Times New Roman;Times;serif" w:hAnsi="Times New Roman;Times;serif"/>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90" w:after="283"/>
        <w:jc w:val="center"/>
        <w:rPr>
          <w:rFonts w:ascii="Times New Roman;Times;serif" w:hAnsi="Times New Roman;Times;serif"/>
          <w:b/>
          <w:color w:val="000000"/>
          <w:sz w:val="17"/>
        </w:rPr>
      </w:pPr>
      <w:r>
        <w:rPr>
          <w:rFonts w:ascii="Times New Roman;Times;serif" w:hAnsi="Times New Roman;Times;serif"/>
          <w:b/>
          <w:color w:val="000000"/>
          <w:sz w:val="17"/>
        </w:rPr>
        <w:t>CALCULATION OF REGISTRATION FEE</w:t>
      </w:r>
    </w:p>
    <w:tbl>
      <w:tblPr>
        <w:tblW w:w="8459" w:type="dxa"/>
        <w:jc w:val="left"/>
        <w:tblInd w:w="0" w:type="dxa"/>
        <w:tblCellMar>
          <w:top w:w="0" w:type="dxa"/>
          <w:left w:w="0" w:type="dxa"/>
          <w:bottom w:w="85" w:type="dxa"/>
          <w:right w:w="0" w:type="dxa"/>
        </w:tblCellMar>
      </w:tblPr>
      <w:tblGrid>
        <w:gridCol w:w="2975"/>
        <w:gridCol w:w="23"/>
        <w:gridCol w:w="23"/>
        <w:gridCol w:w="1055"/>
        <w:gridCol w:w="23"/>
        <w:gridCol w:w="23"/>
        <w:gridCol w:w="1280"/>
        <w:gridCol w:w="23"/>
        <w:gridCol w:w="23"/>
        <w:gridCol w:w="1520"/>
        <w:gridCol w:w="23"/>
        <w:gridCol w:w="23"/>
        <w:gridCol w:w="1445"/>
      </w:tblGrid>
      <w:tr>
        <w:trPr/>
        <w:tc>
          <w:tcPr>
            <w:tcW w:w="29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of Each Class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to be Registered</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to be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Registered</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2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 Price(1)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5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Proposed Maximum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Offering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Price(1)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4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Registration Fee(2)</w:t>
            </w:r>
          </w:p>
        </w:tc>
      </w:tr>
      <w:tr>
        <w:trPr/>
        <w:tc>
          <w:tcPr>
            <w:tcW w:w="29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Common Stock, $0.01 par value per share</w:t>
            </w:r>
          </w:p>
        </w:tc>
        <w:tc>
          <w:tcPr>
            <w:tcW w:w="23" w:type="dxa"/>
            <w:tcBorders>
              <w:right w:val="single" w:sz="8" w:space="0" w:color="000000"/>
            </w:tcBorders>
            <w:shd w:fill="auto" w:val="clear"/>
            <w:tcMar>
              <w:bottom w:w="0" w:type="dxa"/>
              <w:right w:w="28"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right w:val="single" w:sz="8" w:space="0" w:color="000000"/>
            </w:tcBorders>
            <w:shd w:fill="auto" w:val="clear"/>
            <w:tcMar>
              <w:bottom w:w="0" w:type="dxa"/>
              <w:right w:w="28"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right w:val="single" w:sz="8" w:space="0" w:color="000000"/>
            </w:tcBorders>
            <w:shd w:fill="auto" w:val="clear"/>
            <w:tcMar>
              <w:bottom w:w="0" w:type="dxa"/>
              <w:right w:w="28"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550" w:right="0" w:hanging="0"/>
              <w:jc w:val="left"/>
              <w:rPr>
                <w:rFonts w:ascii="Times New Roman;Times;serif" w:hAnsi="Times New Roman;Times;serif"/>
                <w:color w:val="000000"/>
                <w:sz w:val="17"/>
              </w:rPr>
            </w:pPr>
            <w:r>
              <w:rPr>
                <w:rFonts w:ascii="Times New Roman;Times;serif" w:hAnsi="Times New Roman;Times;serif"/>
                <w:color w:val="000000"/>
                <w:sz w:val="17"/>
              </w:rPr>
              <w:t>$   </w:t>
            </w:r>
          </w:p>
        </w:tc>
        <w:tc>
          <w:tcPr>
            <w:tcW w:w="23" w:type="dxa"/>
            <w:tcBorders>
              <w:right w:val="single" w:sz="8" w:space="0" w:color="000000"/>
            </w:tcBorders>
            <w:shd w:fill="auto" w:val="clear"/>
            <w:tcMar>
              <w:bottom w:w="0" w:type="dxa"/>
              <w:right w:w="28"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45" w:type="dxa"/>
            <w:tcBorders/>
            <w:shd w:fill="auto" w:val="clear"/>
            <w:tcMar>
              <w:bottom w:w="0" w:type="dxa"/>
            </w:tcMar>
            <w:vAlign w:val="center"/>
          </w:tcPr>
          <w:p>
            <w:pPr>
              <w:pStyle w:val="TableContents"/>
              <w:spacing w:before="0" w:after="283"/>
              <w:ind w:left="550" w:right="0" w:hanging="0"/>
              <w:jc w:val="left"/>
              <w:rPr>
                <w:rFonts w:ascii="Times New Roman;Times;serif" w:hAnsi="Times New Roman;Times;serif"/>
                <w:color w:val="000000"/>
                <w:sz w:val="17"/>
              </w:rPr>
            </w:pPr>
            <w:r>
              <w:rPr>
                <w:rFonts w:ascii="Times New Roman;Times;serif" w:hAnsi="Times New Roman;Times;serif"/>
                <w:color w:val="000000"/>
                <w:sz w:val="17"/>
              </w:rPr>
              <w:t>$   </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left"/>
              <w:rPr>
                <w:rFonts w:ascii="Times New Roman;Times;serif" w:hAnsi="Times New Roman;Times;serif"/>
                <w:color w:val="000000"/>
                <w:sz w:val="14"/>
              </w:rPr>
            </w:pPr>
            <w:r>
              <w:rPr>
                <w:rFonts w:ascii="Times New Roman;Times;serif" w:hAnsi="Times New Roman;Times;serif"/>
                <w:color w:val="000000"/>
                <w:sz w:val="14"/>
              </w:rPr>
              <w:t>(1)</w:t>
            </w:r>
          </w:p>
        </w:tc>
        <w:tc>
          <w:tcPr>
            <w:tcW w:w="10047" w:type="dxa"/>
            <w:tcBorders/>
            <w:shd w:fill="auto" w:val="clear"/>
            <w:vAlign w:val="center"/>
          </w:tcPr>
          <w:p>
            <w:pPr>
              <w:pStyle w:val="TableContents"/>
              <w:spacing w:before="0" w:after="0"/>
              <w:jc w:val="left"/>
              <w:rPr>
                <w:rFonts w:ascii="Times New Roman;Times;serif" w:hAnsi="Times New Roman;Times;serif"/>
                <w:color w:val="000000"/>
                <w:sz w:val="14"/>
              </w:rPr>
            </w:pPr>
            <w:r>
              <w:rPr>
                <w:rFonts w:ascii="Times New Roman;Times;serif" w:hAnsi="Times New Roman;Times;serif"/>
                <w:color w:val="000000"/>
                <w:sz w:val="14"/>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 2021 as reported on the NASDAQ Global Select Market.</w:t>
            </w:r>
          </w:p>
        </w:tc>
      </w:tr>
    </w:tbl>
    <w:tbl>
      <w:tblPr>
        <w:tblW w:w="4585" w:type="dxa"/>
        <w:jc w:val="left"/>
        <w:tblInd w:w="0" w:type="dxa"/>
        <w:tblCellMar>
          <w:top w:w="0" w:type="dxa"/>
          <w:left w:w="0" w:type="dxa"/>
          <w:bottom w:w="0" w:type="dxa"/>
          <w:right w:w="0" w:type="dxa"/>
        </w:tblCellMar>
      </w:tblPr>
      <w:tblGrid>
        <w:gridCol w:w="185"/>
        <w:gridCol w:w="440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4"/>
              </w:rPr>
            </w:pPr>
            <w:r>
              <w:rPr>
                <w:rFonts w:ascii="Times New Roman;Times;serif" w:hAnsi="Times New Roman;Times;serif"/>
                <w:color w:val="000000"/>
                <w:sz w:val="14"/>
              </w:rPr>
              <w:t>(2)</w:t>
            </w:r>
          </w:p>
        </w:tc>
        <w:tc>
          <w:tcPr>
            <w:tcW w:w="4400" w:type="dxa"/>
            <w:tcBorders/>
            <w:shd w:fill="auto" w:val="clear"/>
            <w:vAlign w:val="center"/>
          </w:tcPr>
          <w:p>
            <w:pPr>
              <w:pStyle w:val="TableContents"/>
              <w:spacing w:before="0" w:after="0"/>
              <w:jc w:val="left"/>
              <w:rPr>
                <w:rFonts w:ascii="Times New Roman;Times;serif" w:hAnsi="Times New Roman;Times;serif"/>
                <w:color w:val="000000"/>
                <w:sz w:val="14"/>
              </w:rPr>
            </w:pPr>
            <w:r>
              <w:rPr>
                <w:rFonts w:ascii="Times New Roman;Times;serif" w:hAnsi="Times New Roman;Times;serif"/>
                <w:color w:val="000000"/>
                <w:sz w:val="14"/>
              </w:rPr>
              <w:t xml:space="preserve">To be paid in connection with the initial filing of the registration statement. </w:t>
            </w:r>
          </w:p>
        </w:tc>
      </w:tr>
    </w:tbl>
    <w:p>
      <w:pPr>
        <w:pStyle w:val="TextBody"/>
        <w:spacing w:before="0" w:after="283"/>
        <w:ind w:left="0" w:right="0" w:firstLine="400"/>
        <w:jc w:val="left"/>
        <w:rPr>
          <w:rFonts w:ascii="Times New Roman;Times;serif" w:hAnsi="Times New Roman;Times;serif"/>
          <w:b/>
          <w:color w:val="000000"/>
          <w:sz w:val="17"/>
        </w:rPr>
      </w:pPr>
      <w:r>
        <w:rPr>
          <w:rFonts w:ascii="Times New Roman;Times;serif" w:hAnsi="Times New Roman;Times;serif"/>
          <w:b/>
          <w:color w:val="000000"/>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0592x1_drs_101-cov_pg1"/>
        <w:bookmarkEnd w:id="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840" w:right="0" w:hanging="0"/>
        <w:jc w:val="left"/>
        <w:rPr>
          <w:rFonts w:ascii="Arial;Helvetica;sans-serif" w:hAnsi="Arial;Helvetica;sans-serif"/>
          <w:b/>
          <w:color w:val="FC0014"/>
          <w:sz w:val="20"/>
        </w:rPr>
      </w:pPr>
      <w:r>
        <w:rPr>
          <w:rFonts w:ascii="Arial;Helvetica;sans-serif" w:hAnsi="Arial;Helvetica;sans-serif"/>
          <w:b/>
          <w:color w:val="FC0014"/>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pStyle w:val="TextBody"/>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 2021</w:t>
      </w:r>
    </w:p>
    <w:p>
      <w:pPr>
        <w:pStyle w:val="TextBody"/>
        <w:spacing w:before="390" w:after="283"/>
        <w:ind w:left="84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Preliminary Prospectus </w:t>
      </w:r>
    </w:p>
    <w:p>
      <w:pPr>
        <w:pStyle w:val="TextBody"/>
        <w:spacing w:before="390" w:after="283"/>
        <w:jc w:val="center"/>
        <w:rPr>
          <w:color w:val="000000"/>
        </w:rPr>
      </w:pPr>
      <w:r>
        <w:rPr>
          <w:color w:val="000000"/>
        </w:rPr>
        <w:t>  </w:t>
      </w:r>
      <w:r>
        <w:rPr>
          <w:rFonts w:ascii="Times New Roman;Times;serif" w:hAnsi="Times New Roman;Times;serif"/>
          <w:b/>
          <w:color w:val="000000"/>
          <w:sz w:val="28"/>
        </w:rPr>
        <w:t xml:space="preserve">Shares </w:t>
      </w:r>
    </w:p>
    <w:p>
      <w:pPr>
        <w:pStyle w:val="TextBody"/>
        <w:spacing w:before="425" w:after="283"/>
        <w:jc w:val="center"/>
        <w:rPr>
          <w:color w:val="000000"/>
        </w:rPr>
      </w:pPr>
      <w:r>
        <w:rPr>
          <w:color w:val="000000"/>
        </w:rPr>
        <w:drawing>
          <wp:inline distT="0" distB="0" distL="0" distR="0">
            <wp:extent cx="1847850" cy="457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47850" cy="457200"/>
                    </a:xfrm>
                    <a:prstGeom prst="rect">
                      <a:avLst/>
                    </a:prstGeom>
                  </pic:spPr>
                </pic:pic>
              </a:graphicData>
            </a:graphic>
          </wp:inline>
        </w:drawing>
      </w:r>
    </w:p>
    <w:p>
      <w:pPr>
        <w:pStyle w:val="TextBody"/>
        <w:spacing w:before="0" w:after="283"/>
        <w:ind w:left="840" w:right="0" w:hanging="0"/>
        <w:jc w:val="left"/>
        <w:rPr>
          <w:color w:val="000000"/>
        </w:rPr>
      </w:pPr>
      <w:r>
        <w:rPr>
          <w:color w:val="000000"/>
        </w:rPr>
        <w:t> </w:t>
      </w:r>
    </w:p>
    <w:p>
      <w:pPr>
        <w:pStyle w:val="TextBody"/>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Academy Sports and Outdoors, Inc. </w:t>
      </w:r>
    </w:p>
    <w:p>
      <w:pPr>
        <w:pStyle w:val="TextBody"/>
        <w:spacing w:before="370" w:after="283"/>
        <w:jc w:val="center"/>
        <w:rPr>
          <w:rFonts w:ascii="Times New Roman;Times;serif" w:hAnsi="Times New Roman;Times;serif"/>
          <w:b/>
          <w:color w:val="000000"/>
          <w:sz w:val="28"/>
        </w:rPr>
      </w:pPr>
      <w:r>
        <w:rPr>
          <w:rFonts w:ascii="Times New Roman;Times;serif" w:hAnsi="Times New Roman;Times;serif"/>
          <w:b/>
          <w:color w:val="000000"/>
          <w:sz w:val="28"/>
        </w:rPr>
        <w:t>Common Stock</w:t>
      </w:r>
    </w:p>
    <w:p>
      <w:pPr>
        <w:pStyle w:val="TextBody"/>
        <w:spacing w:before="13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spacing w:before="240" w:after="283"/>
        <w:ind w:left="84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named in this prospectus are offering     shares of common stock of Academy Sports and Outdoors, Inc. We will not receive any proceeds from the sale of our common stock by the selling stockholders. </w:t>
      </w:r>
    </w:p>
    <w:p>
      <w:pPr>
        <w:pStyle w:val="TextBody"/>
        <w:spacing w:before="240" w:after="283"/>
        <w:ind w:left="840" w:right="0" w:firstLine="400"/>
        <w:jc w:val="left"/>
        <w:rPr>
          <w:rFonts w:ascii="Times New Roman;Times;serif" w:hAnsi="Times New Roman;Times;serif"/>
          <w:color w:val="000000"/>
          <w:sz w:val="20"/>
        </w:rPr>
      </w:pPr>
      <w:r>
        <w:rPr>
          <w:rFonts w:ascii="Times New Roman;Times;serif" w:hAnsi="Times New Roman;Times;serif"/>
          <w:color w:val="000000"/>
          <w:sz w:val="20"/>
        </w:rPr>
        <w:t>Our common stock is listed on the Nasdaq Global Select Market, or Nasdaq, under the symbol “ASO.” On   , 2021, the closing sales price of our common stock as reported on the Nasdaq was $   per share.</w:t>
      </w:r>
    </w:p>
    <w:p>
      <w:pPr>
        <w:pStyle w:val="TextBody"/>
        <w:spacing w:before="240" w:after="283"/>
        <w:ind w:left="840" w:right="0" w:firstLine="400"/>
        <w:jc w:val="left"/>
        <w:rPr/>
      </w:pPr>
      <w:r>
        <w:rPr>
          <w:rFonts w:ascii="Times New Roman;Times;serif" w:hAnsi="Times New Roman;Times;serif"/>
          <w:b/>
          <w:color w:val="000000"/>
          <w:sz w:val="20"/>
        </w:rPr>
        <w:t xml:space="preserve">Investing in our common stock involves risks. See “Risk Factors” beginning on page </w:t>
      </w:r>
      <w:hyperlink w:anchor="tRISK">
        <w:r>
          <w:rPr>
            <w:rStyle w:val="InternetLink"/>
          </w:rPr>
          <w:t>18</w:t>
        </w:r>
      </w:hyperlink>
      <w:r>
        <w:rPr>
          <w:rFonts w:ascii="Times New Roman;Times;serif" w:hAnsi="Times New Roman;Times;serif"/>
          <w:b/>
          <w:color w:val="000000"/>
          <w:sz w:val="20"/>
        </w:rPr>
        <w:t xml:space="preserve"> to read about factors you should consider before buying shares of our common stock. </w:t>
      </w:r>
    </w:p>
    <w:p>
      <w:pPr>
        <w:pStyle w:val="TextBody"/>
        <w:spacing w:before="240" w:after="283"/>
        <w:ind w:left="84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or the SEC, nor any state securities commission has approved or disapproved of these securities or passed upon the adequacy or accuracy of this prospectus. Any representation to the contrary is a criminal offense. </w:t>
      </w:r>
    </w:p>
    <w:tbl>
      <w:tblPr>
        <w:tblW w:w="4178" w:type="dxa"/>
        <w:jc w:val="left"/>
        <w:tblInd w:w="840" w:type="dxa"/>
        <w:tblCellMar>
          <w:top w:w="0" w:type="dxa"/>
          <w:left w:w="0" w:type="dxa"/>
          <w:bottom w:w="0" w:type="dxa"/>
          <w:right w:w="0" w:type="dxa"/>
        </w:tblCellMar>
      </w:tblPr>
      <w:tblGrid>
        <w:gridCol w:w="785"/>
        <w:gridCol w:w="23"/>
        <w:gridCol w:w="23"/>
        <w:gridCol w:w="1085"/>
        <w:gridCol w:w="23"/>
        <w:gridCol w:w="23"/>
        <w:gridCol w:w="1160"/>
        <w:gridCol w:w="23"/>
        <w:gridCol w:w="23"/>
        <w:gridCol w:w="1010"/>
      </w:tblGrid>
      <w:tr>
        <w:trPr/>
        <w:tc>
          <w:tcPr>
            <w:tcW w:w="7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145" w:type="dxa"/>
            </w:tcMar>
            <w:vAlign w:val="center"/>
          </w:tcPr>
          <w:p>
            <w:pPr>
              <w:pStyle w:val="TableContents"/>
              <w:spacing w:before="0" w:after="283"/>
              <w:rPr/>
            </w:pPr>
            <w:r>
              <w:rPr/>
              <w:t>​</w:t>
            </w:r>
          </w:p>
        </w:tc>
        <w:tc>
          <w:tcPr>
            <w:tcW w:w="1085" w:type="dxa"/>
            <w:tcBorders>
              <w:bottom w:val="single" w:sz="8" w:space="0" w:color="000000"/>
            </w:tcBorders>
            <w:shd w:fill="auto" w:val="clear"/>
            <w:tcMar>
              <w:bottom w:w="14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to Public</w:t>
            </w:r>
          </w:p>
        </w:tc>
        <w:tc>
          <w:tcPr>
            <w:tcW w:w="23" w:type="dxa"/>
            <w:tcBorders>
              <w:bottom w:val="single" w:sz="2" w:space="0" w:color="FFFFFF"/>
            </w:tcBorders>
            <w:shd w:fill="auto" w:val="clear"/>
            <w:tcMar>
              <w:bottom w:w="145" w:type="dxa"/>
            </w:tcMar>
            <w:vAlign w:val="center"/>
          </w:tcPr>
          <w:p>
            <w:pPr>
              <w:pStyle w:val="TableContents"/>
              <w:spacing w:before="0" w:after="283"/>
              <w:rPr/>
            </w:pPr>
            <w:r>
              <w:rPr/>
              <w:t>​</w:t>
            </w:r>
          </w:p>
        </w:tc>
        <w:tc>
          <w:tcPr>
            <w:tcW w:w="23" w:type="dxa"/>
            <w:tcBorders>
              <w:bottom w:val="single" w:sz="2" w:space="0" w:color="FFFFFF"/>
            </w:tcBorders>
            <w:shd w:fill="auto" w:val="clear"/>
            <w:tcMar>
              <w:bottom w:w="145" w:type="dxa"/>
            </w:tcMar>
            <w:vAlign w:val="center"/>
          </w:tcPr>
          <w:p>
            <w:pPr>
              <w:pStyle w:val="TableContents"/>
              <w:spacing w:before="0" w:after="283"/>
              <w:rPr/>
            </w:pPr>
            <w:r>
              <w:rPr/>
              <w:t>​</w:t>
            </w:r>
          </w:p>
        </w:tc>
        <w:tc>
          <w:tcPr>
            <w:tcW w:w="1160" w:type="dxa"/>
            <w:tcBorders>
              <w:bottom w:val="single" w:sz="8" w:space="0" w:color="000000"/>
            </w:tcBorders>
            <w:shd w:fill="auto" w:val="clear"/>
            <w:tcMar>
              <w:bottom w:w="14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Underwriting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Discounts and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Commissions(1)</w:t>
            </w:r>
          </w:p>
        </w:tc>
        <w:tc>
          <w:tcPr>
            <w:tcW w:w="23" w:type="dxa"/>
            <w:tcBorders>
              <w:bottom w:val="single" w:sz="2" w:space="0" w:color="FFFFFF"/>
            </w:tcBorders>
            <w:shd w:fill="auto" w:val="clear"/>
            <w:tcMar>
              <w:bottom w:w="145" w:type="dxa"/>
            </w:tcMar>
            <w:vAlign w:val="center"/>
          </w:tcPr>
          <w:p>
            <w:pPr>
              <w:pStyle w:val="TableContents"/>
              <w:spacing w:before="0" w:after="283"/>
              <w:rPr/>
            </w:pPr>
            <w:r>
              <w:rPr/>
              <w:t>​</w:t>
            </w:r>
          </w:p>
        </w:tc>
        <w:tc>
          <w:tcPr>
            <w:tcW w:w="23" w:type="dxa"/>
            <w:tcBorders>
              <w:bottom w:val="single" w:sz="2" w:space="0" w:color="FFFFFF"/>
            </w:tcBorders>
            <w:shd w:fill="auto" w:val="clear"/>
            <w:tcMar>
              <w:bottom w:w="145" w:type="dxa"/>
            </w:tcMar>
            <w:vAlign w:val="center"/>
          </w:tcPr>
          <w:p>
            <w:pPr>
              <w:pStyle w:val="TableContents"/>
              <w:spacing w:before="0" w:after="283"/>
              <w:rPr/>
            </w:pPr>
            <w:r>
              <w:rPr/>
              <w:t>​</w:t>
            </w:r>
          </w:p>
        </w:tc>
        <w:tc>
          <w:tcPr>
            <w:tcW w:w="1010" w:type="dxa"/>
            <w:tcBorders>
              <w:bottom w:val="single" w:sz="8" w:space="0" w:color="000000"/>
            </w:tcBorders>
            <w:shd w:fill="auto" w:val="clear"/>
            <w:tcMar>
              <w:bottom w:w="14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Proceeds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Selling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tc>
      </w:tr>
      <w:tr>
        <w:trPr/>
        <w:tc>
          <w:tcPr>
            <w:tcW w:w="7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7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85" w:type="dxa"/>
            <w:tcBorders/>
            <w:shd w:fill="auto" w:val="clear"/>
            <w:vAlign w:val="center"/>
          </w:tcPr>
          <w:p>
            <w:pPr>
              <w:pStyle w:val="TableContents"/>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ind w:left="27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bl>
    <w:tbl>
      <w:tblPr>
        <w:tblW w:w="7765" w:type="dxa"/>
        <w:jc w:val="left"/>
        <w:tblInd w:w="840" w:type="dxa"/>
        <w:tblCellMar>
          <w:top w:w="0" w:type="dxa"/>
          <w:left w:w="0" w:type="dxa"/>
          <w:bottom w:w="0" w:type="dxa"/>
          <w:right w:w="0" w:type="dxa"/>
        </w:tblCellMar>
      </w:tblPr>
      <w:tblGrid>
        <w:gridCol w:w="230"/>
        <w:gridCol w:w="753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53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See “Underwriting (Conflicts of Interest)” for additional information regarding underwriting compensation. </w:t>
            </w:r>
          </w:p>
        </w:tc>
      </w:tr>
    </w:tbl>
    <w:p>
      <w:pPr>
        <w:pStyle w:val="TextBody"/>
        <w:spacing w:before="270" w:after="283"/>
        <w:ind w:left="840" w:right="0" w:hanging="0"/>
        <w:jc w:val="center"/>
        <w:rPr>
          <w:rFonts w:ascii="Times New Roman;Times;serif" w:hAnsi="Times New Roman;Times;serif"/>
          <w:color w:val="000000"/>
          <w:sz w:val="20"/>
        </w:rPr>
      </w:pPr>
      <w:r>
        <w:rPr>
          <w:rFonts w:ascii="Times New Roman;Times;serif" w:hAnsi="Times New Roman;Times;serif"/>
          <w:color w:val="000000"/>
          <w:sz w:val="20"/>
        </w:rPr>
        <w:t>The underwriters expect to deliver the shares on or about   , 2021.</w:t>
      </w:r>
    </w:p>
    <w:p>
      <w:pPr>
        <w:pStyle w:val="TextBody"/>
        <w:spacing w:before="530" w:after="283"/>
        <w:jc w:val="center"/>
        <w:rPr>
          <w:rFonts w:ascii="Times New Roman;Times;serif" w:hAnsi="Times New Roman;Times;serif"/>
          <w:b/>
          <w:color w:val="000000"/>
          <w:sz w:val="28"/>
        </w:rPr>
      </w:pPr>
      <w:r>
        <w:rPr>
          <w:rFonts w:ascii="Times New Roman;Times;serif" w:hAnsi="Times New Roman;Times;serif"/>
          <w:b/>
          <w:color w:val="000000"/>
          <w:sz w:val="28"/>
        </w:rPr>
        <w:t>KKR</w:t>
      </w:r>
    </w:p>
    <w:p>
      <w:pPr>
        <w:pStyle w:val="TextBody"/>
        <w:spacing w:before="289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0592x1_drs_102-toc_pg1"/>
        <w:bookmarkEnd w:id="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9" w:name="TOC"/>
      <w:bookmarkStart w:id="10" w:name="TOC"/>
      <w:bookmarkEnd w:id="10"/>
    </w:p>
    <w:tbl>
      <w:tblPr>
        <w:tblW w:w="6806" w:type="dxa"/>
        <w:jc w:val="left"/>
        <w:tblInd w:w="720" w:type="dxa"/>
        <w:tblCellMar>
          <w:top w:w="0" w:type="dxa"/>
          <w:left w:w="0" w:type="dxa"/>
          <w:bottom w:w="0" w:type="dxa"/>
          <w:right w:w="0" w:type="dxa"/>
        </w:tblCellMar>
      </w:tblPr>
      <w:tblGrid>
        <w:gridCol w:w="6515"/>
        <w:gridCol w:w="23"/>
        <w:gridCol w:w="23"/>
        <w:gridCol w:w="245"/>
      </w:tblGrid>
      <w:tr>
        <w:trPr/>
        <w:tc>
          <w:tcPr>
            <w:tcW w:w="6515" w:type="dxa"/>
            <w:tcBorders/>
            <w:shd w:fill="CCEEFF" w:val="clear"/>
            <w:vAlign w:val="center"/>
          </w:tcPr>
          <w:p>
            <w:pPr>
              <w:pStyle w:val="TableContents"/>
              <w:spacing w:before="0" w:after="283"/>
              <w:ind w:left="0" w:right="0" w:hanging="0"/>
              <w:jc w:val="left"/>
              <w:rPr/>
            </w:pPr>
            <w:hyperlink w:anchor="tIAM">
              <w:r>
                <w:rPr>
                  <w:rStyle w:val="InternetLink"/>
                  <w:rFonts w:ascii="Times New Roman;Times;serif" w:hAnsi="Times New Roman;Times;serif"/>
                  <w:color w:val="000000"/>
                  <w:sz w:val="20"/>
                </w:rPr>
                <w:t>Industry and Market Data</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IAM">
              <w:r>
                <w:rPr>
                  <w:rStyle w:val="InternetLink"/>
                  <w:rFonts w:ascii="Times New Roman;Times;serif" w:hAnsi="Times New Roman;Times;serif"/>
                  <w:color w:val="000000"/>
                  <w:sz w:val="20"/>
                </w:rPr>
                <w:t>ii</w:t>
              </w:r>
            </w:hyperlink>
          </w:p>
        </w:tc>
      </w:tr>
      <w:tr>
        <w:trPr/>
        <w:tc>
          <w:tcPr>
            <w:tcW w:w="6515" w:type="dxa"/>
            <w:tcBorders/>
            <w:shd w:fill="auto" w:val="clear"/>
            <w:vAlign w:val="center"/>
          </w:tcPr>
          <w:p>
            <w:pPr>
              <w:pStyle w:val="TableContents"/>
              <w:spacing w:before="0" w:after="283"/>
              <w:ind w:left="0" w:right="0" w:hanging="0"/>
              <w:jc w:val="left"/>
              <w:rPr/>
            </w:pPr>
            <w:hyperlink w:anchor="tTTS">
              <w:r>
                <w:rPr>
                  <w:rStyle w:val="InternetLink"/>
                  <w:rFonts w:ascii="Times New Roman;Times;serif" w:hAnsi="Times New Roman;Times;serif"/>
                  <w:color w:val="000000"/>
                  <w:sz w:val="20"/>
                </w:rPr>
                <w:t>Trademarks, Tradenames, Service Marks and Copyrights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TTS">
              <w:r>
                <w:rPr>
                  <w:rStyle w:val="InternetLink"/>
                  <w:rFonts w:ascii="Times New Roman;Times;serif" w:hAnsi="Times New Roman;Times;serif"/>
                  <w:color w:val="000000"/>
                  <w:sz w:val="20"/>
                </w:rPr>
                <w:t>ii</w:t>
              </w:r>
            </w:hyperlink>
          </w:p>
        </w:tc>
      </w:tr>
      <w:tr>
        <w:trPr/>
        <w:tc>
          <w:tcPr>
            <w:tcW w:w="6515" w:type="dxa"/>
            <w:tcBorders/>
            <w:shd w:fill="CCEEFF" w:val="clear"/>
            <w:vAlign w:val="center"/>
          </w:tcPr>
          <w:p>
            <w:pPr>
              <w:pStyle w:val="TableContents"/>
              <w:spacing w:before="0" w:after="283"/>
              <w:ind w:left="0" w:right="0" w:hanging="0"/>
              <w:jc w:val="left"/>
              <w:rPr/>
            </w:pPr>
            <w:hyperlink w:anchor="tBP">
              <w:r>
                <w:rPr>
                  <w:rStyle w:val="InternetLink"/>
                  <w:rFonts w:ascii="Times New Roman;Times;serif" w:hAnsi="Times New Roman;Times;serif"/>
                  <w:color w:val="000000"/>
                  <w:sz w:val="20"/>
                </w:rPr>
                <w:t>Basis of Presentation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BP">
              <w:r>
                <w:rPr>
                  <w:rStyle w:val="InternetLink"/>
                  <w:rFonts w:ascii="Times New Roman;Times;serif" w:hAnsi="Times New Roman;Times;serif"/>
                  <w:color w:val="000000"/>
                  <w:sz w:val="20"/>
                </w:rPr>
                <w:t>iii</w:t>
              </w:r>
            </w:hyperlink>
          </w:p>
        </w:tc>
      </w:tr>
      <w:tr>
        <w:trPr/>
        <w:tc>
          <w:tcPr>
            <w:tcW w:w="6515" w:type="dxa"/>
            <w:tcBorders/>
            <w:shd w:fill="auto" w:val="clear"/>
            <w:vAlign w:val="center"/>
          </w:tcPr>
          <w:p>
            <w:pPr>
              <w:pStyle w:val="TableContents"/>
              <w:spacing w:before="0" w:after="283"/>
              <w:ind w:left="0" w:right="0" w:hanging="0"/>
              <w:jc w:val="left"/>
              <w:rPr/>
            </w:pPr>
            <w:hyperlink w:anchor="tNGF">
              <w:r>
                <w:rPr>
                  <w:rStyle w:val="InternetLink"/>
                  <w:rFonts w:ascii="Times New Roman;Times;serif" w:hAnsi="Times New Roman;Times;serif"/>
                  <w:color w:val="000000"/>
                  <w:sz w:val="20"/>
                </w:rPr>
                <w:t>Non-GAAP Financial Measures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NGF">
              <w:r>
                <w:rPr>
                  <w:rStyle w:val="InternetLink"/>
                  <w:rFonts w:ascii="Times New Roman;Times;serif" w:hAnsi="Times New Roman;Times;serif"/>
                  <w:color w:val="000000"/>
                  <w:sz w:val="20"/>
                </w:rPr>
                <w:t>v</w:t>
              </w:r>
            </w:hyperlink>
          </w:p>
        </w:tc>
      </w:tr>
      <w:tr>
        <w:trPr/>
        <w:tc>
          <w:tcPr>
            <w:tcW w:w="6515" w:type="dxa"/>
            <w:tcBorders/>
            <w:shd w:fill="CCEEFF" w:val="clear"/>
            <w:vAlign w:val="center"/>
          </w:tcPr>
          <w:p>
            <w:pPr>
              <w:pStyle w:val="TableContents"/>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SUM">
              <w:r>
                <w:rPr>
                  <w:rStyle w:val="InternetLink"/>
                  <w:rFonts w:ascii="Times New Roman;Times;serif" w:hAnsi="Times New Roman;Times;serif"/>
                  <w:color w:val="000000"/>
                  <w:sz w:val="20"/>
                </w:rPr>
                <w:t>1</w:t>
              </w:r>
            </w:hyperlink>
          </w:p>
        </w:tc>
      </w:tr>
      <w:tr>
        <w:trPr/>
        <w:tc>
          <w:tcPr>
            <w:tcW w:w="6515" w:type="dxa"/>
            <w:tcBorders/>
            <w:shd w:fill="auto" w:val="clear"/>
            <w:vAlign w:val="center"/>
          </w:tcPr>
          <w:p>
            <w:pPr>
              <w:pStyle w:val="TableContents"/>
              <w:spacing w:before="0" w:after="283"/>
              <w:ind w:left="0" w:right="0" w:hanging="0"/>
              <w:jc w:val="left"/>
              <w:rPr/>
            </w:pPr>
            <w:hyperlink w:anchor="tRISK">
              <w:r>
                <w:rPr>
                  <w:rStyle w:val="InternetLink"/>
                  <w:rFonts w:ascii="Times New Roman;Times;serif" w:hAnsi="Times New Roman;Times;serif"/>
                  <w:color w:val="000000"/>
                  <w:sz w:val="20"/>
                </w:rPr>
                <w:t>Risk Factors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RISK">
              <w:r>
                <w:rPr>
                  <w:rStyle w:val="InternetLink"/>
                  <w:rFonts w:ascii="Times New Roman;Times;serif" w:hAnsi="Times New Roman;Times;serif"/>
                  <w:color w:val="000000"/>
                  <w:sz w:val="20"/>
                </w:rPr>
                <w:t>18</w:t>
              </w:r>
            </w:hyperlink>
          </w:p>
        </w:tc>
      </w:tr>
      <w:tr>
        <w:trPr/>
        <w:tc>
          <w:tcPr>
            <w:tcW w:w="6515" w:type="dxa"/>
            <w:tcBorders/>
            <w:shd w:fill="CCEEFF" w:val="clear"/>
            <w:vAlign w:val="center"/>
          </w:tcPr>
          <w:p>
            <w:pPr>
              <w:pStyle w:val="TableContents"/>
              <w:spacing w:before="0" w:after="283"/>
              <w:ind w:left="0" w:right="0" w:hanging="0"/>
              <w:jc w:val="left"/>
              <w:rPr/>
            </w:pPr>
            <w:hyperlink w:anchor="tFLS">
              <w:r>
                <w:rPr>
                  <w:rStyle w:val="InternetLink"/>
                  <w:rFonts w:ascii="Times New Roman;Times;serif" w:hAnsi="Times New Roman;Times;serif"/>
                  <w:color w:val="000000"/>
                  <w:sz w:val="20"/>
                </w:rPr>
                <w:t>Forward-Looking Statements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FLS">
              <w:r>
                <w:rPr>
                  <w:rStyle w:val="InternetLink"/>
                  <w:rFonts w:ascii="Times New Roman;Times;serif" w:hAnsi="Times New Roman;Times;serif"/>
                  <w:color w:val="000000"/>
                  <w:sz w:val="20"/>
                </w:rPr>
                <w:t>23</w:t>
              </w:r>
            </w:hyperlink>
          </w:p>
        </w:tc>
      </w:tr>
      <w:tr>
        <w:trPr/>
        <w:tc>
          <w:tcPr>
            <w:tcW w:w="6515" w:type="dxa"/>
            <w:tcBorders/>
            <w:shd w:fill="auto" w:val="clear"/>
            <w:vAlign w:val="center"/>
          </w:tcPr>
          <w:p>
            <w:pPr>
              <w:pStyle w:val="TableContents"/>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UOP">
              <w:r>
                <w:rPr>
                  <w:rStyle w:val="InternetLink"/>
                  <w:rFonts w:ascii="Times New Roman;Times;serif" w:hAnsi="Times New Roman;Times;serif"/>
                  <w:color w:val="000000"/>
                  <w:sz w:val="20"/>
                </w:rPr>
                <w:t>25</w:t>
              </w:r>
            </w:hyperlink>
          </w:p>
        </w:tc>
      </w:tr>
      <w:tr>
        <w:trPr/>
        <w:tc>
          <w:tcPr>
            <w:tcW w:w="6515" w:type="dxa"/>
            <w:tcBorders/>
            <w:shd w:fill="CCEEFF" w:val="clear"/>
            <w:vAlign w:val="center"/>
          </w:tcPr>
          <w:p>
            <w:pPr>
              <w:pStyle w:val="TableContents"/>
              <w:spacing w:before="0" w:after="283"/>
              <w:ind w:left="0" w:right="0" w:hanging="0"/>
              <w:jc w:val="left"/>
              <w:rPr/>
            </w:pPr>
            <w:hyperlink w:anchor="tDP">
              <w:r>
                <w:rPr>
                  <w:rStyle w:val="InternetLink"/>
                  <w:rFonts w:ascii="Times New Roman;Times;serif" w:hAnsi="Times New Roman;Times;serif"/>
                  <w:color w:val="000000"/>
                  <w:sz w:val="20"/>
                </w:rPr>
                <w:t>Dividend Policy</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DP">
              <w:r>
                <w:rPr>
                  <w:rStyle w:val="InternetLink"/>
                  <w:rFonts w:ascii="Times New Roman;Times;serif" w:hAnsi="Times New Roman;Times;serif"/>
                  <w:color w:val="000000"/>
                  <w:sz w:val="20"/>
                </w:rPr>
                <w:t>26</w:t>
              </w:r>
            </w:hyperlink>
          </w:p>
        </w:tc>
      </w:tr>
      <w:tr>
        <w:trPr/>
        <w:tc>
          <w:tcPr>
            <w:tcW w:w="6515" w:type="dxa"/>
            <w:tcBorders/>
            <w:shd w:fill="auto" w:val="clear"/>
            <w:vAlign w:val="center"/>
          </w:tcPr>
          <w:p>
            <w:pPr>
              <w:pStyle w:val="TableContents"/>
              <w:spacing w:before="0" w:after="283"/>
              <w:ind w:left="0" w:right="0" w:hanging="0"/>
              <w:jc w:val="left"/>
              <w:rPr/>
            </w:pPr>
            <w:hyperlink w:anchor="tSS">
              <w:r>
                <w:rPr>
                  <w:rStyle w:val="InternetLink"/>
                  <w:rFonts w:ascii="Times New Roman;Times;serif" w:hAnsi="Times New Roman;Times;serif"/>
                  <w:color w:val="000000"/>
                  <w:sz w:val="20"/>
                </w:rPr>
                <w:t>Selling Stockholders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SS">
              <w:r>
                <w:rPr>
                  <w:rStyle w:val="InternetLink"/>
                  <w:rFonts w:ascii="Times New Roman;Times;serif" w:hAnsi="Times New Roman;Times;serif"/>
                  <w:color w:val="000000"/>
                  <w:sz w:val="20"/>
                </w:rPr>
                <w:t>27</w:t>
              </w:r>
            </w:hyperlink>
          </w:p>
        </w:tc>
      </w:tr>
      <w:tr>
        <w:trPr/>
        <w:tc>
          <w:tcPr>
            <w:tcW w:w="6515" w:type="dxa"/>
            <w:tcBorders/>
            <w:shd w:fill="CCEEFF" w:val="clear"/>
            <w:vAlign w:val="center"/>
          </w:tcPr>
          <w:p>
            <w:pPr>
              <w:pStyle w:val="TableContents"/>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DCS">
              <w:r>
                <w:rPr>
                  <w:rStyle w:val="InternetLink"/>
                  <w:rFonts w:ascii="Times New Roman;Times;serif" w:hAnsi="Times New Roman;Times;serif"/>
                  <w:color w:val="000000"/>
                  <w:sz w:val="20"/>
                </w:rPr>
                <w:t>28</w:t>
              </w:r>
            </w:hyperlink>
          </w:p>
        </w:tc>
      </w:tr>
      <w:tr>
        <w:trPr/>
        <w:tc>
          <w:tcPr>
            <w:tcW w:w="6515" w:type="dxa"/>
            <w:tcBorders/>
            <w:shd w:fill="auto" w:val="clear"/>
            <w:vAlign w:val="center"/>
          </w:tcPr>
          <w:p>
            <w:pPr>
              <w:pStyle w:val="TableContents"/>
              <w:spacing w:before="0" w:after="283"/>
              <w:ind w:left="0" w:right="0" w:hanging="0"/>
              <w:jc w:val="left"/>
              <w:rPr/>
            </w:pPr>
            <w:hyperlink w:anchor="tSEF">
              <w:r>
                <w:rPr>
                  <w:rStyle w:val="InternetLink"/>
                  <w:rFonts w:ascii="Times New Roman;Times;serif" w:hAnsi="Times New Roman;Times;serif"/>
                  <w:color w:val="000000"/>
                  <w:sz w:val="20"/>
                </w:rPr>
                <w:t>Shares Eligible for Future Sale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SEF">
              <w:r>
                <w:rPr>
                  <w:rStyle w:val="InternetLink"/>
                  <w:rFonts w:ascii="Times New Roman;Times;serif" w:hAnsi="Times New Roman;Times;serif"/>
                  <w:color w:val="000000"/>
                  <w:sz w:val="20"/>
                </w:rPr>
                <w:t>35</w:t>
              </w:r>
            </w:hyperlink>
          </w:p>
        </w:tc>
      </w:tr>
      <w:tr>
        <w:trPr/>
        <w:tc>
          <w:tcPr>
            <w:tcW w:w="6515" w:type="dxa"/>
            <w:tcBorders/>
            <w:shd w:fill="CCEEFF" w:val="clear"/>
            <w:vAlign w:val="center"/>
          </w:tcPr>
          <w:p>
            <w:pPr>
              <w:pStyle w:val="TableContents"/>
              <w:spacing w:before="0" w:after="283"/>
              <w:ind w:left="0" w:right="0" w:hanging="0"/>
              <w:jc w:val="left"/>
              <w:rPr/>
            </w:pPr>
            <w:hyperlink w:anchor="tMUF">
              <w:r>
                <w:rPr>
                  <w:rStyle w:val="InternetLink"/>
                  <w:rFonts w:ascii="Times New Roman;Times;serif" w:hAnsi="Times New Roman;Times;serif"/>
                  <w:color w:val="000000"/>
                  <w:sz w:val="20"/>
                </w:rPr>
                <w:t>Material U.S. Federal Income and Estate Tax Consequences to Non-U.S. Holders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MUF">
              <w:r>
                <w:rPr>
                  <w:rStyle w:val="InternetLink"/>
                  <w:rFonts w:ascii="Times New Roman;Times;serif" w:hAnsi="Times New Roman;Times;serif"/>
                  <w:color w:val="000000"/>
                  <w:sz w:val="20"/>
                </w:rPr>
                <w:t>37</w:t>
              </w:r>
            </w:hyperlink>
          </w:p>
        </w:tc>
      </w:tr>
      <w:tr>
        <w:trPr/>
        <w:tc>
          <w:tcPr>
            <w:tcW w:w="6515" w:type="dxa"/>
            <w:tcBorders/>
            <w:shd w:fill="auto" w:val="clear"/>
            <w:vAlign w:val="center"/>
          </w:tcPr>
          <w:p>
            <w:pPr>
              <w:pStyle w:val="TableContents"/>
              <w:spacing w:before="0" w:after="283"/>
              <w:ind w:left="0" w:right="0" w:hanging="0"/>
              <w:jc w:val="left"/>
              <w:rPr/>
            </w:pPr>
            <w:hyperlink w:anchor="tUCOI">
              <w:r>
                <w:rPr>
                  <w:rStyle w:val="InternetLink"/>
                  <w:rFonts w:ascii="Times New Roman;Times;serif" w:hAnsi="Times New Roman;Times;serif"/>
                  <w:color w:val="000000"/>
                  <w:sz w:val="20"/>
                </w:rPr>
                <w:t>Underwriting (Conflicts of Interest)</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UCOI">
              <w:r>
                <w:rPr>
                  <w:rStyle w:val="InternetLink"/>
                  <w:rFonts w:ascii="Times New Roman;Times;serif" w:hAnsi="Times New Roman;Times;serif"/>
                  <w:color w:val="000000"/>
                  <w:sz w:val="20"/>
                </w:rPr>
                <w:t>40</w:t>
              </w:r>
            </w:hyperlink>
          </w:p>
        </w:tc>
      </w:tr>
      <w:tr>
        <w:trPr/>
        <w:tc>
          <w:tcPr>
            <w:tcW w:w="6515" w:type="dxa"/>
            <w:tcBorders/>
            <w:shd w:fill="CCEEFF" w:val="clear"/>
            <w:vAlign w:val="center"/>
          </w:tcPr>
          <w:p>
            <w:pPr>
              <w:pStyle w:val="TableContents"/>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LM">
              <w:r>
                <w:rPr>
                  <w:rStyle w:val="InternetLink"/>
                  <w:rFonts w:ascii="Times New Roman;Times;serif" w:hAnsi="Times New Roman;Times;serif"/>
                  <w:color w:val="000000"/>
                  <w:sz w:val="20"/>
                </w:rPr>
                <w:t>45</w:t>
              </w:r>
            </w:hyperlink>
          </w:p>
        </w:tc>
      </w:tr>
      <w:tr>
        <w:trPr/>
        <w:tc>
          <w:tcPr>
            <w:tcW w:w="6515" w:type="dxa"/>
            <w:tcBorders/>
            <w:shd w:fill="auto" w:val="clear"/>
            <w:vAlign w:val="center"/>
          </w:tcPr>
          <w:p>
            <w:pPr>
              <w:pStyle w:val="TableContents"/>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EXP">
              <w:r>
                <w:rPr>
                  <w:rStyle w:val="InternetLink"/>
                  <w:rFonts w:ascii="Times New Roman;Times;serif" w:hAnsi="Times New Roman;Times;serif"/>
                  <w:color w:val="000000"/>
                  <w:sz w:val="20"/>
                </w:rPr>
                <w:t>45</w:t>
              </w:r>
            </w:hyperlink>
          </w:p>
        </w:tc>
      </w:tr>
      <w:tr>
        <w:trPr/>
        <w:tc>
          <w:tcPr>
            <w:tcW w:w="6515" w:type="dxa"/>
            <w:tcBorders/>
            <w:shd w:fill="CCEEFF" w:val="clear"/>
            <w:vAlign w:val="center"/>
          </w:tcPr>
          <w:p>
            <w:pPr>
              <w:pStyle w:val="TableContents"/>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WYC">
              <w:r>
                <w:rPr>
                  <w:rStyle w:val="InternetLink"/>
                  <w:rFonts w:ascii="Times New Roman;Times;serif" w:hAnsi="Times New Roman;Times;serif"/>
                  <w:color w:val="000000"/>
                  <w:sz w:val="20"/>
                </w:rPr>
                <w:t>45</w:t>
              </w:r>
            </w:hyperlink>
          </w:p>
        </w:tc>
      </w:tr>
      <w:tr>
        <w:trPr/>
        <w:tc>
          <w:tcPr>
            <w:tcW w:w="6515" w:type="dxa"/>
            <w:tcBorders/>
            <w:shd w:fill="auto" w:val="clear"/>
            <w:vAlign w:val="center"/>
          </w:tcPr>
          <w:p>
            <w:pPr>
              <w:pStyle w:val="TableContents"/>
              <w:spacing w:before="0" w:after="283"/>
              <w:ind w:left="0" w:right="0" w:hanging="0"/>
              <w:jc w:val="left"/>
              <w:rPr/>
            </w:pPr>
            <w:hyperlink w:anchor="tIR">
              <w:r>
                <w:rPr>
                  <w:rStyle w:val="InternetLink"/>
                  <w:rFonts w:ascii="Times New Roman;Times;serif" w:hAnsi="Times New Roman;Times;serif"/>
                  <w:color w:val="000000"/>
                  <w:sz w:val="20"/>
                </w:rPr>
                <w:t>Incorporation by Reference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IR">
              <w:r>
                <w:rPr>
                  <w:rStyle w:val="InternetLink"/>
                  <w:rFonts w:ascii="Times New Roman;Times;serif" w:hAnsi="Times New Roman;Times;serif"/>
                  <w:color w:val="000000"/>
                  <w:sz w:val="20"/>
                </w:rPr>
                <w:t>45</w:t>
              </w:r>
            </w:hyperlink>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or incorporated by reference, in this prospectus or in any free writing prospectus we may authorize to be delivered or made available to you. None of us, the selling stockholders or the underwriters have authorized anyone to provide you with different information. The information contained, or incorporated by reference, in this prospectus or any free writing prospectus prepared by us or on our behalf is accurate only as of their respective dates, regardless of the time of delivery of this prospectus, or any free writing prospectus, as the case may be, or any sale of shares of our common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 w:name="DSPFPageBreakArea1"/>
      <w:bookmarkStart w:id="12" w:name="DSPFPageBreakArea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 w:name="DSPFPageBreak1"/>
      <w:bookmarkStart w:id="14" w:name="DSPFPageBrea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 w:name="ny20000592x1_drs_102-toc_pg2"/>
        <w:bookmarkEnd w:id="1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6" w:name="tIAM"/>
      <w:bookmarkEnd w:id="16"/>
      <w:r>
        <w:rPr>
          <w:rFonts w:ascii="Times New Roman;Times;serif" w:hAnsi="Times New Roman;Times;serif"/>
          <w:b/>
          <w:color w:val="000000"/>
          <w:sz w:val="20"/>
        </w:rPr>
        <w:t xml:space="preserve">INDUSTRY AND MARKET DATA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this prospectus and the documents incorporated by reference herein,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including Allied Market Research and Sporting Goods Intelligence, Inc. Some data and other information contained, or incorporated by reference,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in this prospectus and “Risk Factors” in our Annual Report (as defined herein) incorporated by reference in this prospectus. These and other factors could cause our future performance to differ materially from our assumptions and estimates. See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 </w:t>
      </w:r>
    </w:p>
    <w:p>
      <w:pPr>
        <w:pStyle w:val="TextBody"/>
        <w:spacing w:before="410" w:after="283"/>
        <w:jc w:val="center"/>
        <w:rPr>
          <w:rFonts w:ascii="Times New Roman;Times;serif" w:hAnsi="Times New Roman;Times;serif"/>
          <w:b/>
          <w:color w:val="000000"/>
          <w:sz w:val="20"/>
        </w:rPr>
      </w:pPr>
      <w:bookmarkStart w:id="17" w:name="tTTS"/>
      <w:bookmarkEnd w:id="17"/>
      <w:r>
        <w:rPr>
          <w:rFonts w:ascii="Times New Roman;Times;serif" w:hAnsi="Times New Roman;Times;serif"/>
          <w:b/>
          <w:color w:val="000000"/>
          <w:sz w:val="20"/>
        </w:rPr>
        <w:t xml:space="preserve">TRADEMARKS, TRADENAMES, SERVICE MARKS AND COPYRIGHTS </w:t>
      </w:r>
    </w:p>
    <w:p>
      <w:pPr>
        <w:pStyle w:val="TextBody"/>
        <w:spacing w:lineRule="auto" w:line="240"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own and license a number of registered and common law trademarks and pending applications for trademark registrations in the United States, primarily through our subsidiaries, including, for example: Academy Sports + Outdoors®, Magellan Outdoors®, BCG®, O’rageous® and Outdoor Gourmet®. Unless otherwise indicated, all trademarks appearing in this prospectus are proprietary to us, our affiliates and/or licensors. This prospectus and the documents incorporated by reference herein also contain trademarks, tradenames, service marks and copyrights of other companies, which are the property of their respective owners. Solely for convenience, certain trademarks, tradenames, service marks and copyrights referred to in this prospectus (or in documents incorporated by reference herein) may appear without the ©, ® and ™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 w:name="DSPFPageBreakArea2"/>
      <w:bookmarkStart w:id="19" w:name="DSPFPageBreakArea2"/>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 w:name="DSPFPageBreak2"/>
      <w:bookmarkStart w:id="21" w:name="DSPFPageBreak2"/>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 w:name="ny20000592x1_drs_102-toc_pg3"/>
        <w:bookmarkEnd w:id="2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23" w:name="tBP"/>
      <w:bookmarkEnd w:id="23"/>
      <w:r>
        <w:rPr>
          <w:rFonts w:ascii="Times New Roman;Times;serif" w:hAnsi="Times New Roman;Times;serif"/>
          <w:b/>
          <w:color w:val="000000"/>
          <w:sz w:val="20"/>
        </w:rPr>
        <w:t xml:space="preserve">BASIS OF PRESENTATION </w:t>
      </w:r>
    </w:p>
    <w:p>
      <w:pPr>
        <w:pStyle w:val="TextBody"/>
        <w:spacing w:before="39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Definitions </w:t>
      </w:r>
    </w:p>
    <w:p>
      <w:pPr>
        <w:pStyle w:val="TextBody"/>
        <w:spacing w:before="15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terms are used in this prospectus unless otherwise noted or indicated by the context: </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2015 Term Loan Facility” means our senior secured term loans facility due July 2, 2022, which was repaid in full on November 6, 2020 with the net proceeds from the 2027 Notes and the Term Loan Facility, together with cash on hand;</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2021 Vesting Event” means the vesting event that occurred in connection with the secondary offering of our shares of common stock in May 2021 which resulted in a reduction of KKR’s ownership interest in the Company, as described under Note 1 to our financial statements included in our Q2 Quarterly Report incorporated by reference herein;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2027 Notes” means our 6.00% senior secured notes due November 15, 2027, as described under Note 4 to our audited consolidated financial statements in our Annual Report incorporated by reference herein;</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ABL Facility” means our senior secured asset-based revolving credit facility, as described under Note 4 to our audited consolidated financial statements in our Annual Report incorporated by reference herein;</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 </w:t>
            </w:r>
          </w:p>
        </w:tc>
      </w:tr>
    </w:tbl>
    <w:tbl>
      <w:tblPr>
        <w:tblW w:w="4555" w:type="dxa"/>
        <w:jc w:val="left"/>
        <w:tblInd w:w="720" w:type="dxa"/>
        <w:tblCellMar>
          <w:top w:w="0" w:type="dxa"/>
          <w:left w:w="0" w:type="dxa"/>
          <w:bottom w:w="0" w:type="dxa"/>
          <w:right w:w="0" w:type="dxa"/>
        </w:tblCellMar>
      </w:tblPr>
      <w:tblGrid>
        <w:gridCol w:w="110"/>
        <w:gridCol w:w="44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4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Adviser” means Kohlberg Kravis Roberts &amp; Co. L.P.;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Annual Report” means our Annual Report on Form 10-K for the fiscal year ended January 30, 2021, filed on April 7, 2021.</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Average order value” means in-store and e-commerce merchandise sales divided by the number of sales transactions, which indicates the average amount of a sales receipt; </w:t>
            </w:r>
          </w:p>
        </w:tc>
      </w:tr>
    </w:tbl>
    <w:tbl>
      <w:tblPr>
        <w:tblW w:w="4810" w:type="dxa"/>
        <w:jc w:val="left"/>
        <w:tblInd w:w="720" w:type="dxa"/>
        <w:tblCellMar>
          <w:top w:w="0" w:type="dxa"/>
          <w:left w:w="0" w:type="dxa"/>
          <w:bottom w:w="0" w:type="dxa"/>
          <w:right w:w="0" w:type="dxa"/>
        </w:tblCellMar>
      </w:tblPr>
      <w:tblGrid>
        <w:gridCol w:w="110"/>
        <w:gridCol w:w="47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700"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BOPIS” means our buy-online-pickup-in-store program;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in our Annual Report incorporated by reference herein. There may be variations in the way in which some of our competitors and other retailers calculate comparable sales. As a result, data included, or incorporated by reference, in this prospectus regarding our comparable sales may not be comparable to similar data made available by other retailers;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2020 is the second highest; </w:t>
            </w:r>
          </w:p>
        </w:tc>
      </w:tr>
    </w:tbl>
    <w:tbl>
      <w:tblPr>
        <w:tblW w:w="7855" w:type="dxa"/>
        <w:jc w:val="left"/>
        <w:tblInd w:w="720" w:type="dxa"/>
        <w:tblCellMar>
          <w:top w:w="0" w:type="dxa"/>
          <w:left w:w="0" w:type="dxa"/>
          <w:bottom w:w="0" w:type="dxa"/>
          <w:right w:w="0" w:type="dxa"/>
        </w:tblCellMar>
      </w:tblPr>
      <w:tblGrid>
        <w:gridCol w:w="110"/>
        <w:gridCol w:w="77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4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IPO” means the initial public offering of our common stock, which closed on October 6, 2020;</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 w:name="DSPFPageBreakArea3"/>
      <w:bookmarkStart w:id="25" w:name="DSPFPageBreakArea3"/>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 w:name="DSPFPageBreak3"/>
      <w:bookmarkStart w:id="27" w:name="DSPFPageBreak3"/>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 w:name="ny20000592x1_drs_102-toc_pg4"/>
        <w:bookmarkEnd w:id="2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KKR” means, collectively, investment funds and other entities affiliated with Kohlberg Kravis Roberts &amp; Co. L.P.; </w:t>
            </w:r>
          </w:p>
        </w:tc>
      </w:tr>
    </w:tbl>
    <w:tbl>
      <w:tblPr>
        <w:tblW w:w="6490" w:type="dxa"/>
        <w:jc w:val="left"/>
        <w:tblInd w:w="720" w:type="dxa"/>
        <w:tblCellMar>
          <w:top w:w="0" w:type="dxa"/>
          <w:left w:w="0" w:type="dxa"/>
          <w:bottom w:w="0" w:type="dxa"/>
          <w:right w:w="0" w:type="dxa"/>
        </w:tblCellMar>
      </w:tblPr>
      <w:tblGrid>
        <w:gridCol w:w="110"/>
        <w:gridCol w:w="63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380"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KKR Stockholders” means, collectively, investment entities owned by KKR;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 </w:t>
            </w:r>
          </w:p>
        </w:tc>
      </w:tr>
    </w:tbl>
    <w:tbl>
      <w:tblPr>
        <w:tblW w:w="6910" w:type="dxa"/>
        <w:jc w:val="left"/>
        <w:tblInd w:w="720" w:type="dxa"/>
        <w:tblCellMar>
          <w:top w:w="0" w:type="dxa"/>
          <w:left w:w="0" w:type="dxa"/>
          <w:bottom w:w="0" w:type="dxa"/>
          <w:right w:w="0" w:type="dxa"/>
        </w:tblCellMar>
      </w:tblPr>
      <w:tblGrid>
        <w:gridCol w:w="110"/>
        <w:gridCol w:w="68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800"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mature stores” means stores that have been in operation for longer than four years; </w:t>
            </w:r>
          </w:p>
        </w:tc>
      </w:tr>
    </w:tbl>
    <w:tbl>
      <w:tblPr>
        <w:tblW w:w="9055" w:type="dxa"/>
        <w:jc w:val="left"/>
        <w:tblInd w:w="720" w:type="dxa"/>
        <w:tblCellMar>
          <w:top w:w="0" w:type="dxa"/>
          <w:left w:w="0" w:type="dxa"/>
          <w:bottom w:w="0" w:type="dxa"/>
          <w:right w:w="0" w:type="dxa"/>
        </w:tblCellMar>
      </w:tblPr>
      <w:tblGrid>
        <w:gridCol w:w="110"/>
        <w:gridCol w:w="89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94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number of sales transactions” means total quantity of sales transactions generated, whether in-store or online;</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owned brands” means our private label brands, which include both our own brands, as well as brands we license under exclusive license contracts;</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 xml:space="preserve">Proxy Statement” means our Proxy Statement on Schedule 14A for our 2021 Annual Meeting of Stockholders filed on April 23, 2021;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Q2 Quarterly Report” means our Quarterly Report on Form 10-Q for the quarter ended July 31, 2021, filed on September   , 2021; and</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color w:val="000000"/>
              </w:rPr>
            </w:pPr>
            <w:r>
              <w:rPr>
                <w:color w:val="000000"/>
              </w:rPr>
              <w:t>“</w:t>
            </w:r>
            <w:r>
              <w:rPr>
                <w:rFonts w:ascii="Times New Roman;Times;serif" w:hAnsi="Times New Roman;Times;serif"/>
                <w:color w:val="000000"/>
                <w:sz w:val="20"/>
              </w:rPr>
              <w:t>Term Loan Facility” means our senior secured term loan facility, as described under Note 4 to our audited consolidated financial statements in our Annual Report incorporated by reference herein.</w:t>
            </w:r>
          </w:p>
        </w:tc>
      </w:tr>
    </w:tbl>
    <w:p>
      <w:pPr>
        <w:pStyle w:val="TextBody"/>
        <w:spacing w:before="41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Presentation of Financial Information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Academy Sports and Outdoors, Inc. conducts its operations through its subsidiaries, including its indirect subsidiary, Academy, Ltd., an operating company which is doing business as “Academy Sports + Outdoors.”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“2017,” “2018,” “2019,” “2020” and “2021” relate to our fiscal years ended February 3, 2018, February 2, 2019, February 1, 2020, January 30, 2021 and January 29, 2022, respectively, unless the context requires otherwise.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Numerical figures included, or incorporated by reference, in this prospectus have been subject to rounding adjustments. Accordingly, numerical figures shown as totals in various tables may not be arithmetic aggregations of the figures that precede them.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 w:name="DSPFPageBreakArea4"/>
      <w:bookmarkStart w:id="30" w:name="DSPFPageBreakArea4"/>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 w:name="DSPFPageBreak4"/>
      <w:bookmarkStart w:id="32" w:name="DSPFPageBreak4"/>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3" w:name="ny20000592x1_drs_102-toc_pg5"/>
        <w:bookmarkEnd w:id="3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34" w:name="tNGF"/>
      <w:bookmarkEnd w:id="34"/>
      <w:r>
        <w:rPr>
          <w:rFonts w:ascii="Times New Roman;Times;serif" w:hAnsi="Times New Roman;Times;serif"/>
          <w:b/>
          <w:color w:val="000000"/>
          <w:sz w:val="20"/>
        </w:rPr>
        <w:t xml:space="preserve">NON-GAAP FINANCIAL MEASURES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and the documents incorporated by reference herein contain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and “Adjusted Free Cash Flow.”</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Adjusted EBITDA, Adjusted Net Income and Adjusted Free Cash Flow have been presented in this prospectus and the documents incorporated by reference herein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 w:name="DSPFPageBreakArea5"/>
      <w:bookmarkStart w:id="36" w:name="DSPFPageBreakArea5"/>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 w:name="DSPFPageBreak5"/>
      <w:bookmarkStart w:id="38" w:name="DSPFPageBreak5"/>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9" w:name="ny20000592x1_drs_103-summary_pg1"/>
        <w:bookmarkEnd w:id="3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center"/>
        <w:rPr>
          <w:rFonts w:ascii="Times New Roman;Times;serif" w:hAnsi="Times New Roman;Times;serif"/>
          <w:b/>
          <w:color w:val="000000"/>
          <w:sz w:val="20"/>
          <w:bdr w:val="single" w:sz="8" w:space="12" w:color="000000"/>
        </w:rPr>
      </w:pPr>
      <w:bookmarkStart w:id="40" w:name="tSUM"/>
      <w:bookmarkEnd w:id="40"/>
      <w:r>
        <w:rPr>
          <w:rFonts w:ascii="Times New Roman;Times;serif" w:hAnsi="Times New Roman;Times;serif"/>
          <w:b/>
          <w:color w:val="000000"/>
          <w:sz w:val="20"/>
          <w:bdr w:val="single" w:sz="8" w:space="12" w:color="000000"/>
        </w:rPr>
        <w:t xml:space="preserve">SUMMARY </w:t>
      </w:r>
    </w:p>
    <w:p>
      <w:pPr>
        <w:pStyle w:val="TextBody"/>
        <w:spacing w:before="120" w:after="240"/>
        <w:ind w:left="72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contained elsewhere in this prospectus or incorporated by reference herein from our filings with the SEC listed under “Incorporation by Reference.” This summary does not contain all of the information that you should consider before deciding to invest in our common stock. You should carefully read this entire prospectus and the information incorporated by reference in this prospectus, including any free writing prospectus prepared by us or on our behalf, including the sections entitled “Risk Factors” and “Forward-Looking Statements” included elsewhere in this prospectus and “Risk Factors,” “Management’s Discussion and Analysis of Financial Condition and Results of Operations” and our audited consolidated financial statements and related notes thereto in our Annual Report incorporated by reference herein, before making an investment decision. This summary contains forward-looking statements that involve risks and uncertainties.</w:t>
      </w:r>
      <w:r>
        <w:rPr>
          <w:rFonts w:ascii="Times New Roman;Times;serif" w:hAnsi="Times New Roman;Times;serif"/>
          <w:i/>
          <w:caps w:val="false"/>
          <w:smallCaps w:val="false"/>
          <w:color w:val="000000"/>
          <w:sz w:val="20"/>
          <w:bdr w:val="single" w:sz="8" w:space="12" w:color="000000"/>
        </w:rPr>
        <w:t xml:space="preserve"> </w:t>
      </w:r>
    </w:p>
    <w:p>
      <w:pPr>
        <w:pStyle w:val="TextBody"/>
        <w:spacing w:before="41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Who We Are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Academy Sports + Outdoors is one of the leading full-line sporting goods and outdoor recreation retailers in the United States. We estimate that we served approximately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 </w:t>
      </w:r>
    </w:p>
    <w:p>
      <w:pPr>
        <w:pStyle w:val="TextBody"/>
        <w:spacing w:before="17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the following key attributes differentiate us from our competitors: </w:t>
      </w:r>
    </w:p>
    <w:tbl>
      <w:tblPr>
        <w:tblW w:w="8440" w:type="dxa"/>
        <w:jc w:val="left"/>
        <w:tblInd w:w="720" w:type="dxa"/>
        <w:tblCellMar>
          <w:top w:w="0" w:type="dxa"/>
          <w:left w:w="0" w:type="dxa"/>
          <w:bottom w:w="0" w:type="dxa"/>
          <w:right w:w="0" w:type="dxa"/>
        </w:tblCellMar>
      </w:tblPr>
      <w:tblGrid>
        <w:gridCol w:w="110"/>
        <w:gridCol w:w="83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3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Value-based assortment that enables our customers to participate and have fun, no matter their budget. </w:t>
            </w:r>
          </w:p>
        </w:tc>
      </w:tr>
    </w:tbl>
    <w:tbl>
      <w:tblPr>
        <w:tblW w:w="7330" w:type="dxa"/>
        <w:jc w:val="left"/>
        <w:tblInd w:w="720" w:type="dxa"/>
        <w:tblCellMar>
          <w:top w:w="0" w:type="dxa"/>
          <w:left w:w="0" w:type="dxa"/>
          <w:bottom w:w="0" w:type="dxa"/>
          <w:right w:w="0" w:type="dxa"/>
        </w:tblCellMar>
      </w:tblPr>
      <w:tblGrid>
        <w:gridCol w:w="110"/>
        <w:gridCol w:w="72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Broad assortment that extends beyond sporting goods and apparel to outdoor recreation.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Emerging, rapidly growing and profitable omnichannel strategy that leverages our strong BOPIS and shipping fulfillment capabilities. </w:t>
            </w:r>
          </w:p>
        </w:tc>
      </w:tr>
    </w:tbl>
    <w:tbl>
      <w:tblPr>
        <w:tblW w:w="7240" w:type="dxa"/>
        <w:jc w:val="left"/>
        <w:tblInd w:w="720" w:type="dxa"/>
        <w:tblCellMar>
          <w:top w:w="0" w:type="dxa"/>
          <w:left w:w="0" w:type="dxa"/>
          <w:bottom w:w="0" w:type="dxa"/>
          <w:right w:w="0" w:type="dxa"/>
        </w:tblCellMar>
      </w:tblPr>
      <w:tblGrid>
        <w:gridCol w:w="110"/>
        <w:gridCol w:w="71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1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Strong customer loyalty, with opportunities to increase penetration in existing markets.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Regional focus in the southern United States with a strong and growing presence in seven of the top 10 fastest-growing Metropolitan Statistical Areas (“MSAs”). </w:t>
            </w:r>
          </w:p>
        </w:tc>
      </w:tr>
    </w:tbl>
    <w:tbl>
      <w:tblPr>
        <w:tblW w:w="7615" w:type="dxa"/>
        <w:jc w:val="left"/>
        <w:tblInd w:w="720" w:type="dxa"/>
        <w:tblCellMar>
          <w:top w:w="0" w:type="dxa"/>
          <w:left w:w="0" w:type="dxa"/>
          <w:bottom w:w="0" w:type="dxa"/>
          <w:right w:w="0" w:type="dxa"/>
        </w:tblCellMar>
      </w:tblPr>
      <w:tblGrid>
        <w:gridCol w:w="110"/>
        <w:gridCol w:w="75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Core customers comprising active families that we support with one-stop shop convenience. </w:t>
            </w:r>
          </w:p>
        </w:tc>
      </w:tr>
    </w:tbl>
    <w:tbl>
      <w:tblPr>
        <w:tblW w:w="7795" w:type="dxa"/>
        <w:jc w:val="left"/>
        <w:tblInd w:w="720" w:type="dxa"/>
        <w:tblCellMar>
          <w:top w:w="0" w:type="dxa"/>
          <w:left w:w="0" w:type="dxa"/>
          <w:bottom w:w="0" w:type="dxa"/>
          <w:right w:w="0" w:type="dxa"/>
        </w:tblCellMar>
      </w:tblPr>
      <w:tblGrid>
        <w:gridCol w:w="110"/>
        <w:gridCol w:w="76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6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Significant whitespace opportunity for both in-fill and adjacent geographies and new markets. </w:t>
            </w:r>
          </w:p>
        </w:tc>
      </w:tr>
    </w:tbl>
    <w:tbl>
      <w:tblPr>
        <w:tblW w:w="7480" w:type="dxa"/>
        <w:jc w:val="left"/>
        <w:tblInd w:w="720" w:type="dxa"/>
        <w:tblCellMar>
          <w:top w:w="0" w:type="dxa"/>
          <w:left w:w="0" w:type="dxa"/>
          <w:bottom w:w="0" w:type="dxa"/>
          <w:right w:w="0" w:type="dxa"/>
        </w:tblCellMar>
      </w:tblPr>
      <w:tblGrid>
        <w:gridCol w:w="110"/>
        <w:gridCol w:w="73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3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Strong financial profile with accelerating performance and attractive cash flow generation. </w:t>
            </w:r>
          </w:p>
        </w:tc>
      </w:tr>
    </w:tbl>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 w:name="DSPFPageBreakArea6"/>
      <w:bookmarkStart w:id="42" w:name="DSPFPageBreakArea6"/>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 w:name="DSPFPageBreak6"/>
      <w:bookmarkStart w:id="44" w:name="DSPFPageBreak6"/>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5" w:name="ny20000592x1_drs_103-summary_pg2"/>
        <w:bookmarkEnd w:id="4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stores deliver industry-leading unit sales and profitability, including 2020 net sales per store of $22.0 million, average total sales per square foot of $311, and average EBITDA per store of $2.3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three times per year and our best customers visiting our stores nine times per year. The majority of our stores are located in high-traffic shopping centers, while none of the stores are located in, or anchored to, malls.</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emerging, profitable e-commerce platform that leverages our strong BOPIS and shipping fulfillment capabilities has achieved year-over-year sales growth of 138% and 8% during 2020 and 2019, respectively. Our e-commerce sales represented 10.4% and 5.1%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39% of our e-commerce sales during 2020 coming from new households.</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finished 2020 with approximately $5.7 billion in sales, $308.8 million of net income and $607.0 million in Adjusted EBITDA. Although comparable sales were negative for 2017, 2018 and 2019, as of the end of the fourth quarter of 2020, we have seen six consecutive quarters of positive comparable sales and Adjusted EBITDA growth. We earned net income of $308.8 million, $120.0 million and $21.4 million during 2020, 2019 and 2018, respectively. See “—Summary Historical Consolidated Financial and Other Data” for definitions of Adjusted EBITDA and Adjusted Free Cash Flow and reconciliations of Adjusted EBITDA to net income and Adjusted Free Cash Flow to net cash provided by operating activities.</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 w:name="DSPFPageBreakArea7"/>
      <w:bookmarkStart w:id="47" w:name="DSPFPageBreakArea7"/>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 w:name="DSPFPageBreak7"/>
      <w:bookmarkStart w:id="49" w:name="DSPFPageBreak7"/>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0" w:name="ny20000592x1_drs_103-summary_pg3"/>
        <w:bookmarkEnd w:id="5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Performance Improvement Initiatives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Strengthened leadership team</w:t>
            </w:r>
            <w:r>
              <w:rPr>
                <w:rFonts w:ascii="Times New Roman;Times;serif" w:hAnsi="Times New Roman;Times;serif"/>
                <w:color w:val="000000"/>
                <w:sz w:val="20"/>
              </w:rPr>
              <w:t xml:space="preserve"> – Our leadership team comprises nine highly experienced and proven individuals, seven of whom joined Academy 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Build omnichannel</w:t>
            </w:r>
            <w:r>
              <w:rPr>
                <w:rFonts w:ascii="Times New Roman;Times;serif" w:hAnsi="Times New Roman;Times;serif"/>
                <w:color w:val="000000"/>
                <w:sz w:val="20"/>
              </w:rPr>
              <w:t xml:space="preserve"> – After investing approximately $50 million in our omnichannel capabilities from 2017 through 2019, we launched several new omnichannel initiatives in 2019, including our BOPIS program, ship-to-store program and new website design, content and functionality. Our mobile app, which launched in the second quarter of 2021, also supports our stores with digital marketing and our BOPIS and ship-to-store programs. While still early in our omnichannel strategy, we have built a profitable omnichannel business that is poised for continued growth and improvement of capabilities.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Localized merchandising </w:t>
            </w:r>
            <w:r>
              <w:rPr>
                <w:rFonts w:ascii="Times New Roman;Times;serif" w:hAnsi="Times New Roman;Times;serif"/>
                <w:color w:val="000000"/>
                <w:sz w:val="20"/>
              </w:rPr>
              <w:t>– Since 2018, we improved the localization of our assortment across selected inventory offerings. This initiative resulted in an improved customer shopping experience and increased sales.</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Category focus </w:t>
            </w:r>
            <w:r>
              <w:rPr>
                <w:rFonts w:ascii="Times New Roman;Times;serif" w:hAnsi="Times New Roman;Times;serif"/>
                <w:color w:val="000000"/>
                <w:sz w:val="20"/>
              </w:rPr>
              <w:t xml:space="preserve">– In 2019 and continuing into 2020, we improved and focused our assortments in priority product categories, such as team sports, fishing and outdoors, while exiting certain other product categories, such as luggage, electronics and toys, that were less profitable or unprofitable, slower moving, and not core to our sporting goods and outdoor offering.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Enhance store optimization </w:t>
            </w:r>
            <w:r>
              <w:rPr>
                <w:rFonts w:ascii="Times New Roman;Times;serif" w:hAnsi="Times New Roman;Times;serif"/>
                <w:color w:val="000000"/>
                <w:sz w:val="20"/>
              </w:rPr>
              <w:t xml:space="preserve">– We leverage technology to enable our store team members to better manage, prioritize and reduce tasks to give them more time to engage in customer service, thereby increasing our productivity and sales conversion.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Digital marketing program </w:t>
            </w:r>
            <w:r>
              <w:rPr>
                <w:rFonts w:ascii="Times New Roman;Times;serif" w:hAnsi="Times New Roman;Times;serif"/>
                <w:color w:val="000000"/>
                <w:sz w:val="20"/>
              </w:rPr>
              <w:t xml:space="preserve">– During the last two years, we shifted our primary marketing focus from print to digital marketing. Our improved website also supports our stores with digital marketing and our BOPIS program. Each of these initiatives has given us a closer connection with our customers.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Implement loyalty program </w:t>
            </w:r>
            <w:r>
              <w:rPr>
                <w:rFonts w:ascii="Times New Roman;Times;serif" w:hAnsi="Times New Roman;Times;serif"/>
                <w:color w:val="000000"/>
                <w:sz w:val="20"/>
              </w:rPr>
              <w:t xml:space="preserve">– We launched the Academy Credit Card program in May 2019, which constituted approximately 4.5% of 2020 net sales. Academy Credit Card represents a significant opportunity to build customer loyalty, as our Academy Credit Card customers both spend more per trip and visit our stores more often.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Programmatic inventory management </w:t>
            </w:r>
            <w:r>
              <w:rPr>
                <w:rFonts w:ascii="Times New Roman;Times;serif" w:hAnsi="Times New Roman;Times;serif"/>
                <w:color w:val="000000"/>
                <w:sz w:val="20"/>
              </w:rPr>
              <w:t>– We implemented a new disciplined price markdown strategy that has improved our margins 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 xml:space="preserve">Develop small box format </w:t>
            </w:r>
            <w:r>
              <w:rPr>
                <w:rFonts w:ascii="Times New Roman;Times;serif" w:hAnsi="Times New Roman;Times;serif"/>
                <w:color w:val="000000"/>
                <w:sz w:val="20"/>
              </w:rPr>
              <w:t>– We opened our first small format store (approximately 40,000 square feet) in Dallas, Texas in 2019. We believe this 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tc>
      </w:tr>
    </w:tbl>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 w:name="DSPFPageBreakArea8"/>
      <w:bookmarkStart w:id="52" w:name="DSPFPageBreakArea8"/>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 w:name="DSPFPageBreak8"/>
      <w:bookmarkStart w:id="54" w:name="DSPFPageBreak8"/>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5" w:name="ny20000592x1_drs_103-summary_pg4"/>
        <w:bookmarkEnd w:id="5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facilitate social distancing. We expect that this will continue throughout the duration of the pandemic and will result in a long-term increase to our customer base. The industry has seen unprecedented increases in participation across several categories which we consider to be some of our “power categories.” This includes camping/hiking/kayaking,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pStyle w:val="TextBody"/>
        <w:spacing w:before="41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Industry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compete in a $110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retail sporting goods and outdoor recreation retail industry comprises six principal categories of retailers: </w:t>
      </w:r>
    </w:p>
    <w:tbl>
      <w:tblPr>
        <w:tblW w:w="2155" w:type="dxa"/>
        <w:jc w:val="left"/>
        <w:tblInd w:w="720" w:type="dxa"/>
        <w:tblCellMar>
          <w:top w:w="0" w:type="dxa"/>
          <w:left w:w="0" w:type="dxa"/>
          <w:bottom w:w="0" w:type="dxa"/>
          <w:right w:w="0" w:type="dxa"/>
        </w:tblCellMar>
      </w:tblPr>
      <w:tblGrid>
        <w:gridCol w:w="110"/>
        <w:gridCol w:w="20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0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Mass general merchants</w:t>
            </w:r>
            <w:r>
              <w:rPr>
                <w:rFonts w:ascii="Times New Roman;Times;serif" w:hAnsi="Times New Roman;Times;serif"/>
                <w:color w:val="000000"/>
                <w:sz w:val="20"/>
              </w:rPr>
              <w:t xml:space="preserve"> </w:t>
            </w:r>
          </w:p>
        </w:tc>
      </w:tr>
    </w:tbl>
    <w:tbl>
      <w:tblPr>
        <w:tblW w:w="2995" w:type="dxa"/>
        <w:jc w:val="left"/>
        <w:tblInd w:w="720" w:type="dxa"/>
        <w:tblCellMar>
          <w:top w:w="0" w:type="dxa"/>
          <w:left w:w="0" w:type="dxa"/>
          <w:bottom w:w="0" w:type="dxa"/>
          <w:right w:w="0" w:type="dxa"/>
        </w:tblCellMar>
      </w:tblPr>
      <w:tblGrid>
        <w:gridCol w:w="110"/>
        <w:gridCol w:w="28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88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Large format sporting goods stores</w:t>
            </w:r>
          </w:p>
        </w:tc>
      </w:tr>
    </w:tbl>
    <w:tbl>
      <w:tblPr>
        <w:tblW w:w="2875" w:type="dxa"/>
        <w:jc w:val="left"/>
        <w:tblInd w:w="720" w:type="dxa"/>
        <w:tblCellMar>
          <w:top w:w="0" w:type="dxa"/>
          <w:left w:w="0" w:type="dxa"/>
          <w:bottom w:w="0" w:type="dxa"/>
          <w:right w:w="0" w:type="dxa"/>
        </w:tblCellMar>
      </w:tblPr>
      <w:tblGrid>
        <w:gridCol w:w="110"/>
        <w:gridCol w:w="27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76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Traditional sporting goods stores</w:t>
            </w:r>
          </w:p>
        </w:tc>
      </w:tr>
    </w:tbl>
    <w:tbl>
      <w:tblPr>
        <w:tblW w:w="2335" w:type="dxa"/>
        <w:jc w:val="left"/>
        <w:tblInd w:w="720" w:type="dxa"/>
        <w:tblCellMar>
          <w:top w:w="0" w:type="dxa"/>
          <w:left w:w="0" w:type="dxa"/>
          <w:bottom w:w="0" w:type="dxa"/>
          <w:right w:w="0" w:type="dxa"/>
        </w:tblCellMar>
      </w:tblPr>
      <w:tblGrid>
        <w:gridCol w:w="110"/>
        <w:gridCol w:w="22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Specialty outdoor retailers</w:t>
            </w:r>
          </w:p>
        </w:tc>
      </w:tr>
    </w:tbl>
    <w:tbl>
      <w:tblPr>
        <w:tblW w:w="2410" w:type="dxa"/>
        <w:jc w:val="left"/>
        <w:tblInd w:w="720" w:type="dxa"/>
        <w:tblCellMar>
          <w:top w:w="0" w:type="dxa"/>
          <w:left w:w="0" w:type="dxa"/>
          <w:bottom w:w="0" w:type="dxa"/>
          <w:right w:w="0" w:type="dxa"/>
        </w:tblCellMar>
      </w:tblPr>
      <w:tblGrid>
        <w:gridCol w:w="110"/>
        <w:gridCol w:w="23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30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Specialty footwear retailers</w:t>
            </w:r>
          </w:p>
        </w:tc>
      </w:tr>
    </w:tbl>
    <w:tbl>
      <w:tblPr>
        <w:tblW w:w="2620" w:type="dxa"/>
        <w:jc w:val="left"/>
        <w:tblInd w:w="720" w:type="dxa"/>
        <w:tblCellMar>
          <w:top w:w="0" w:type="dxa"/>
          <w:left w:w="0" w:type="dxa"/>
          <w:bottom w:w="0" w:type="dxa"/>
          <w:right w:w="0" w:type="dxa"/>
        </w:tblCellMar>
      </w:tblPr>
      <w:tblGrid>
        <w:gridCol w:w="110"/>
        <w:gridCol w:w="25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51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Catalogue &amp; Internet retailers</w:t>
            </w:r>
          </w:p>
        </w:tc>
      </w:tr>
    </w:tbl>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primary competitors are large format sporting goods stores and mass general merchants that offer sporting goods, outdoor recreation products and other lifestyle and recreational merchandise.</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6" w:name="DSPFPageBreakArea9"/>
      <w:bookmarkStart w:id="57" w:name="DSPFPageBreakArea9"/>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 w:name="DSPFPageBreak9"/>
      <w:bookmarkStart w:id="59" w:name="DSPFPageBreak9"/>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0" w:name="ny20000592x1_drs_103-summary_pg5"/>
        <w:bookmarkEnd w:id="6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Competitive Strengths </w:t>
      </w:r>
    </w:p>
    <w:p>
      <w:pPr>
        <w:pStyle w:val="TextBody"/>
        <w:spacing w:before="14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attribute our success to the following competitive strengths: </w:t>
      </w:r>
    </w:p>
    <w:p>
      <w:pPr>
        <w:pStyle w:val="TextBody"/>
        <w:spacing w:before="38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Regional leader in growing industry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the second largest full-line sporting goods and outdoor recreation retailer in the United States, with 2020 net sales of $5.7 billion. We believe our stores are well positioned geographically, with a strong and growing presence in seven of the top 10 fastest-growing MSAs, including Austin, Raleigh, Orlando, Houston, San Antonio, Dallas and Charlotte. As of January 30, 2021, 29% of our stores are in four of the top five fastest-growing MSAs. This deep penetration of our established markets results in high customer awareness of, and loyalty to, the Academy name and frequent visits to our conveniently located stores.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size of the sporting goods and outdoor recreation industry was estimated at $110 billion in the United States in 2020, based on SGI Market Facts—Athletic Footwear &amp; Apparel 2020 and SGI Market Facts—Sports Equipment 2020 by Sporting Goods Intelligence, Inc., and it is growing. According to Allied Market Research, sales growth from 2019 through 2027 in categories we participate, such as outdoor, team sports, apparel and footwear, is expected to grow approximately 6% per annum. </w:t>
      </w:r>
    </w:p>
    <w:p>
      <w:pPr>
        <w:pStyle w:val="TextBody"/>
        <w:spacing w:before="38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Broad assortment and compelling value proposition across the spectrum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 </w:t>
      </w:r>
    </w:p>
    <w:p>
      <w:pPr>
        <w:pStyle w:val="TextBody"/>
        <w:spacing w:before="38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Diversified mix of industry-leading national brands and owned brands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 w:name="DSPFPageBreakArea10"/>
      <w:bookmarkStart w:id="62" w:name="DSPFPageBreakArea10"/>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 w:name="DSPFPageBreak10"/>
      <w:bookmarkStart w:id="64" w:name="DSPFPageBreak10"/>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5" w:name="ny20000592x1_drs_103-summary_pg6"/>
        <w:bookmarkEnd w:id="6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owned brand portfolio consists of 19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 </w:t>
      </w:r>
    </w:p>
    <w:p>
      <w:pPr>
        <w:pStyle w:val="TextBody"/>
        <w:spacing w:before="40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Differentiated in-store experience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Times;serif" w:hAnsi="Times New Roman;Times;serif"/>
          <w:i/>
          <w:color w:val="000000"/>
          <w:sz w:val="20"/>
          <w:bdr w:val="single" w:sz="8" w:space="12" w:color="000000"/>
        </w:rPr>
        <w:t>Enthusiasts</w:t>
      </w:r>
      <w:r>
        <w:rPr>
          <w:rFonts w:ascii="Times New Roman;Times;serif" w:hAnsi="Times New Roman;Times;serif"/>
          <w:color w:val="000000"/>
          <w:sz w:val="20"/>
          <w:bdr w:val="single" w:sz="8" w:space="12" w:color="000000"/>
        </w:rPr>
        <w:t xml:space="preserve"> –passionate local experts who are specially recruited and trained for category-specific positions. Our </w:t>
      </w:r>
      <w:r>
        <w:rPr>
          <w:rFonts w:ascii="Times New Roman;Times;serif" w:hAnsi="Times New Roman;Times;serif"/>
          <w:i/>
          <w:color w:val="000000"/>
          <w:sz w:val="20"/>
          <w:bdr w:val="single" w:sz="8" w:space="12" w:color="000000"/>
        </w:rPr>
        <w:t>Enthusiasts</w:t>
      </w:r>
      <w:r>
        <w:rPr>
          <w:rFonts w:ascii="Times New Roman;Times;serif" w:hAnsi="Times New Roman;Times;serif"/>
          <w:color w:val="000000"/>
          <w:sz w:val="20"/>
          <w:bdr w:val="single" w:sz="8" w:space="12" w:color="000000"/>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Times;serif" w:hAnsi="Times New Roman;Times;serif"/>
          <w:i/>
          <w:color w:val="000000"/>
          <w:sz w:val="20"/>
          <w:bdr w:val="single" w:sz="8" w:space="12" w:color="000000"/>
        </w:rPr>
        <w:t>Enthusiasts</w:t>
      </w:r>
      <w:r>
        <w:rPr>
          <w:rFonts w:ascii="Times New Roman;Times;serif" w:hAnsi="Times New Roman;Times;serif"/>
          <w:color w:val="000000"/>
          <w:sz w:val="20"/>
          <w:bdr w:val="single" w:sz="8" w:space="12" w:color="000000"/>
        </w:rPr>
        <w:t xml:space="preserve"> to share experiences and obtain further advice and assistance. </w:t>
      </w:r>
    </w:p>
    <w:p>
      <w:pPr>
        <w:pStyle w:val="TextBody"/>
        <w:spacing w:before="40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Large and loyal customer base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endeavor to offer products for customers of all ages, incomes and aspirations across sporting and outdoor recreation activities, seasons and experience levels. As such, we have a balanced, year-round business and a large customer base. In 2020, we estimate we served approximately 30 million unique customers and we completed approximately 80 million transactions, resulting in strong household penetration in our core markets.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 w:name="DSPFPageBreakArea11"/>
      <w:bookmarkStart w:id="67" w:name="DSPFPageBreakArea11"/>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 w:name="DSPFPageBreak11"/>
      <w:bookmarkStart w:id="69" w:name="DSPFPageBreak11"/>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0" w:name="ny20000592x1_drs_103-summary_pg7"/>
        <w:bookmarkEnd w:id="7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 </w:t>
      </w:r>
    </w:p>
    <w:p>
      <w:pPr>
        <w:pStyle w:val="TextBody"/>
        <w:spacing w:before="24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Highly experienced and passionate senior management team with a proven track record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company is led by a highly 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pStyle w:val="TextBody"/>
        <w:spacing w:before="24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Strong and adaptive financial performance through economic cycles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pStyle w:val="TextBody"/>
        <w:spacing w:before="240" w:after="240"/>
        <w:ind w:left="11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Growth Strategy </w:t>
      </w:r>
    </w:p>
    <w:p>
      <w:pPr>
        <w:pStyle w:val="TextBody"/>
        <w:spacing w:before="14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focused on the following four growth drivers: </w:t>
      </w:r>
    </w:p>
    <w:p>
      <w:pPr>
        <w:pStyle w:val="TextBody"/>
        <w:spacing w:before="24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Leverage technology and content to drive our omnichannel strategy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e-commerce sales represented 10.4% and 5.1% of our merchandise sales for 2020 and 2019, respectively. E-commerce sales compared to the same quarter of the prior year increased 406% in the first quarter of 2020, 210% in the second quarter of 2020, 96% in the third quarter of 2020 and 61% in the fourth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 w:name="DSPFPageBreakArea12"/>
      <w:bookmarkStart w:id="72" w:name="DSPFPageBreakArea1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 w:name="DSPFPageBreak12"/>
      <w:bookmarkStart w:id="74" w:name="DSPFPageBreak12"/>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5" w:name="ny20000592x1_drs_103-summary_pg8"/>
        <w:bookmarkEnd w:id="7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quarter of 2020. Our goal is to increase our omnichannel penetration quickly and significantly. To meet this goal, since 2011, we have invested $230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third quarter of 2020, which will continue to give our customers more options on how to shop Academy.</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pStyle w:val="TextBody"/>
        <w:spacing w:before="41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Enhance customer engagement and increase retention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we have a significant opportunity to continue to expand our customer base. Better understanding our customers’ buying trends allows us to better target and cater to our customers. Our robust customer database has approximately 40 million unique customers, and we continue to grow this through increased penetration of e-commerce sales and through the success of our Academy Credit Card program.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approximately 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we possess a significant amount of high quality customer data, which we can leverage to enhance customer engagement and retention and drive purchase conversion.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6" w:name="DSPFPageBreakArea13"/>
      <w:bookmarkStart w:id="77" w:name="DSPFPageBreakArea13"/>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8" w:name="DSPFPageBreak13"/>
      <w:bookmarkStart w:id="79" w:name="DSPFPageBreak13"/>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0" w:name="ny20000592x1_drs_103-summary_pg9"/>
        <w:bookmarkEnd w:id="8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Enhance operational excellence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of 2020 as a result of a shift in consumer preferences due to the COVID-19 pandemic and the related increased popularity in our isolated recreation, outdoor and leisure activity products, which are generally lower margin goods.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 </w:t>
      </w:r>
    </w:p>
    <w:p>
      <w:pPr>
        <w:pStyle w:val="TextBody"/>
        <w:spacing w:before="380" w:after="240"/>
        <w:ind w:left="72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Capitalize on substantial whitespace and in-fill opportunities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pStyle w:val="TextBody"/>
        <w:spacing w:before="380" w:after="240"/>
        <w:ind w:left="112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In-fill market opportunity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 </w:t>
      </w:r>
    </w:p>
    <w:p>
      <w:pPr>
        <w:pStyle w:val="TextBody"/>
        <w:spacing w:before="380" w:after="240"/>
        <w:ind w:left="112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Adjacent market opportunity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1" w:name="DSPFPageBreakArea14"/>
      <w:bookmarkStart w:id="82" w:name="DSPFPageBreakArea1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3" w:name="DSPFPageBreak14"/>
      <w:bookmarkStart w:id="84" w:name="DSPFPageBreak14"/>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5" w:name="ny20000592x1_drs_103-summary_pg10"/>
        <w:bookmarkEnd w:id="8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112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Greenfield opportunity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 </w:t>
      </w:r>
    </w:p>
    <w:p>
      <w:pPr>
        <w:pStyle w:val="TextBody"/>
        <w:spacing w:before="360" w:after="240"/>
        <w:ind w:left="112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Significant growth opportunity</w:t>
      </w:r>
    </w:p>
    <w:p>
      <w:pPr>
        <w:pStyle w:val="TextBody"/>
        <w:spacing w:before="275" w:after="240"/>
        <w:jc w:val="center"/>
        <w:rPr>
          <w:color w:val="000000"/>
          <w:bdr w:val="single" w:sz="8" w:space="12" w:color="000000"/>
        </w:rPr>
      </w:pPr>
      <w:r>
        <w:rPr>
          <w:color w:val="000000"/>
          <w:bdr w:val="single" w:sz="8" w:space="12" w:color="000000"/>
        </w:rPr>
        <w:drawing>
          <wp:inline distT="0" distB="0" distL="0" distR="0">
            <wp:extent cx="4486275" cy="36766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486275" cy="3676650"/>
                    </a:xfrm>
                    <a:prstGeom prst="rect">
                      <a:avLst/>
                    </a:prstGeom>
                  </pic:spPr>
                </pic:pic>
              </a:graphicData>
            </a:graphic>
          </wp:inline>
        </w:drawing>
      </w:r>
    </w:p>
    <w:p>
      <w:pPr>
        <w:pStyle w:val="TextBody"/>
        <w:spacing w:before="0" w:after="240"/>
        <w:ind w:left="720" w:right="0" w:hanging="0"/>
        <w:jc w:val="left"/>
        <w:rPr>
          <w:color w:val="000000"/>
          <w:bdr w:val="single" w:sz="8" w:space="12" w:color="000000"/>
        </w:rPr>
      </w:pPr>
      <w:r>
        <w:rPr>
          <w:color w:val="000000"/>
          <w:bdr w:val="single" w:sz="8" w:space="12" w:color="000000"/>
        </w:rPr>
        <w:t xml:space="preserve">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 </w:t>
      </w:r>
    </w:p>
    <w:p>
      <w:pPr>
        <w:pStyle w:val="TextBody"/>
        <w:spacing w:before="3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Recent Developments</w:t>
      </w:r>
    </w:p>
    <w:p>
      <w:pPr>
        <w:pStyle w:val="TextBody"/>
        <w:spacing w:before="140" w:after="240"/>
        <w:ind w:left="72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Cessation of Controlled Company Status</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April 12, 2021, certain of our stockholders completed a sale (the “April 2021 Sale”) of 9,000,000 shares of our common stock pursuant to Rule 144 under the Securities Act of 1933, as amended (the “Securities Act”). 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from the date of the April 2021 Sale. See “Risk Factors—Risks Related to this Offering and Ownership of Our Common Stock—As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 w:name="DSPFPageBreakArea15"/>
      <w:bookmarkStart w:id="87" w:name="DSPFPageBreakArea15"/>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8" w:name="DSPFPageBreak15"/>
      <w:bookmarkStart w:id="89" w:name="DSPFPageBreak15"/>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0" w:name="ny20000592x1_drs_103-summary_pg11"/>
        <w:bookmarkEnd w:id="9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Risks Related to Our Business and this Offering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Investing in our common stock involves a high degree of risk. You should carefully consider the risks described in “Risk Factors” included elsewhere in this prospectus and “Risk Factors” in our Annual Report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 </w:t>
      </w:r>
    </w:p>
    <w:tbl>
      <w:tblPr>
        <w:tblW w:w="6895" w:type="dxa"/>
        <w:jc w:val="left"/>
        <w:tblInd w:w="720" w:type="dxa"/>
        <w:tblCellMar>
          <w:top w:w="0" w:type="dxa"/>
          <w:left w:w="0" w:type="dxa"/>
          <w:bottom w:w="0" w:type="dxa"/>
          <w:right w:w="0" w:type="dxa"/>
        </w:tblCellMar>
      </w:tblPr>
      <w:tblGrid>
        <w:gridCol w:w="110"/>
        <w:gridCol w:w="67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overall decline in the health of the economy and consumer discretionary spending;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predict or effectively react to changes in consumer tastes and preferences, to acquire and sell brand name merchandise at competitive prices, and/or to manage our inventory balances; </w:t>
            </w:r>
          </w:p>
        </w:tc>
      </w:tr>
    </w:tbl>
    <w:tbl>
      <w:tblPr>
        <w:tblW w:w="5200" w:type="dxa"/>
        <w:jc w:val="left"/>
        <w:tblInd w:w="720" w:type="dxa"/>
        <w:tblCellMar>
          <w:top w:w="0" w:type="dxa"/>
          <w:left w:w="0" w:type="dxa"/>
          <w:bottom w:w="0" w:type="dxa"/>
          <w:right w:w="0" w:type="dxa"/>
        </w:tblCellMar>
      </w:tblPr>
      <w:tblGrid>
        <w:gridCol w:w="110"/>
        <w:gridCol w:w="50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COVID-19 on our business and financial results; </w:t>
            </w:r>
          </w:p>
        </w:tc>
      </w:tr>
    </w:tbl>
    <w:tbl>
      <w:tblPr>
        <w:tblW w:w="6820" w:type="dxa"/>
        <w:jc w:val="left"/>
        <w:tblInd w:w="720" w:type="dxa"/>
        <w:tblCellMar>
          <w:top w:w="0" w:type="dxa"/>
          <w:left w:w="0" w:type="dxa"/>
          <w:bottom w:w="0" w:type="dxa"/>
          <w:right w:w="0" w:type="dxa"/>
        </w:tblCellMar>
      </w:tblPr>
      <w:tblGrid>
        <w:gridCol w:w="110"/>
        <w:gridCol w:w="67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intense competition in the sporting goods and outdoor recreation retail industries; </w:t>
            </w:r>
          </w:p>
        </w:tc>
      </w:tr>
    </w:tbl>
    <w:tbl>
      <w:tblPr>
        <w:tblW w:w="9430" w:type="dxa"/>
        <w:jc w:val="left"/>
        <w:tblInd w:w="720" w:type="dxa"/>
        <w:tblCellMar>
          <w:top w:w="0" w:type="dxa"/>
          <w:left w:w="0" w:type="dxa"/>
          <w:bottom w:w="0" w:type="dxa"/>
          <w:right w:w="0" w:type="dxa"/>
        </w:tblCellMar>
      </w:tblPr>
      <w:tblGrid>
        <w:gridCol w:w="110"/>
        <w:gridCol w:w="93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safeguard sensitive or confidential data relating to us and our customers, team members and vendors; </w:t>
            </w:r>
          </w:p>
        </w:tc>
      </w:tr>
    </w:tbl>
    <w:tbl>
      <w:tblPr>
        <w:tblW w:w="6640" w:type="dxa"/>
        <w:jc w:val="left"/>
        <w:tblInd w:w="720" w:type="dxa"/>
        <w:tblCellMar>
          <w:top w:w="0" w:type="dxa"/>
          <w:left w:w="0" w:type="dxa"/>
          <w:bottom w:w="0" w:type="dxa"/>
          <w:right w:w="0" w:type="dxa"/>
        </w:tblCellMar>
      </w:tblPr>
      <w:tblGrid>
        <w:gridCol w:w="110"/>
        <w:gridCol w:w="65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our reliance on internationally manufactured merchandise;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comply with laws and regulations affecting our business, including those relating to the sale, manufacture and import of consumer products;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claims, demands and lawsuits to which we are, and may in the future, be subject and the risk that our insurance or indemnities coverage may not be sufficient; </w:t>
            </w:r>
          </w:p>
        </w:tc>
      </w:tr>
    </w:tbl>
    <w:tbl>
      <w:tblPr>
        <w:tblW w:w="6685" w:type="dxa"/>
        <w:jc w:val="left"/>
        <w:tblInd w:w="720" w:type="dxa"/>
        <w:tblCellMar>
          <w:top w:w="0" w:type="dxa"/>
          <w:left w:w="0" w:type="dxa"/>
          <w:bottom w:w="0" w:type="dxa"/>
          <w:right w:w="0" w:type="dxa"/>
        </w:tblCellMar>
      </w:tblPr>
      <w:tblGrid>
        <w:gridCol w:w="110"/>
        <w:gridCol w:w="65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operate, update or implement our information technology systems; </w:t>
            </w:r>
          </w:p>
        </w:tc>
      </w:tr>
    </w:tbl>
    <w:tbl>
      <w:tblPr>
        <w:tblW w:w="8410" w:type="dxa"/>
        <w:jc w:val="left"/>
        <w:tblInd w:w="720" w:type="dxa"/>
        <w:tblCellMar>
          <w:top w:w="0" w:type="dxa"/>
          <w:left w:w="0" w:type="dxa"/>
          <w:bottom w:w="0" w:type="dxa"/>
          <w:right w:w="0" w:type="dxa"/>
        </w:tblCellMar>
      </w:tblPr>
      <w:tblGrid>
        <w:gridCol w:w="110"/>
        <w:gridCol w:w="83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3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risks associated with disruptions in our supply chain and losses of merchandise purchasing incentives;</w:t>
            </w:r>
          </w:p>
        </w:tc>
      </w:tr>
    </w:tbl>
    <w:tbl>
      <w:tblPr>
        <w:tblW w:w="2050" w:type="dxa"/>
        <w:jc w:val="left"/>
        <w:tblInd w:w="720" w:type="dxa"/>
        <w:tblCellMar>
          <w:top w:w="0" w:type="dxa"/>
          <w:left w:w="0" w:type="dxa"/>
          <w:bottom w:w="0" w:type="dxa"/>
          <w:right w:w="0" w:type="dxa"/>
        </w:tblCellMar>
      </w:tblPr>
      <w:tblGrid>
        <w:gridCol w:w="110"/>
        <w:gridCol w:w="19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9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harm to our reputation; </w:t>
            </w:r>
          </w:p>
        </w:tc>
      </w:tr>
    </w:tbl>
    <w:tbl>
      <w:tblPr>
        <w:tblW w:w="2845" w:type="dxa"/>
        <w:jc w:val="left"/>
        <w:tblInd w:w="720" w:type="dxa"/>
        <w:tblCellMar>
          <w:top w:w="0" w:type="dxa"/>
          <w:left w:w="0" w:type="dxa"/>
          <w:bottom w:w="0" w:type="dxa"/>
          <w:right w:w="0" w:type="dxa"/>
        </w:tblCellMar>
      </w:tblPr>
      <w:tblGrid>
        <w:gridCol w:w="110"/>
        <w:gridCol w:w="27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7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substantial indebtedness; and</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qualification for exemptions from certain corporate governance requirements during the one-year transition period after our loss of “controlled company” status within the meaning of Nasdaq listing rules upon completion of the April 2021 Sale. </w:t>
            </w:r>
          </w:p>
        </w:tc>
      </w:tr>
    </w:tbl>
    <w:p>
      <w:pPr>
        <w:pStyle w:val="TextBody"/>
        <w:spacing w:before="41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Corporate Information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common stock began trading on Nasdaq under the symbol “ASO” on October 2, 2020 and we consummated the IPO on October 6, 2020.</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Times;serif" w:hAnsi="Times New Roman;Times;serif"/>
          <w:b/>
          <w:color w:val="000000"/>
          <w:sz w:val="20"/>
          <w:bdr w:val="single" w:sz="8" w:space="12" w:color="000000"/>
        </w:rPr>
        <w:t>The information contained on, or that can be accessed through, our website is not part of this prospectus.</w:t>
      </w:r>
      <w:r>
        <w:rPr>
          <w:rFonts w:ascii="Times New Roman;Times;serif" w:hAnsi="Times New Roman;Times;serif"/>
          <w:color w:val="000000"/>
          <w:sz w:val="20"/>
          <w:bdr w:val="single" w:sz="8" w:space="12" w:color="000000"/>
        </w:rPr>
        <w:t xml:space="preserve">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 w:name="DSPFPageBreakArea16"/>
      <w:bookmarkStart w:id="92" w:name="DSPFPageBreakArea1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 w:name="DSPFPageBreak16"/>
      <w:bookmarkStart w:id="94" w:name="DSPFPageBreak16"/>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5" w:name="ny20000592x1_drs_103-summary_pg12"/>
        <w:bookmarkEnd w:id="9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spacing w:before="120" w:after="240"/>
        <w:ind w:left="92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Common stock offered by the selling stockholders</w:t>
      </w:r>
    </w:p>
    <w:p>
      <w:pPr>
        <w:pStyle w:val="TextBody"/>
        <w:spacing w:before="0" w:after="240"/>
        <w:ind w:left="5040" w:right="0" w:hanging="0"/>
        <w:jc w:val="left"/>
        <w:rPr>
          <w:color w:val="000000"/>
          <w:bdr w:val="single" w:sz="8" w:space="12" w:color="000000"/>
        </w:rPr>
      </w:pPr>
      <w:r>
        <w:rPr>
          <w:color w:val="000000"/>
          <w:bdr w:val="single" w:sz="8" w:space="12" w:color="000000"/>
        </w:rPr>
        <w:t xml:space="preserve">     </w:t>
      </w:r>
      <w:r>
        <w:rPr>
          <w:rFonts w:ascii="Times New Roman;Times;serif" w:hAnsi="Times New Roman;Times;serif"/>
          <w:color w:val="000000"/>
          <w:sz w:val="20"/>
          <w:bdr w:val="single" w:sz="8" w:space="12" w:color="000000"/>
        </w:rPr>
        <w:t xml:space="preserve">shares. </w:t>
      </w:r>
    </w:p>
    <w:p>
      <w:pPr>
        <w:pStyle w:val="TextBody"/>
        <w:spacing w:before="1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Common stock outstanding</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92,883,540 shares (as of July 31, 2021). </w:t>
      </w:r>
    </w:p>
    <w:p>
      <w:pPr>
        <w:pStyle w:val="TextBody"/>
        <w:spacing w:before="1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Use of proceeds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will not receive any proceeds from the sale of shares being sold in this offering. The selling stockholders will receive all of the net proceeds and bear all commissions and discounts, if any, from the sale of our common stock pursuant to this prospectus. See “Use of Proceeds” and “Principal and Selling Stockholders.”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w:t>
      </w:r>
    </w:p>
    <w:p>
      <w:pPr>
        <w:pStyle w:val="TextBody"/>
        <w:spacing w:before="1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Conflicts of Interest</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KKR Stockholders beneficially own in excess of 10% of our issued and outstanding common stock and will be selling stockholders in this offering and, as such, will receive in excess of 5% of the net proceeds of the offering. Because KKR Capital Markets LLC, an affiliate of the KKR Stockholders, is an underwriter in this offering, KKR Capital Markets LLC is deemed to have a “conflict of interest” under Rule 5121, or Rule 5121, of the Financial Industry Regulatory Authority, Inc., or FINRA. Accordingly, this offering is being made in compliance with the requirements of Rule 5121. Pursuant to that rule, the appointment of a “qualified independent underwriter” is not required in connection with this offering, because a bona fide public market exists in the shares, as that term is defined in Rule 5121. See “Principal and Selling Stockholders” and “Underwriting (Conflicts of Interest).” </w:t>
      </w:r>
    </w:p>
    <w:p>
      <w:pPr>
        <w:pStyle w:val="TextBody"/>
        <w:spacing w:before="1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Dividend policy</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 </w:t>
      </w:r>
    </w:p>
    <w:p>
      <w:pPr>
        <w:pStyle w:val="TextBody"/>
        <w:spacing w:before="1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Risk factors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Investing in shares of our common stock involves a high degree of risk. See “Risk Factors” for a discussion of factors you should carefully consider before investing in shares of our common stock.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6" w:name="DSPFPageBreakArea17"/>
      <w:bookmarkStart w:id="97" w:name="DSPFPageBreakArea1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8" w:name="DSPFPageBreak17"/>
      <w:bookmarkStart w:id="99" w:name="DSPFPageBreak1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0" w:name="ny20000592x1_drs_103-summary_pg13"/>
        <w:bookmarkEnd w:id="10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92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Material U.S. federal income and estate tax consequences to non-U.S. holders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discussion of certain U.S. federal income and estate tax consequences that may be relevant to non-U.S. stockholders, see “Material U.S. Federal Income and Estate Tax Consequences to Non-U.S. Holders.” </w:t>
      </w:r>
    </w:p>
    <w:p>
      <w:pPr>
        <w:pStyle w:val="TextBody"/>
        <w:spacing w:before="160" w:after="240"/>
        <w:ind w:left="72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Nasdaq trading symbol</w:t>
      </w:r>
    </w:p>
    <w:p>
      <w:pPr>
        <w:pStyle w:val="TextBody"/>
        <w:spacing w:before="0" w:after="240"/>
        <w:ind w:left="5040" w:right="0" w:hanging="0"/>
        <w:jc w:val="left"/>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ASO.”</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number of shares of common stock to be outstanding after giving effect to this offering is based on 92,883,540 shares of our common stock outstanding as of July 31, 2021 and excludes as of such date:</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4,689,376 shares of common stock issuable upon exercise of outstanding options, all of which were vested with a weighted-average exercise price of $15.20 per share, granted under the 2011 Equity Plan;</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1,046,473 shares of common stock issuable upon exercise of outstanding options, (i) 23,956 of which were vested, with a weighted-average exercise price of $26.99, (ii) 1,022,517 of which were not vested, with a weighted average price of $25.00 per share, (iii) 374,338 shares of common stock issuable upon settlement of outstanding restricted stock units, none of which were vested, and (iv) 3,725,110 shares of common stock reserved for future issuance, in each case, granted under our new 2020 Omnibus Incentive Plan, or the 2020 Equity Plan; and</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1,964,614 shares of common stock reserved for future issuance under our new 2020 Employee Stock Purchase Plan, or the ESPP.</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1" w:name="DSPFPageBreakArea18"/>
      <w:bookmarkStart w:id="102" w:name="DSPFPageBreakArea18"/>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3" w:name="DSPFPageBreak18"/>
      <w:bookmarkStart w:id="104" w:name="DSPFPageBreak18"/>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5" w:name="ny20000592x1_drs_103-summary_pg14"/>
        <w:bookmarkEnd w:id="10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40"/>
        <w:ind w:left="72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SUMMARY HISTORICAL CONSOLIDATED FINANCIAL AND OTHER DATA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Set forth below is our summary historical consolidated financial and other data as of the dates and for the periods indicated. The summary historical financial data as of January 30, 2021 and February 1, 2020 and for 2020, 2019 and 2018 has been derived from our audited consolidated financial statements and related notes thereto incorporated by reference in this prospectus. The summary historical financial data as of February 2, 2019 has been derived from our consolidated financial statements and related notes thereto not included or incorporated by reference in this prospectus. The summary historical financial data as of July 31, 2021 and for the twenty-six weeks ended July 31, 2021 and August 1, 2020 has been derived from our unaudited condensed consolidated financial statements and related notes thereto incorporated by reference in this prospectus. The unaudited historical consolidated financial statements were prepared on a basis consistent with our audited historical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our future financial condition or results of operations.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You should read the following summary financial and other data below together with the information under “Capitalization” in this prospectus, as well as the sections entitled “Selected Financial Data,” “Management’s Discussion and Analysis of Financial Condition and Results of Operations” and our audited consolidated financial statements and related notes in our Annual Report incorporated by reference herein.</w:t>
      </w:r>
    </w:p>
    <w:tbl>
      <w:tblPr>
        <w:tblW w:w="8705" w:type="dxa"/>
        <w:jc w:val="left"/>
        <w:tblInd w:w="720" w:type="dxa"/>
        <w:tblCellMar>
          <w:top w:w="0" w:type="dxa"/>
          <w:left w:w="0" w:type="dxa"/>
          <w:bottom w:w="0" w:type="dxa"/>
          <w:right w:w="0" w:type="dxa"/>
        </w:tblCellMar>
      </w:tblPr>
      <w:tblGrid>
        <w:gridCol w:w="3665"/>
        <w:gridCol w:w="23"/>
        <w:gridCol w:w="23"/>
        <w:gridCol w:w="950"/>
        <w:gridCol w:w="23"/>
        <w:gridCol w:w="23"/>
        <w:gridCol w:w="950"/>
        <w:gridCol w:w="23"/>
        <w:gridCol w:w="23"/>
        <w:gridCol w:w="950"/>
        <w:gridCol w:w="23"/>
        <w:gridCol w:w="23"/>
        <w:gridCol w:w="950"/>
        <w:gridCol w:w="23"/>
        <w:gridCol w:w="23"/>
        <w:gridCol w:w="1010"/>
      </w:tblGrid>
      <w:tr>
        <w:trPr/>
        <w:tc>
          <w:tcPr>
            <w:tcW w:w="36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942" w:type="dxa"/>
            <w:gridSpan w:val="7"/>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006"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Twenty-Six Weeks Ended</w:t>
            </w:r>
          </w:p>
        </w:tc>
      </w:tr>
      <w:tr>
        <w:trPr/>
        <w:tc>
          <w:tcPr>
            <w:tcW w:w="36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January 30,</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February 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February 2,</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July 31,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0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August 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3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Period length</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 thousands)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 weeks</w:t>
            </w:r>
          </w:p>
        </w:tc>
      </w:tr>
      <w:tr>
        <w:trPr/>
        <w:tc>
          <w:tcPr>
            <w:tcW w:w="366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Statement of Income Data:</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0"/>
              <w:jc w:val="left"/>
              <w:rPr>
                <w:color w:val="000000"/>
              </w:rPr>
            </w:pPr>
            <w:r>
              <w:rPr>
                <w:color w:val="000000"/>
              </w:rPr>
              <w:t> </w:t>
            </w:r>
          </w:p>
        </w:tc>
      </w:tr>
      <w:tr>
        <w:trPr/>
        <w:tc>
          <w:tcPr>
            <w:tcW w:w="36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sales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$5,689,233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$4,829,897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$4,783,893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$3,371,863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$2,742,721 </w:t>
            </w:r>
          </w:p>
        </w:tc>
      </w:tr>
      <w:tr>
        <w:trPr/>
        <w:tc>
          <w:tcPr>
            <w:tcW w:w="36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of goods sold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3,955,188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3,398,743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3,415,941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2,165,666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1,948,275</w:t>
            </w:r>
          </w:p>
        </w:tc>
      </w:tr>
      <w:tr>
        <w:trPr/>
        <w:tc>
          <w:tcPr>
            <w:tcW w:w="36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Gross margin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1,734,045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1,431,154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1,367,952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1,206,197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794,446</w:t>
            </w:r>
          </w:p>
        </w:tc>
      </w:tr>
      <w:tr>
        <w:trPr/>
        <w:tc>
          <w:tcPr>
            <w:tcW w:w="36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 expenses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1,313,647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1,251,733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1,239,002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712,565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596,636</w:t>
            </w:r>
          </w:p>
        </w:tc>
      </w:tr>
      <w:tr>
        <w:trPr/>
        <w:tc>
          <w:tcPr>
            <w:tcW w:w="36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420,398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179,421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128,950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493,632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197,810</w:t>
            </w:r>
          </w:p>
        </w:tc>
      </w:tr>
      <w:tr>
        <w:trPr/>
        <w:tc>
          <w:tcPr>
            <w:tcW w:w="36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86,514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101,307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108,652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26,706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48,088</w:t>
            </w:r>
          </w:p>
        </w:tc>
      </w:tr>
      <w:tr>
        <w:trPr/>
        <w:tc>
          <w:tcPr>
            <w:tcW w:w="3665"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retirement of debt, net(1)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(42,265)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(7,831)</w:t>
            </w:r>
          </w:p>
        </w:tc>
      </w:tr>
      <w:tr>
        <w:trPr/>
        <w:tc>
          <w:tcPr>
            <w:tcW w:w="36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(1,654</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(2,481</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(3,095</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(1,132</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(1,621</w:t>
            </w:r>
            <w:r>
              <w:rPr>
                <w:rFonts w:ascii="Times New Roman;Times;serif" w:hAnsi="Times New Roman;Times;serif"/>
                <w:color w:val="000000"/>
                <w:sz w:val="20"/>
              </w:rPr>
              <w:t>)</w:t>
            </w:r>
          </w:p>
        </w:tc>
      </w:tr>
      <w:tr>
        <w:trPr/>
        <w:tc>
          <w:tcPr>
            <w:tcW w:w="36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Income before income taxes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339,120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122,860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23,393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465,819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159,174</w:t>
            </w:r>
          </w:p>
        </w:tc>
      </w:tr>
      <w:tr>
        <w:trPr/>
        <w:tc>
          <w:tcPr>
            <w:tcW w:w="36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30,356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2,817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1,951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97,513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1,518</w:t>
            </w:r>
          </w:p>
        </w:tc>
      </w:tr>
      <w:tr>
        <w:trPr/>
        <w:tc>
          <w:tcPr>
            <w:tcW w:w="36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$308,764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$120,043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$21,442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$368,306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$157,656</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6" w:name="DSPFPageBreakArea19"/>
      <w:bookmarkStart w:id="107" w:name="DSPFPageBreakArea19"/>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8" w:name="DSPFPageBreak19"/>
      <w:bookmarkStart w:id="109" w:name="DSPFPageBreak19"/>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0" w:name="ny20000592x1_drs_103-summary_pg15"/>
        <w:bookmarkEnd w:id="11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8906" w:type="dxa"/>
        <w:jc w:val="left"/>
        <w:tblInd w:w="720" w:type="dxa"/>
        <w:tblCellMar>
          <w:top w:w="0" w:type="dxa"/>
          <w:left w:w="0" w:type="dxa"/>
          <w:bottom w:w="0" w:type="dxa"/>
          <w:right w:w="0" w:type="dxa"/>
        </w:tblCellMar>
      </w:tblPr>
      <w:tblGrid>
        <w:gridCol w:w="4130"/>
        <w:gridCol w:w="23"/>
        <w:gridCol w:w="23"/>
        <w:gridCol w:w="950"/>
        <w:gridCol w:w="23"/>
        <w:gridCol w:w="23"/>
        <w:gridCol w:w="890"/>
        <w:gridCol w:w="23"/>
        <w:gridCol w:w="23"/>
        <w:gridCol w:w="890"/>
        <w:gridCol w:w="23"/>
        <w:gridCol w:w="23"/>
        <w:gridCol w:w="877"/>
        <w:gridCol w:w="23"/>
        <w:gridCol w:w="23"/>
        <w:gridCol w:w="939"/>
      </w:tblGrid>
      <w:tr>
        <w:trPr/>
        <w:tc>
          <w:tcPr>
            <w:tcW w:w="413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822" w:type="dxa"/>
            <w:gridSpan w:val="7"/>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862"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Twenty-Six Weeks Ended</w:t>
            </w:r>
          </w:p>
        </w:tc>
      </w:tr>
      <w:tr>
        <w:trPr/>
        <w:tc>
          <w:tcPr>
            <w:tcW w:w="413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January 30,</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February 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February 2,</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77"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July 31,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3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August 1,</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41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Period length</w:t>
            </w:r>
          </w:p>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 thousands, except store data and per share data)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52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 weeks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 weeks</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Sheet Data (end of period):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0"/>
              <w:jc w:val="left"/>
              <w:rPr>
                <w:color w:val="000000"/>
              </w:rPr>
            </w:pPr>
            <w:r>
              <w:rPr>
                <w:color w:val="000000"/>
              </w:rPr>
              <w:t> </w:t>
            </w:r>
          </w:p>
        </w:tc>
      </w:tr>
      <w:tr>
        <w:trPr/>
        <w:tc>
          <w:tcPr>
            <w:tcW w:w="41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377,604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149,385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75,691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553,825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884,029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Merchandise inventories,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990,034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1,099,749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1,134,156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1,115,020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899,086</w:t>
            </w:r>
          </w:p>
        </w:tc>
      </w:tr>
      <w:tr>
        <w:trPr/>
        <w:tc>
          <w:tcPr>
            <w:tcW w:w="413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4,384,482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4,331,321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3,238,957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4,634,027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4,842,848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equity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1,111,983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988,219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857,039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1,447,618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1,149,096</w:t>
            </w:r>
          </w:p>
        </w:tc>
      </w:tr>
      <w:tr>
        <w:trPr/>
        <w:tc>
          <w:tcPr>
            <w:tcW w:w="413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0"/>
              <w:jc w:val="left"/>
              <w:rPr>
                <w:color w:val="000000"/>
              </w:rPr>
            </w:pPr>
            <w:r>
              <w:rPr>
                <w:color w:val="000000"/>
              </w:rPr>
              <w:t>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 Data:</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0"/>
              <w:jc w:val="left"/>
              <w:rPr>
                <w:color w:val="000000"/>
              </w:rPr>
            </w:pPr>
            <w:r>
              <w:rPr>
                <w:color w:val="000000"/>
              </w:rPr>
              <w:t> </w:t>
            </w:r>
          </w:p>
        </w:tc>
      </w:tr>
      <w:tr>
        <w:trPr/>
        <w:tc>
          <w:tcPr>
            <w:tcW w:w="41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1,011,597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263,669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198,481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405,674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773,621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(33,144)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(66,783)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(99,027)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(33,767)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(13,850)</w:t>
            </w:r>
          </w:p>
        </w:tc>
      </w:tr>
      <w:tr>
        <w:trPr/>
        <w:tc>
          <w:tcPr>
            <w:tcW w:w="4130"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cash provided by (used in) financing activities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(750,234)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(123,192)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(54,808)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(195,686)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(25,127)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 expenditures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(41,269)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107,905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(33,767)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(13,850)</w:t>
            </w:r>
          </w:p>
        </w:tc>
      </w:tr>
      <w:tr>
        <w:trPr/>
        <w:tc>
          <w:tcPr>
            <w:tcW w:w="413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0"/>
              <w:jc w:val="left"/>
              <w:rPr>
                <w:color w:val="000000"/>
              </w:rPr>
            </w:pPr>
            <w:r>
              <w:rPr>
                <w:color w:val="000000"/>
              </w:rPr>
              <w:t>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Store Data (unaudited):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0"/>
              <w:jc w:val="left"/>
              <w:rPr>
                <w:color w:val="000000"/>
              </w:rPr>
            </w:pPr>
            <w:r>
              <w:rPr>
                <w:color w:val="000000"/>
              </w:rPr>
              <w:t> </w:t>
            </w:r>
          </w:p>
        </w:tc>
      </w:tr>
      <w:tr>
        <w:trPr/>
        <w:tc>
          <w:tcPr>
            <w:tcW w:w="41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Comparable sales increase (decrease)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stores at end of period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r>
      <w:tr>
        <w:trPr/>
        <w:tc>
          <w:tcPr>
            <w:tcW w:w="413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0"/>
              <w:jc w:val="left"/>
              <w:rPr>
                <w:color w:val="000000"/>
              </w:rPr>
            </w:pPr>
            <w:r>
              <w:rPr>
                <w:color w:val="000000"/>
              </w:rPr>
              <w:t> </w:t>
            </w:r>
          </w:p>
        </w:tc>
      </w:tr>
      <w:tr>
        <w:trPr/>
        <w:tc>
          <w:tcPr>
            <w:tcW w:w="413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Financial Data (unaudited):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0"/>
              <w:jc w:val="left"/>
              <w:rPr>
                <w:color w:val="000000"/>
              </w:rPr>
            </w:pPr>
            <w:r>
              <w:rPr>
                <w:color w:val="000000"/>
              </w:rPr>
              <w:t> </w:t>
            </w:r>
          </w:p>
        </w:tc>
      </w:tr>
      <w:tr>
        <w:trPr/>
        <w:tc>
          <w:tcPr>
            <w:tcW w:w="413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EBITDA(3)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607,023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322,814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300,259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595,409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282,902</w:t>
            </w:r>
          </w:p>
        </w:tc>
      </w:tr>
      <w:tr>
        <w:trPr/>
        <w:tc>
          <w:tcPr>
            <w:tcW w:w="413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Net Income(3)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384,536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101,469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55,405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407,081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179,106 </w:t>
            </w:r>
          </w:p>
        </w:tc>
      </w:tr>
      <w:tr>
        <w:trPr/>
        <w:tc>
          <w:tcPr>
            <w:tcW w:w="4130"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Adjusted Free Cash Flow(3)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978,453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196,886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99,454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7"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371,907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9"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759,771</w:t>
            </w:r>
          </w:p>
        </w:tc>
      </w:tr>
    </w:tbl>
    <w:tbl>
      <w:tblPr>
        <w:tblW w:w="9485" w:type="dxa"/>
        <w:jc w:val="left"/>
        <w:tblInd w:w="720" w:type="dxa"/>
        <w:tblCellMar>
          <w:top w:w="0" w:type="dxa"/>
          <w:left w:w="0" w:type="dxa"/>
          <w:bottom w:w="0" w:type="dxa"/>
          <w:right w:w="0" w:type="dxa"/>
        </w:tblCellMar>
      </w:tblPr>
      <w:tblGrid>
        <w:gridCol w:w="176"/>
        <w:gridCol w:w="9309"/>
      </w:tblGrid>
      <w:tr>
        <w:trPr/>
        <w:tc>
          <w:tcPr>
            <w:tcW w:w="17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0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 first half 2020 and in 2019,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connection with the Refinancing Transaction, we repaid in full outstanding borrowings under our 2015 Term Loan Facility, in the amount of $1,431.4 million and recognized a non-cash loss on early retirement of debt of $4.2 million from the write-off of deferred loan costs and expenses related to the original issuance discount associated with our 2015 Term Loan Facility. In first half of 2021, we recognized a non-cash loss on early retirement of debt of $2.2 million from the write-off of deferred loan costs and expense related to the original issuance discount associated with our Term Loan Facility.</w:t>
            </w:r>
          </w:p>
        </w:tc>
      </w:tr>
    </w:tbl>
    <w:tbl>
      <w:tblPr>
        <w:tblW w:w="9485" w:type="dxa"/>
        <w:jc w:val="left"/>
        <w:tblInd w:w="720" w:type="dxa"/>
        <w:tblCellMar>
          <w:top w:w="0" w:type="dxa"/>
          <w:left w:w="0" w:type="dxa"/>
          <w:bottom w:w="0" w:type="dxa"/>
          <w:right w:w="0" w:type="dxa"/>
        </w:tblCellMar>
      </w:tblPr>
      <w:tblGrid>
        <w:gridCol w:w="189"/>
        <w:gridCol w:w="929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2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w:t>
            </w:r>
          </w:p>
        </w:tc>
      </w:tr>
    </w:tbl>
    <w:tbl>
      <w:tblPr>
        <w:tblW w:w="9485" w:type="dxa"/>
        <w:jc w:val="left"/>
        <w:tblInd w:w="720" w:type="dxa"/>
        <w:tblCellMar>
          <w:top w:w="0" w:type="dxa"/>
          <w:left w:w="0" w:type="dxa"/>
          <w:bottom w:w="0" w:type="dxa"/>
          <w:right w:w="0" w:type="dxa"/>
        </w:tblCellMar>
      </w:tblPr>
      <w:tblGrid>
        <w:gridCol w:w="174"/>
        <w:gridCol w:w="9311"/>
      </w:tblGrid>
      <w:tr>
        <w:trPr/>
        <w:tc>
          <w:tcPr>
            <w:tcW w:w="17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We define Adjusted EBITDA as net income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payroll taxes associated with the 2021 Vesting Event and other adjustments. We describe these adjustments reconciling net income to Adjusted EBITDA in the applicable table below. We define Adjusted Net Income as net income,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payroll taxes associated with the 2021 Vesting Event and other adjustments, less the tax effect of these adjustments. We describe these adjustments reconciling net income to Adjusted Net Income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tc>
      </w:tr>
    </w:tbl>
    <w:p>
      <w:pPr>
        <w:pStyle w:val="TextBody"/>
        <w:spacing w:before="60" w:after="240"/>
        <w:ind w:left="1120" w:right="0" w:hanging="0"/>
        <w:jc w:val="left"/>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Adjusted EBITDA, Adjusted Net Income and Adjusted Free Cash Flow have been presented in this prospectus as supplemental measures of financial performance that are not required by, or presented in accordance with, GAAP. We believe Adjusted EBITDA and Adjusted Net Income assist investors and analysts in comparing our operating performance across reporting periods on a consistent basis by excluding items that we do not believe are indicative of our core operating performance. Management believes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and Adjusted Free Cash Flow to supplement GAAP measures of performance in the evaluation of the effectiveness of our business strategies, to make budgeting decisions and to compare our performance against that of other peer companies using similar measures.</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1" w:name="DSPFPageBreakArea20"/>
      <w:bookmarkStart w:id="112" w:name="DSPFPageBreakArea20"/>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3" w:name="DSPFPageBreak20"/>
      <w:bookmarkStart w:id="114" w:name="DSPFPageBreak2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5" w:name="ny20000592x1_drs_103-summary_pg16"/>
        <w:bookmarkEnd w:id="11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05" w:after="240"/>
        <w:ind w:left="1120" w:right="0" w:hanging="0"/>
        <w:jc w:val="left"/>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 xml:space="preserve">Management supplements GAAP results with non-GAAP financial measures to provide a more complete understanding of the factors and trends affecting the business than GAAP results alone. Adjusted EBITDA, Adjusted Net Income and Adjusted Free Cash Flow are not recognized terms under GAAP and should not be considered as an alternative to net income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should not be construed to imply that our future results will be unaffected by unusual or non-recurring items. In evaluating Adjusted EBITDA, Adjusted Net Income and Adjusted Free Cash Flow, you should be aware that in the future we may incur expenses that are the same as or similar to some of the adjustments in this presentation. Our presentation of Adjusted EBITDA, Adjusted Net Income and Adjusted Free Cash Flow should not be construed to imply that our future results will be unaffected by any such adjustments. Management compensates for these limitations by primarily relying on our GAAP results in addition to using Adjusted EBITDA, Adjusted Net Income and Adjusted Free Cash Flow supplementally. </w:t>
      </w:r>
    </w:p>
    <w:p>
      <w:pPr>
        <w:pStyle w:val="TextBody"/>
        <w:spacing w:before="60" w:after="240"/>
        <w:ind w:left="1120" w:right="0" w:hanging="0"/>
        <w:jc w:val="left"/>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 xml:space="preserve">Our Adjusted EBITDA, Adjusted Net Income and Adjusted Free Cash Flow measures have limitations as analytical tools, and you should not consider them in isolation, or as a substitute for analysis of our results as reported under GAAP. Some of these limitations are: </w:t>
      </w:r>
    </w:p>
    <w:tbl>
      <w:tblPr>
        <w:tblW w:w="9400" w:type="dxa"/>
        <w:jc w:val="left"/>
        <w:tblInd w:w="720" w:type="dxa"/>
        <w:tblCellMar>
          <w:top w:w="0" w:type="dxa"/>
          <w:left w:w="0" w:type="dxa"/>
          <w:bottom w:w="0" w:type="dxa"/>
          <w:right w:w="0" w:type="dxa"/>
        </w:tblCellMar>
      </w:tblPr>
      <w:tblGrid>
        <w:gridCol w:w="110"/>
        <w:gridCol w:w="92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and Adjusted Net Income do not reflect costs or cash outlays for capital expenditures or contractual commitments; </w:t>
            </w:r>
          </w:p>
        </w:tc>
      </w:tr>
    </w:tbl>
    <w:tbl>
      <w:tblPr>
        <w:tblW w:w="8740" w:type="dxa"/>
        <w:jc w:val="left"/>
        <w:tblInd w:w="720" w:type="dxa"/>
        <w:tblCellMar>
          <w:top w:w="0" w:type="dxa"/>
          <w:left w:w="0" w:type="dxa"/>
          <w:bottom w:w="0" w:type="dxa"/>
          <w:right w:w="0" w:type="dxa"/>
        </w:tblCellMar>
      </w:tblPr>
      <w:tblGrid>
        <w:gridCol w:w="110"/>
        <w:gridCol w:w="86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6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and Adjusted Net Income do not reflect changes in, or cash requirements for, our working capital needs;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does not reflect the interest expense, or the cash requirements necessary to service interest or principal payments, on our debt, and Adjusted Free Cash Flow does not reflect the cash requirements necessary to service principal payments on our debt; </w:t>
            </w:r>
          </w:p>
        </w:tc>
      </w:tr>
    </w:tbl>
    <w:tbl>
      <w:tblPr>
        <w:tblW w:w="9325" w:type="dxa"/>
        <w:jc w:val="left"/>
        <w:tblInd w:w="720" w:type="dxa"/>
        <w:tblCellMar>
          <w:top w:w="0" w:type="dxa"/>
          <w:left w:w="0" w:type="dxa"/>
          <w:bottom w:w="0" w:type="dxa"/>
          <w:right w:w="0" w:type="dxa"/>
        </w:tblCellMar>
      </w:tblPr>
      <w:tblGrid>
        <w:gridCol w:w="110"/>
        <w:gridCol w:w="92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does not reflect period to period changes in taxes, income tax expense or the cash necessary to pay income taxes;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and Adjusted Net Income do not reflect the impact of earnings or charges resulting from matters we consider not to be indicative of our ongoing operations;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although depreciation and amortization are non-cash charges, the assets being depreciated and amortized will often have to be replaced in the future, and Adjusted EBITDA and Adjusted Free Cash Flow do not reflect cash requirements for such replacements; and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other companies in our industry may calculate these measures differently than we do, limiting their usefulness as comparative measures. </w:t>
            </w:r>
          </w:p>
        </w:tc>
      </w:tr>
    </w:tbl>
    <w:p>
      <w:pPr>
        <w:pStyle w:val="TextBody"/>
        <w:spacing w:before="60" w:after="240"/>
        <w:ind w:left="1120" w:right="0" w:hanging="0"/>
        <w:jc w:val="left"/>
        <w:rPr>
          <w:rFonts w:ascii="Times New Roman;Times;serif" w:hAnsi="Times New Roman;Times;serif"/>
          <w:color w:val="000000"/>
          <w:sz w:val="16"/>
          <w:bdr w:val="single" w:sz="8" w:space="12" w:color="000000"/>
        </w:rPr>
      </w:pPr>
      <w:r>
        <w:rPr>
          <w:rFonts w:ascii="Times New Roman;Times;serif" w:hAnsi="Times New Roman;Times;serif"/>
          <w:color w:val="000000"/>
          <w:sz w:val="16"/>
          <w:bdr w:val="single" w:sz="8" w:space="12" w:color="000000"/>
        </w:rPr>
        <w:t xml:space="preserve">Because of these limitations, Adjusted EBITDA, Adjusted Net Income and Adjusted Free Cash Flow should not be considered as measures of discretionary cash available to invest in business growth or to reduce indebtedness. </w:t>
      </w:r>
    </w:p>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tables provide reconciliations of net income to Adjusted EBITDA and Adjusted Net Income for the periods presented: </w:t>
      </w:r>
    </w:p>
    <w:tbl>
      <w:tblPr>
        <w:tblW w:w="9485" w:type="dxa"/>
        <w:jc w:val="left"/>
        <w:tblInd w:w="720" w:type="dxa"/>
        <w:tblCellMar>
          <w:top w:w="0" w:type="dxa"/>
          <w:left w:w="0" w:type="dxa"/>
          <w:bottom w:w="0" w:type="dxa"/>
          <w:right w:w="0" w:type="dxa"/>
        </w:tblCellMar>
      </w:tblPr>
      <w:tblGrid>
        <w:gridCol w:w="4803"/>
        <w:gridCol w:w="23"/>
        <w:gridCol w:w="23"/>
        <w:gridCol w:w="914"/>
        <w:gridCol w:w="23"/>
        <w:gridCol w:w="23"/>
        <w:gridCol w:w="899"/>
        <w:gridCol w:w="23"/>
        <w:gridCol w:w="23"/>
        <w:gridCol w:w="899"/>
        <w:gridCol w:w="23"/>
        <w:gridCol w:w="23"/>
        <w:gridCol w:w="859"/>
        <w:gridCol w:w="24"/>
        <w:gridCol w:w="24"/>
        <w:gridCol w:w="879"/>
      </w:tblGrid>
      <w:tr>
        <w:trPr/>
        <w:tc>
          <w:tcPr>
            <w:tcW w:w="480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804" w:type="dxa"/>
            <w:gridSpan w:val="7"/>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786"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Twenty-Six Weeks Ended</w:t>
            </w:r>
          </w:p>
        </w:tc>
      </w:tr>
      <w:tr>
        <w:trPr/>
        <w:tc>
          <w:tcPr>
            <w:tcW w:w="480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1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30,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2,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5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July 31,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4" w:type="dxa"/>
            <w:tcBorders>
              <w:bottom w:val="single" w:sz="2" w:space="0" w:color="FFFFFF"/>
            </w:tcBorders>
            <w:shd w:fill="auto" w:val="clear"/>
            <w:tcMar>
              <w:bottom w:w="85" w:type="dxa"/>
            </w:tcMar>
            <w:vAlign w:val="center"/>
          </w:tcPr>
          <w:p>
            <w:pPr>
              <w:pStyle w:val="TableContents"/>
              <w:spacing w:before="0" w:after="283"/>
              <w:rPr/>
            </w:pPr>
            <w:r>
              <w:rPr/>
              <w:t>​</w:t>
            </w:r>
          </w:p>
        </w:tc>
        <w:tc>
          <w:tcPr>
            <w:tcW w:w="24" w:type="dxa"/>
            <w:tcBorders>
              <w:bottom w:val="single" w:sz="2" w:space="0" w:color="FFFFFF"/>
            </w:tcBorders>
            <w:shd w:fill="auto" w:val="clear"/>
            <w:tcMar>
              <w:bottom w:w="85" w:type="dxa"/>
            </w:tcMar>
            <w:vAlign w:val="center"/>
          </w:tcPr>
          <w:p>
            <w:pPr>
              <w:pStyle w:val="TableContents"/>
              <w:spacing w:before="0" w:after="283"/>
              <w:rPr/>
            </w:pPr>
            <w:r>
              <w:rPr/>
              <w:t>​</w:t>
            </w:r>
          </w:p>
        </w:tc>
        <w:tc>
          <w:tcPr>
            <w:tcW w:w="87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August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480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 thousands)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0"/>
              <w:jc w:val="left"/>
              <w:rPr>
                <w:color w:val="000000"/>
              </w:rPr>
            </w:pPr>
            <w:r>
              <w:rPr>
                <w:color w:val="000000"/>
              </w:rPr>
              <w:t> </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0"/>
              <w:jc w:val="left"/>
              <w:rPr>
                <w:color w:val="000000"/>
              </w:rPr>
            </w:pPr>
            <w:r>
              <w:rPr>
                <w:color w:val="000000"/>
              </w:rPr>
              <w:t> </w:t>
            </w:r>
          </w:p>
        </w:tc>
      </w:tr>
      <w:tr>
        <w:trPr/>
        <w:tc>
          <w:tcPr>
            <w:tcW w:w="4803"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$308,764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$120,043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21,442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$368,306</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$157,656</w:t>
            </w:r>
          </w:p>
        </w:tc>
      </w:tr>
      <w:tr>
        <w:trPr/>
        <w:tc>
          <w:tcPr>
            <w:tcW w:w="480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net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86,514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101,307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108,652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26,706</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48,088</w:t>
            </w:r>
          </w:p>
        </w:tc>
      </w:tr>
      <w:tr>
        <w:trPr/>
        <w:tc>
          <w:tcPr>
            <w:tcW w:w="480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30,356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2,817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1,951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97,513</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1,518</w:t>
            </w:r>
          </w:p>
        </w:tc>
      </w:tr>
      <w:tr>
        <w:trPr/>
        <w:tc>
          <w:tcPr>
            <w:tcW w:w="480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amortization and impairment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105,481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117,254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134,190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51,308</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54,151</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fees(a)</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285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3,601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949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color w:val="000000"/>
              </w:rPr>
            </w:pPr>
            <w:r>
              <w:rPr>
                <w:color w:val="000000"/>
              </w:rPr>
              <w:t>—</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r>
      <w:tr>
        <w:trPr/>
        <w:tc>
          <w:tcPr>
            <w:tcW w:w="480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Adviser monitoring fee(b)</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14,793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3,636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3,522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color w:val="000000"/>
              </w:rPr>
            </w:pPr>
            <w:r>
              <w:rPr>
                <w:color w:val="000000"/>
              </w:rPr>
              <w:t>—</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1,840</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compensation(c)</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31,617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7,881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4,633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33,205</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3,690</w:t>
            </w:r>
          </w:p>
        </w:tc>
      </w:tr>
      <w:tr>
        <w:trPr/>
        <w:tc>
          <w:tcPr>
            <w:tcW w:w="480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 net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(3,582)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(42,265)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2,239</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(7,831)</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 and executive transition costs(d)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6,571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1,429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4,350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color w:val="000000"/>
              </w:rPr>
            </w:pPr>
            <w:r>
              <w:rPr>
                <w:color w:val="000000"/>
              </w:rPr>
              <w:t>—</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4,137</w:t>
            </w:r>
          </w:p>
        </w:tc>
      </w:tr>
      <w:tr>
        <w:trPr/>
        <w:tc>
          <w:tcPr>
            <w:tcW w:w="480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related to the COVID-19 pandemic(e)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17,632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color w:val="000000"/>
              </w:rPr>
            </w:pPr>
            <w:r>
              <w:rPr>
                <w:color w:val="000000"/>
              </w:rPr>
              <w:t>—</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17,632</w:t>
            </w:r>
          </w:p>
        </w:tc>
      </w:tr>
      <w:tr>
        <w:trPr/>
        <w:tc>
          <w:tcPr>
            <w:tcW w:w="4803" w:type="dxa"/>
            <w:tcBorders/>
            <w:shd w:fill="auto" w:val="cle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Inventory write-down adjustments associated with strategic merchandising initiative(f)</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18,225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color w:val="000000"/>
              </w:rPr>
            </w:pPr>
            <w:r>
              <w:rPr>
                <w:color w:val="000000"/>
              </w:rPr>
              <w:t>—</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color w:val="000000"/>
              </w:rPr>
            </w:pPr>
            <w:r>
              <w:rPr>
                <w:color w:val="000000"/>
              </w:rPr>
              <w:t>—</w:t>
            </w:r>
            <w:r>
              <w:rPr>
                <w:color w:val="000000"/>
              </w:rPr>
              <w:t xml:space="preserve"> </w:t>
            </w:r>
          </w:p>
        </w:tc>
      </w:tr>
      <w:tr>
        <w:trPr/>
        <w:tc>
          <w:tcPr>
            <w:tcW w:w="4803"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Payroll taxes associated with the 2021 Vesting Event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15,418</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color w:val="000000"/>
              </w:rPr>
            </w:pPr>
            <w:r>
              <w:rPr>
                <w:color w:val="000000"/>
              </w:rPr>
              <w:t>—</w:t>
            </w:r>
            <w:r>
              <w:rPr>
                <w:color w:val="000000"/>
              </w:rPr>
              <w:t xml:space="preserve"> </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8,592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7,111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2,345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714</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19"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1,929</w:t>
            </w:r>
          </w:p>
        </w:tc>
      </w:tr>
      <w:tr>
        <w:trPr/>
        <w:tc>
          <w:tcPr>
            <w:tcW w:w="4803" w:type="dxa"/>
            <w:tcBorders/>
            <w:shd w:fill="CCEEFF" w:val="clear"/>
            <w:vAlign w:val="center"/>
          </w:tcPr>
          <w:p>
            <w:pPr>
              <w:pStyle w:val="TableContents"/>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EBITDA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$607,023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$322,814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$300,259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$595,409</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1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$282,902</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6" w:name="DSPFPageBreakArea21"/>
      <w:bookmarkStart w:id="117" w:name="DSPFPageBreakArea21"/>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8" w:name="DSPFPageBreak21"/>
      <w:bookmarkStart w:id="119" w:name="DSPFPageBreak21"/>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0" w:name="ny20000592x1_drs_103-summary_pg17"/>
        <w:bookmarkEnd w:id="12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0" w:type="dxa"/>
          <w:right w:w="0" w:type="dxa"/>
        </w:tblCellMar>
      </w:tblPr>
      <w:tblGrid>
        <w:gridCol w:w="4803"/>
        <w:gridCol w:w="23"/>
        <w:gridCol w:w="23"/>
        <w:gridCol w:w="914"/>
        <w:gridCol w:w="23"/>
        <w:gridCol w:w="23"/>
        <w:gridCol w:w="899"/>
        <w:gridCol w:w="23"/>
        <w:gridCol w:w="23"/>
        <w:gridCol w:w="899"/>
        <w:gridCol w:w="23"/>
        <w:gridCol w:w="23"/>
        <w:gridCol w:w="859"/>
        <w:gridCol w:w="24"/>
        <w:gridCol w:w="24"/>
        <w:gridCol w:w="879"/>
      </w:tblGrid>
      <w:tr>
        <w:trPr/>
        <w:tc>
          <w:tcPr>
            <w:tcW w:w="480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804" w:type="dxa"/>
            <w:gridSpan w:val="7"/>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786"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Twenty-Six Weeks Ended</w:t>
            </w:r>
          </w:p>
        </w:tc>
      </w:tr>
      <w:tr>
        <w:trPr/>
        <w:tc>
          <w:tcPr>
            <w:tcW w:w="480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1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30,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2,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5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July 31,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4" w:type="dxa"/>
            <w:tcBorders>
              <w:bottom w:val="single" w:sz="2" w:space="0" w:color="FFFFFF"/>
            </w:tcBorders>
            <w:shd w:fill="auto" w:val="clear"/>
            <w:tcMar>
              <w:bottom w:w="85" w:type="dxa"/>
            </w:tcMar>
            <w:vAlign w:val="center"/>
          </w:tcPr>
          <w:p>
            <w:pPr>
              <w:pStyle w:val="TableContents"/>
              <w:spacing w:before="0" w:after="283"/>
              <w:rPr/>
            </w:pPr>
            <w:r>
              <w:rPr/>
              <w:t>​</w:t>
            </w:r>
          </w:p>
        </w:tc>
        <w:tc>
          <w:tcPr>
            <w:tcW w:w="24" w:type="dxa"/>
            <w:tcBorders>
              <w:bottom w:val="single" w:sz="2" w:space="0" w:color="FFFFFF"/>
            </w:tcBorders>
            <w:shd w:fill="auto" w:val="clear"/>
            <w:tcMar>
              <w:bottom w:w="85" w:type="dxa"/>
            </w:tcMar>
            <w:vAlign w:val="center"/>
          </w:tcPr>
          <w:p>
            <w:pPr>
              <w:pStyle w:val="TableContents"/>
              <w:spacing w:before="0" w:after="283"/>
              <w:rPr/>
            </w:pPr>
            <w:r>
              <w:rPr/>
              <w:t>​</w:t>
            </w:r>
          </w:p>
        </w:tc>
        <w:tc>
          <w:tcPr>
            <w:tcW w:w="879"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August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4803"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 thousands, except per share data)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0"/>
              <w:jc w:val="left"/>
              <w:rPr>
                <w:color w:val="000000"/>
              </w:rPr>
            </w:pPr>
            <w:r>
              <w:rPr>
                <w:color w:val="000000"/>
              </w:rPr>
              <w:t> </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0"/>
              <w:jc w:val="left"/>
              <w:rPr>
                <w:color w:val="000000"/>
              </w:rPr>
            </w:pPr>
            <w:r>
              <w:rPr>
                <w:color w:val="000000"/>
              </w:rPr>
              <w:t> </w:t>
            </w:r>
          </w:p>
        </w:tc>
      </w:tr>
      <w:tr>
        <w:trPr/>
        <w:tc>
          <w:tcPr>
            <w:tcW w:w="4803"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$308,764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$120,043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$21,442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$368,306</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$157,656</w:t>
            </w:r>
          </w:p>
        </w:tc>
      </w:tr>
      <w:tr>
        <w:trPr/>
        <w:tc>
          <w:tcPr>
            <w:tcW w:w="480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fees(a)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285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3,601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949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36" w:right="0" w:hanging="0"/>
              <w:jc w:val="left"/>
              <w:rPr>
                <w:color w:val="000000"/>
              </w:rPr>
            </w:pPr>
            <w:r>
              <w:rPr>
                <w:color w:val="000000"/>
              </w:rPr>
              <w:t>—</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Adviser monitoring fee(b)</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14,793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3,636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3,522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36" w:right="0" w:hanging="0"/>
              <w:jc w:val="left"/>
              <w:rPr>
                <w:color w:val="000000"/>
              </w:rPr>
            </w:pPr>
            <w:r>
              <w:rPr>
                <w:color w:val="000000"/>
              </w:rPr>
              <w:t>—</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1,840</w:t>
            </w:r>
          </w:p>
        </w:tc>
      </w:tr>
      <w:tr>
        <w:trPr/>
        <w:tc>
          <w:tcPr>
            <w:tcW w:w="480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compensation(c)</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31,617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7,881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4,633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33,205</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3,690</w:t>
            </w:r>
          </w:p>
        </w:tc>
      </w:tr>
      <w:tr>
        <w:trPr/>
        <w:tc>
          <w:tcPr>
            <w:tcW w:w="480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(Gain) loss on early extinguishment of debt,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(3,582)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(42,265)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8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2,239</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(7,831)</w:t>
            </w:r>
          </w:p>
        </w:tc>
      </w:tr>
      <w:tr>
        <w:trPr/>
        <w:tc>
          <w:tcPr>
            <w:tcW w:w="480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 and executive transition costs(d)</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6,571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1,429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4,350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36" w:right="0" w:hanging="0"/>
              <w:jc w:val="left"/>
              <w:rPr>
                <w:color w:val="000000"/>
              </w:rPr>
            </w:pPr>
            <w:r>
              <w:rPr>
                <w:color w:val="000000"/>
              </w:rPr>
              <w:t>—</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4,137</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Costs related to the COVID-19 pandemic(e)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17,632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8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36" w:right="0" w:hanging="0"/>
              <w:jc w:val="left"/>
              <w:rPr>
                <w:color w:val="000000"/>
              </w:rPr>
            </w:pPr>
            <w:r>
              <w:rPr>
                <w:color w:val="000000"/>
              </w:rPr>
              <w:t>—</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17,632</w:t>
            </w:r>
          </w:p>
        </w:tc>
      </w:tr>
      <w:tr>
        <w:trPr/>
        <w:tc>
          <w:tcPr>
            <w:tcW w:w="4803" w:type="dxa"/>
            <w:tcBorders/>
            <w:shd w:fill="CCEEFF" w:val="cle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Inventory write-down adjustments associated with strategic merchandising initiative(f)</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18,225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36" w:right="0" w:hanging="0"/>
              <w:jc w:val="left"/>
              <w:rPr>
                <w:color w:val="000000"/>
              </w:rPr>
            </w:pPr>
            <w:r>
              <w:rPr>
                <w:color w:val="000000"/>
              </w:rPr>
              <w:t>—</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36" w:right="0" w:hanging="0"/>
              <w:jc w:val="left"/>
              <w:rPr>
                <w:color w:val="000000"/>
              </w:rPr>
            </w:pPr>
            <w:r>
              <w:rPr>
                <w:color w:val="000000"/>
              </w:rPr>
              <w:t>—</w:t>
            </w:r>
            <w:r>
              <w:rPr>
                <w:color w:val="000000"/>
              </w:rPr>
              <w:t xml:space="preserve"> </w:t>
            </w:r>
          </w:p>
        </w:tc>
      </w:tr>
      <w:tr>
        <w:trPr/>
        <w:tc>
          <w:tcPr>
            <w:tcW w:w="4803" w:type="dxa"/>
            <w:tcBorders/>
            <w:shd w:fill="auto"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Payroll taxes associated with the 2021 Vesting Event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8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15,418</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36" w:right="0" w:hanging="0"/>
              <w:jc w:val="left"/>
              <w:rPr>
                <w:color w:val="000000"/>
              </w:rPr>
            </w:pPr>
            <w:r>
              <w:rPr>
                <w:color w:val="000000"/>
              </w:rPr>
              <w:t>—</w:t>
            </w:r>
            <w:r>
              <w:rPr>
                <w:color w:val="000000"/>
              </w:rPr>
              <w:t xml:space="preserve"> </w:t>
            </w:r>
          </w:p>
        </w:tc>
      </w:tr>
      <w:tr>
        <w:trPr/>
        <w:tc>
          <w:tcPr>
            <w:tcW w:w="4803" w:type="dxa"/>
            <w:tcBorders/>
            <w:shd w:fill="CCEEFF"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Other(g)</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8,592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7,111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2,345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714</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1,929</w:t>
            </w:r>
          </w:p>
        </w:tc>
      </w:tr>
      <w:tr>
        <w:trPr/>
        <w:tc>
          <w:tcPr>
            <w:tcW w:w="4803"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effects of these adjustments(h)</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1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(136</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9" w:type="dxa"/>
            <w:tcBorders/>
            <w:shd w:fill="auto" w:val="cle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(61</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5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(12,801</w:t>
            </w:r>
            <w:r>
              <w:rPr>
                <w:rFonts w:ascii="Times New Roman;Times;serif" w:hAnsi="Times New Roman;Times;serif"/>
                <w:color w:val="000000"/>
                <w:sz w:val="20"/>
              </w:rPr>
              <w:t>)</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879"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(39</w:t>
            </w:r>
            <w:r>
              <w:rPr>
                <w:rFonts w:ascii="Times New Roman;Times;serif" w:hAnsi="Times New Roman;Times;serif"/>
                <w:color w:val="000000"/>
                <w:sz w:val="20"/>
              </w:rPr>
              <w:t>)</w:t>
            </w:r>
          </w:p>
        </w:tc>
      </w:tr>
      <w:tr>
        <w:trPr/>
        <w:tc>
          <w:tcPr>
            <w:tcW w:w="4803" w:type="dxa"/>
            <w:tcBorders/>
            <w:shd w:fill="CCEEFF" w:val="clear"/>
            <w:vAlign w:val="center"/>
          </w:tcPr>
          <w:p>
            <w:pPr>
              <w:pStyle w:val="TableContents"/>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Net Income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1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$384,536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$101,469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9" w:type="dxa"/>
            <w:tcBorders/>
            <w:shd w:fill="CCEEFF" w:val="clear"/>
            <w:vAlign w:val="center"/>
          </w:tcPr>
          <w:p>
            <w:pPr>
              <w:pStyle w:val="TableContents"/>
              <w:spacing w:before="0" w:after="283"/>
              <w:ind w:left="8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$55,405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5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$407,081</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879"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$179,106</w:t>
            </w:r>
          </w:p>
        </w:tc>
      </w:tr>
    </w:tbl>
    <w:tbl>
      <w:tblPr>
        <w:tblW w:w="8065" w:type="dxa"/>
        <w:jc w:val="left"/>
        <w:tblInd w:w="72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785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outside consulting fees associated with our strategic cost savings and business optimization initiatives. </w:t>
            </w:r>
          </w:p>
        </w:tc>
      </w:tr>
    </w:tbl>
    <w:tbl>
      <w:tblPr>
        <w:tblW w:w="9485" w:type="dxa"/>
        <w:jc w:val="left"/>
        <w:tblInd w:w="720" w:type="dxa"/>
        <w:tblCellMar>
          <w:top w:w="0" w:type="dxa"/>
          <w:left w:w="0" w:type="dxa"/>
          <w:bottom w:w="0" w:type="dxa"/>
          <w:right w:w="0" w:type="dxa"/>
        </w:tblCellMar>
      </w:tblPr>
      <w:tblGrid>
        <w:gridCol w:w="195"/>
        <w:gridCol w:w="929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2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our contractual payments under our Monitoring Agreement. See Note 13 to our audited consolidated financial statements in our Annual Report incorporated by reference herein and Note 12 to the financial statements included in our Q2 Quarterly Report incorporated by reference herein. </w:t>
            </w:r>
          </w:p>
        </w:tc>
      </w:tr>
    </w:tbl>
    <w:tbl>
      <w:tblPr>
        <w:tblW w:w="9485" w:type="dxa"/>
        <w:jc w:val="left"/>
        <w:tblInd w:w="720" w:type="dxa"/>
        <w:tblCellMar>
          <w:top w:w="0" w:type="dxa"/>
          <w:left w:w="0" w:type="dxa"/>
          <w:bottom w:w="0" w:type="dxa"/>
          <w:right w:w="0" w:type="dxa"/>
        </w:tblCellMar>
      </w:tblPr>
      <w:tblGrid>
        <w:gridCol w:w="175"/>
        <w:gridCol w:w="9310"/>
      </w:tblGrid>
      <w:tr>
        <w:trPr/>
        <w:tc>
          <w:tcPr>
            <w:tcW w:w="1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93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non-cash charges related to equity based compensation, which vary from period to period depending on certain factors such as the 2021 Vesting Event (see Note 1 to the financial statements included in our Q2 Quarterly Report incorporated by reference herein), timing and valuation of awards, achievement of performance targets and equity award forfeitures.</w:t>
            </w:r>
          </w:p>
        </w:tc>
      </w:tr>
    </w:tbl>
    <w:tbl>
      <w:tblPr>
        <w:tblW w:w="8350" w:type="dxa"/>
        <w:jc w:val="left"/>
        <w:tblInd w:w="720" w:type="dxa"/>
        <w:tblCellMar>
          <w:top w:w="0" w:type="dxa"/>
          <w:left w:w="0" w:type="dxa"/>
          <w:bottom w:w="0" w:type="dxa"/>
          <w:right w:w="0" w:type="dxa"/>
        </w:tblCellMar>
      </w:tblPr>
      <w:tblGrid>
        <w:gridCol w:w="230"/>
        <w:gridCol w:w="812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81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severance costs associated with executive leadership changes and enterprise-wide organizational changes. </w:t>
            </w:r>
          </w:p>
        </w:tc>
      </w:tr>
    </w:tbl>
    <w:tbl>
      <w:tblPr>
        <w:tblW w:w="9485" w:type="dxa"/>
        <w:jc w:val="left"/>
        <w:tblInd w:w="720" w:type="dxa"/>
        <w:tblCellMar>
          <w:top w:w="0" w:type="dxa"/>
          <w:left w:w="0" w:type="dxa"/>
          <w:bottom w:w="0" w:type="dxa"/>
          <w:right w:w="0" w:type="dxa"/>
        </w:tblCellMar>
      </w:tblPr>
      <w:tblGrid>
        <w:gridCol w:w="169"/>
        <w:gridCol w:w="9316"/>
      </w:tblGrid>
      <w:tr>
        <w:trPr/>
        <w:tc>
          <w:tcPr>
            <w:tcW w:w="16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93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tc>
      </w:tr>
    </w:tbl>
    <w:tbl>
      <w:tblPr>
        <w:tblW w:w="9485" w:type="dxa"/>
        <w:jc w:val="left"/>
        <w:tblInd w:w="720" w:type="dxa"/>
        <w:tblCellMar>
          <w:top w:w="0" w:type="dxa"/>
          <w:left w:w="0" w:type="dxa"/>
          <w:bottom w:w="0" w:type="dxa"/>
          <w:right w:w="0" w:type="dxa"/>
        </w:tblCellMar>
      </w:tblPr>
      <w:tblGrid>
        <w:gridCol w:w="179"/>
        <w:gridCol w:w="930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w:t>
            </w:r>
          </w:p>
        </w:tc>
        <w:tc>
          <w:tcPr>
            <w:tcW w:w="93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inventory write-down adjustments in connection with our new merchandising strategy adopted as part of our strategic transformation, including exiting certain categories of products. </w:t>
            </w:r>
          </w:p>
        </w:tc>
      </w:tr>
    </w:tbl>
    <w:tbl>
      <w:tblPr>
        <w:tblW w:w="9485" w:type="dxa"/>
        <w:jc w:val="left"/>
        <w:tblInd w:w="720" w:type="dxa"/>
        <w:tblCellMar>
          <w:top w:w="0" w:type="dxa"/>
          <w:left w:w="0" w:type="dxa"/>
          <w:bottom w:w="0" w:type="dxa"/>
          <w:right w:w="0" w:type="dxa"/>
        </w:tblCellMar>
      </w:tblPr>
      <w:tblGrid>
        <w:gridCol w:w="183"/>
        <w:gridCol w:w="930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(g)</w:t>
            </w:r>
          </w:p>
        </w:tc>
        <w:tc>
          <w:tcPr>
            <w:tcW w:w="93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Other adjustments include (representing deductions or additions to Adjusted EBITDA and Adjusted Net Income, as applicable) amounts that management believes are not representative of our operating performance, including investment income,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 </w:t>
            </w:r>
          </w:p>
        </w:tc>
      </w:tr>
    </w:tbl>
    <w:tbl>
      <w:tblPr>
        <w:tblW w:w="9485" w:type="dxa"/>
        <w:jc w:val="left"/>
        <w:tblInd w:w="720" w:type="dxa"/>
        <w:tblCellMar>
          <w:top w:w="0" w:type="dxa"/>
          <w:left w:w="0" w:type="dxa"/>
          <w:bottom w:w="0" w:type="dxa"/>
          <w:right w:w="0" w:type="dxa"/>
        </w:tblCellMar>
      </w:tblPr>
      <w:tblGrid>
        <w:gridCol w:w="190"/>
        <w:gridCol w:w="929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(h)</w:t>
            </w:r>
          </w:p>
        </w:tc>
        <w:tc>
          <w:tcPr>
            <w:tcW w:w="92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twenty-six weeks ended July 31, 2021, this represents the tax effect of the total adjustments made to arrive at Adjusted Net Income at the estimated effective tax rate for the fiscal year ended January 31, 2022. For periods on or before January 30, 2021, this represents the tax effect of the total adjustments made to arrive at Adjusted Net Income at our historical tax rate. </w:t>
            </w:r>
          </w:p>
        </w:tc>
      </w:tr>
    </w:tbl>
    <w:p>
      <w:pPr>
        <w:pStyle w:val="TextBody"/>
        <w:spacing w:before="120" w:after="240"/>
        <w:ind w:left="72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table provides a reconciliation of net cash provided by operating activities to Adjusted Free Cash Flow for the periods presented: </w:t>
      </w:r>
    </w:p>
    <w:tbl>
      <w:tblPr>
        <w:tblW w:w="8248" w:type="dxa"/>
        <w:jc w:val="left"/>
        <w:tblInd w:w="720" w:type="dxa"/>
        <w:tblCellMar>
          <w:top w:w="0" w:type="dxa"/>
          <w:left w:w="0" w:type="dxa"/>
          <w:bottom w:w="0" w:type="dxa"/>
          <w:right w:w="0" w:type="dxa"/>
        </w:tblCellMar>
      </w:tblPr>
      <w:tblGrid>
        <w:gridCol w:w="3380"/>
        <w:gridCol w:w="23"/>
        <w:gridCol w:w="23"/>
        <w:gridCol w:w="950"/>
        <w:gridCol w:w="23"/>
        <w:gridCol w:w="23"/>
        <w:gridCol w:w="935"/>
        <w:gridCol w:w="23"/>
        <w:gridCol w:w="23"/>
        <w:gridCol w:w="935"/>
        <w:gridCol w:w="23"/>
        <w:gridCol w:w="23"/>
        <w:gridCol w:w="874"/>
        <w:gridCol w:w="25"/>
        <w:gridCol w:w="25"/>
        <w:gridCol w:w="940"/>
      </w:tblGrid>
      <w:tr>
        <w:trPr/>
        <w:tc>
          <w:tcPr>
            <w:tcW w:w="338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912" w:type="dxa"/>
            <w:gridSpan w:val="7"/>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Ended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864"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Twenty-Six Weeks Ended</w:t>
            </w:r>
          </w:p>
        </w:tc>
      </w:tr>
      <w:tr>
        <w:trPr/>
        <w:tc>
          <w:tcPr>
            <w:tcW w:w="338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30,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3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3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2,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7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July 31,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94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August 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33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 thousands)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4" w:type="dxa"/>
            <w:tcBorders/>
            <w:shd w:fill="CCEEFF" w:val="clear"/>
            <w:vAlign w:val="center"/>
          </w:tcPr>
          <w:p>
            <w:pPr>
              <w:pStyle w:val="TableContents"/>
              <w:spacing w:before="0" w:after="0"/>
              <w:jc w:val="left"/>
              <w:rPr>
                <w:color w:val="000000"/>
              </w:rPr>
            </w:pPr>
            <w:r>
              <w:rPr>
                <w:color w:val="000000"/>
              </w:rPr>
              <w:t> </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40" w:type="dxa"/>
            <w:tcBorders/>
            <w:shd w:fill="CCEEFF" w:val="clear"/>
            <w:vAlign w:val="center"/>
          </w:tcPr>
          <w:p>
            <w:pPr>
              <w:pStyle w:val="TableContents"/>
              <w:spacing w:before="0" w:after="0"/>
              <w:jc w:val="left"/>
              <w:rPr>
                <w:color w:val="000000"/>
              </w:rPr>
            </w:pPr>
            <w:r>
              <w:rPr>
                <w:color w:val="000000"/>
              </w:rPr>
              <w:t> </w:t>
            </w:r>
          </w:p>
        </w:tc>
      </w:tr>
      <w:tr>
        <w:trPr/>
        <w:tc>
          <w:tcPr>
            <w:tcW w:w="33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$1,011,597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$263,669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$198,481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$405,674</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40"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$773,621 </w:t>
            </w:r>
          </w:p>
        </w:tc>
      </w:tr>
      <w:tr>
        <w:trPr/>
        <w:tc>
          <w:tcPr>
            <w:tcW w:w="33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(33,144</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(66,783</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(99,027</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4"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(33,767</w:t>
            </w:r>
            <w:r>
              <w:rPr>
                <w:rFonts w:ascii="Times New Roman;Times;serif" w:hAnsi="Times New Roman;Times;serif"/>
                <w:color w:val="000000"/>
                <w:sz w:val="2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40" w:type="dxa"/>
            <w:tcBorders/>
            <w:shd w:fill="CCEEFF" w:val="clear"/>
            <w:vAlign w:val="center"/>
          </w:tcPr>
          <w:p>
            <w:pPr>
              <w:pStyle w:val="TableContents"/>
              <w:spacing w:before="0" w:after="283"/>
              <w:ind w:left="3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(13,850</w:t>
            </w:r>
            <w:r>
              <w:rPr>
                <w:rFonts w:ascii="Times New Roman;Times;serif" w:hAnsi="Times New Roman;Times;serif"/>
                <w:color w:val="000000"/>
                <w:sz w:val="20"/>
              </w:rPr>
              <w:t>)</w:t>
            </w:r>
          </w:p>
        </w:tc>
      </w:tr>
      <w:tr>
        <w:trPr/>
        <w:tc>
          <w:tcPr>
            <w:tcW w:w="3380" w:type="dxa"/>
            <w:tcBorders/>
            <w:shd w:fill="auto" w:val="clear"/>
            <w:vAlign w:val="center"/>
          </w:tcPr>
          <w:p>
            <w:pPr>
              <w:pStyle w:val="TableContents"/>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Adjusted Free Cash Flow</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$978,453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$196,886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$99,454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4"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$371,907</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40" w:type="dxa"/>
            <w:tcBorders/>
            <w:shd w:fill="auto" w:val="clear"/>
            <w:vAlign w:val="center"/>
          </w:tcPr>
          <w:p>
            <w:pPr>
              <w:pStyle w:val="TableContents"/>
              <w:spacing w:before="0" w:after="283"/>
              <w:ind w:left="3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$759,771</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1" w:name="DSPFPageBreakArea22"/>
      <w:bookmarkStart w:id="122" w:name="DSPFPageBreakArea22"/>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3" w:name="DSPFPageBreak22"/>
      <w:bookmarkStart w:id="124" w:name="DSPFPageBreak2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5" w:name="ny20000592x1_drs_104-risk_pg1"/>
        <w:bookmarkEnd w:id="125"/>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26" w:name="tRISK"/>
      <w:bookmarkEnd w:id="126"/>
      <w:r>
        <w:rPr>
          <w:rFonts w:ascii="Times New Roman;Times;serif" w:hAnsi="Times New Roman;Times;serif"/>
          <w:b/>
          <w:color w:val="000000"/>
          <w:sz w:val="20"/>
        </w:rPr>
        <w:t>RISK FACTORS</w:t>
      </w:r>
    </w:p>
    <w:p>
      <w:pPr>
        <w:pStyle w:val="TextBody"/>
        <w:spacing w:before="120" w:after="283"/>
        <w:ind w:left="720" w:right="0" w:firstLine="400"/>
        <w:jc w:val="left"/>
        <w:rPr>
          <w:rFonts w:ascii="Times New Roman;Times;serif" w:hAnsi="Times New Roman;Times;serif"/>
          <w:i/>
          <w:color w:val="000000"/>
          <w:sz w:val="20"/>
        </w:rPr>
      </w:pPr>
      <w:r>
        <w:rPr>
          <w:rFonts w:ascii="Times New Roman;Times;serif" w:hAnsi="Times New Roman;Times;serif"/>
          <w:i/>
          <w:color w:val="000000"/>
          <w:sz w:val="20"/>
        </w:rPr>
        <w:t>Investing in our common stock involves a high degree of risk. You should carefully consider the risks and uncertainties described below and the information contained in our Annual Report, including under “Risk Factors,” together with the other information contained or incorporated by reference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r>
        <w:rPr>
          <w:rFonts w:ascii="Times New Roman;Times;serif" w:hAnsi="Times New Roman;Times;serif"/>
          <w:i/>
          <w:caps w:val="false"/>
          <w:smallCaps w:val="false"/>
          <w:color w:val="000000"/>
          <w:sz w:val="20"/>
        </w:rPr>
        <w:t xml:space="preserve"> </w:t>
      </w:r>
    </w:p>
    <w:p>
      <w:pPr>
        <w:pStyle w:val="TextBody"/>
        <w:spacing w:before="24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this Offering and Ownership of Our Common Stock </w:t>
      </w:r>
    </w:p>
    <w:p>
      <w:pPr>
        <w:pStyle w:val="TextBody"/>
        <w:spacing w:before="12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As a result of the April 2021 Sale, we are no longer a “controlled company” within the meaning of the listing rules of Nasdaq. However, even though we are no longer a “controlled company,” we will continue to qualify for, and may rely on, exemptions from certain corporate governance requirements that would otherwise provide protection to stockholders of other companies during a one-year transition period.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completion of the April 2021 Sale, KKR Stockholders ceased to control a majority of the voting power of our common stock. As a result, we are no longer a “controlled company” within the meaning of the corporate governance standards of Nasdaq and we will be required to comply with certain corporate governance requirements within one year or less of the completion of the April 2021 Sale, including the requirements that: </w:t>
      </w:r>
    </w:p>
    <w:tbl>
      <w:tblPr>
        <w:tblW w:w="9415" w:type="dxa"/>
        <w:jc w:val="left"/>
        <w:tblInd w:w="720" w:type="dxa"/>
        <w:tblCellMar>
          <w:top w:w="0" w:type="dxa"/>
          <w:left w:w="0" w:type="dxa"/>
          <w:bottom w:w="0" w:type="dxa"/>
          <w:right w:w="0" w:type="dxa"/>
        </w:tblCellMar>
      </w:tblPr>
      <w:tblGrid>
        <w:gridCol w:w="110"/>
        <w:gridCol w:w="93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of our board of directors consist of “independent directors” as defined under the listing rules of Nasdaq;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director nominees be selected, or recommended for our board of directors’ selection by a nominating/governance committee comprised solely of independent directors; and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of our executive officers be determined, or recommended to our board of directors for determination, by a compensation committee comprised solely of independent directors.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Currently, we do not have a majority of independent directors and our compensation committee and nominating and governance committee do not consist entirely of independent directors. Accordingly, until we satisfy these requirements during this one-year transition period, you will not have the same protections afforded to stockholders of companies that are subject to all of the corporate governance requirements of Nasdaq.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our IPO, we also entered into a stockholders’ agreement with the KKR Stockholders which granted the KKR Stockholders the right to nominate to our board of directors a certain number of designees depending upon their percentage ownership of our common stock, as well as special governance rights for as long as the KKR Stockholders and their affiliates collectively maintained ownership of at least 25% of our outstanding common stock, including rights of approval over certain corporate and other transactions such as mergers or other transactions involving a change in control and certain rights regarding the appointment of our chief executive officer. In connection with this offering, it is anticipated that all such rights granted to the KKR Stockholders will be terminated.</w:t>
      </w:r>
    </w:p>
    <w:p>
      <w:pPr>
        <w:pStyle w:val="TextBody"/>
        <w:spacing w:before="24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trading price of our common stock may be highly volatile and may be adversely affected due to a number of factors, most of which we cannot control, including those listed elsewhere under this “Risk Factors” section, and the following:</w:t>
      </w:r>
    </w:p>
    <w:tbl>
      <w:tblPr>
        <w:tblW w:w="7285" w:type="dxa"/>
        <w:jc w:val="left"/>
        <w:tblInd w:w="720" w:type="dxa"/>
        <w:tblCellMar>
          <w:top w:w="0" w:type="dxa"/>
          <w:left w:w="0" w:type="dxa"/>
          <w:bottom w:w="0" w:type="dxa"/>
          <w:right w:w="0" w:type="dxa"/>
        </w:tblCellMar>
      </w:tblPr>
      <w:tblGrid>
        <w:gridCol w:w="110"/>
        <w:gridCol w:w="71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1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results of operations that vary from the expectations of securities analysts and investors; </w:t>
            </w:r>
          </w:p>
        </w:tc>
      </w:tr>
    </w:tbl>
    <w:tbl>
      <w:tblPr>
        <w:tblW w:w="5065" w:type="dxa"/>
        <w:jc w:val="left"/>
        <w:tblInd w:w="720" w:type="dxa"/>
        <w:tblCellMar>
          <w:top w:w="0" w:type="dxa"/>
          <w:left w:w="0" w:type="dxa"/>
          <w:bottom w:w="0" w:type="dxa"/>
          <w:right w:w="0" w:type="dxa"/>
        </w:tblCellMar>
      </w:tblPr>
      <w:tblGrid>
        <w:gridCol w:w="110"/>
        <w:gridCol w:w="49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9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results of operations that vary from those of our competitors;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expectations as to our future financial performance, including financial estimates and investment recommendations by securities analysts and investors; </w:t>
            </w:r>
          </w:p>
        </w:tc>
      </w:tr>
    </w:tbl>
    <w:tbl>
      <w:tblPr>
        <w:tblW w:w="5290" w:type="dxa"/>
        <w:jc w:val="left"/>
        <w:tblInd w:w="720" w:type="dxa"/>
        <w:tblCellMar>
          <w:top w:w="0" w:type="dxa"/>
          <w:left w:w="0" w:type="dxa"/>
          <w:bottom w:w="0" w:type="dxa"/>
          <w:right w:w="0" w:type="dxa"/>
        </w:tblCellMar>
      </w:tblPr>
      <w:tblGrid>
        <w:gridCol w:w="110"/>
        <w:gridCol w:w="51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1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economic conditions for companies in our industry; </w:t>
            </w:r>
          </w:p>
        </w:tc>
      </w:tr>
    </w:tbl>
    <w:tbl>
      <w:tblPr>
        <w:tblW w:w="8395" w:type="dxa"/>
        <w:jc w:val="left"/>
        <w:tblInd w:w="720" w:type="dxa"/>
        <w:tblCellMar>
          <w:top w:w="0" w:type="dxa"/>
          <w:left w:w="0" w:type="dxa"/>
          <w:bottom w:w="0" w:type="dxa"/>
          <w:right w:w="0" w:type="dxa"/>
        </w:tblCellMar>
      </w:tblPr>
      <w:tblGrid>
        <w:gridCol w:w="110"/>
        <w:gridCol w:w="82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market valuations of, or earnings and other announcements by, companies in our industry;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declines in the market prices of stocks generally, particularly those of sporting goods and outdoor recreation retail companies;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7" w:name="DSPFPageBreakArea23"/>
      <w:bookmarkStart w:id="128" w:name="DSPFPageBreakArea23"/>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9" w:name="DSPFPageBreak23"/>
      <w:bookmarkStart w:id="130" w:name="DSPFPageBreak2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1" w:name="ny20000592x1_drs_104-risk_pg2"/>
        <w:bookmarkEnd w:id="13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4570" w:type="dxa"/>
        <w:jc w:val="left"/>
        <w:tblInd w:w="720" w:type="dxa"/>
        <w:tblCellMar>
          <w:top w:w="0" w:type="dxa"/>
          <w:left w:w="0" w:type="dxa"/>
          <w:bottom w:w="0" w:type="dxa"/>
          <w:right w:w="0" w:type="dxa"/>
        </w:tblCellMar>
      </w:tblPr>
      <w:tblGrid>
        <w:gridCol w:w="110"/>
        <w:gridCol w:w="44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or departures of key management personnel; </w:t>
            </w:r>
          </w:p>
        </w:tc>
      </w:tr>
    </w:tbl>
    <w:tbl>
      <w:tblPr>
        <w:tblW w:w="3565" w:type="dxa"/>
        <w:jc w:val="left"/>
        <w:tblInd w:w="720" w:type="dxa"/>
        <w:tblCellMar>
          <w:top w:w="0" w:type="dxa"/>
          <w:left w:w="0" w:type="dxa"/>
          <w:bottom w:w="0" w:type="dxa"/>
          <w:right w:w="0" w:type="dxa"/>
        </w:tblCellMar>
      </w:tblPr>
      <w:tblGrid>
        <w:gridCol w:w="110"/>
        <w:gridCol w:w="34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4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strategic actions by us or our competitors;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by us, our competitors our suppliers of significant contracts, price reductions, new products or technologies, acquisitions, dispositions, joint marketing relationships, joint ventures, other strategic relationships or capital commitments; </w:t>
            </w:r>
          </w:p>
        </w:tc>
      </w:tr>
    </w:tbl>
    <w:tbl>
      <w:tblPr>
        <w:tblW w:w="5095" w:type="dxa"/>
        <w:jc w:val="left"/>
        <w:tblInd w:w="720" w:type="dxa"/>
        <w:tblCellMar>
          <w:top w:w="0" w:type="dxa"/>
          <w:left w:w="0" w:type="dxa"/>
          <w:bottom w:w="0" w:type="dxa"/>
          <w:right w:w="0" w:type="dxa"/>
        </w:tblCellMar>
      </w:tblPr>
      <w:tblGrid>
        <w:gridCol w:w="110"/>
        <w:gridCol w:w="49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preference of our customers and our market share; </w:t>
            </w:r>
          </w:p>
        </w:tc>
      </w:tr>
    </w:tbl>
    <w:tbl>
      <w:tblPr>
        <w:tblW w:w="8500" w:type="dxa"/>
        <w:jc w:val="left"/>
        <w:tblInd w:w="720" w:type="dxa"/>
        <w:tblCellMar>
          <w:top w:w="0" w:type="dxa"/>
          <w:left w:w="0" w:type="dxa"/>
          <w:bottom w:w="0" w:type="dxa"/>
          <w:right w:w="0" w:type="dxa"/>
        </w:tblCellMar>
      </w:tblPr>
      <w:tblGrid>
        <w:gridCol w:w="110"/>
        <w:gridCol w:w="83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3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general economic or market conditions or trends in our industry or the economy as a whole; </w:t>
            </w:r>
          </w:p>
        </w:tc>
      </w:tr>
    </w:tbl>
    <w:tbl>
      <w:tblPr>
        <w:tblW w:w="3850" w:type="dxa"/>
        <w:jc w:val="left"/>
        <w:tblInd w:w="720" w:type="dxa"/>
        <w:tblCellMar>
          <w:top w:w="0" w:type="dxa"/>
          <w:left w:w="0" w:type="dxa"/>
          <w:bottom w:w="0" w:type="dxa"/>
          <w:right w:w="0" w:type="dxa"/>
        </w:tblCellMar>
      </w:tblPr>
      <w:tblGrid>
        <w:gridCol w:w="110"/>
        <w:gridCol w:w="37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business or regulatory conditions; </w:t>
            </w:r>
          </w:p>
        </w:tc>
      </w:tr>
    </w:tbl>
    <w:tbl>
      <w:tblPr>
        <w:tblW w:w="4390" w:type="dxa"/>
        <w:jc w:val="left"/>
        <w:tblInd w:w="720" w:type="dxa"/>
        <w:tblCellMar>
          <w:top w:w="0" w:type="dxa"/>
          <w:left w:w="0" w:type="dxa"/>
          <w:bottom w:w="0" w:type="dxa"/>
          <w:right w:w="0" w:type="dxa"/>
        </w:tblCellMar>
      </w:tblPr>
      <w:tblGrid>
        <w:gridCol w:w="110"/>
        <w:gridCol w:w="42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sales of our common stock or other securities;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investor perceptions of or the investment opportunity associated with our common stock relative to other investment alternatives;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way we are perceived in the marketplace, including due to negative publicity or campaigns on social media to boycott certain of our products, our business or our industry;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public’s response to press releases or other public announcements by us or third parties, including our filings with the SEC;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or proposed changes in laws or regulations or differing interpretations or enforcement thereof affecting our business; </w:t>
            </w:r>
          </w:p>
        </w:tc>
      </w:tr>
    </w:tbl>
    <w:tbl>
      <w:tblPr>
        <w:tblW w:w="5785" w:type="dxa"/>
        <w:jc w:val="left"/>
        <w:tblInd w:w="720" w:type="dxa"/>
        <w:tblCellMar>
          <w:top w:w="0" w:type="dxa"/>
          <w:left w:w="0" w:type="dxa"/>
          <w:bottom w:w="0" w:type="dxa"/>
          <w:right w:w="0" w:type="dxa"/>
        </w:tblCellMar>
      </w:tblPr>
      <w:tblGrid>
        <w:gridCol w:w="110"/>
        <w:gridCol w:w="56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6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announcements relating to litigation or governmental investigations; </w:t>
            </w:r>
          </w:p>
        </w:tc>
      </w:tr>
    </w:tbl>
    <w:tbl>
      <w:tblPr>
        <w:tblW w:w="9295" w:type="dxa"/>
        <w:jc w:val="left"/>
        <w:tblInd w:w="720" w:type="dxa"/>
        <w:tblCellMar>
          <w:top w:w="0" w:type="dxa"/>
          <w:left w:w="0" w:type="dxa"/>
          <w:bottom w:w="0" w:type="dxa"/>
          <w:right w:w="0" w:type="dxa"/>
        </w:tblCellMar>
      </w:tblPr>
      <w:tblGrid>
        <w:gridCol w:w="110"/>
        <w:gridCol w:w="91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guidance, if any, that we provide to the public, any changes in this guidance or our failure to meet this guidance; </w:t>
            </w:r>
          </w:p>
        </w:tc>
      </w:tr>
    </w:tbl>
    <w:tbl>
      <w:tblPr>
        <w:tblW w:w="7135" w:type="dxa"/>
        <w:jc w:val="left"/>
        <w:tblInd w:w="720" w:type="dxa"/>
        <w:tblCellMar>
          <w:top w:w="0" w:type="dxa"/>
          <w:left w:w="0" w:type="dxa"/>
          <w:bottom w:w="0" w:type="dxa"/>
          <w:right w:w="0" w:type="dxa"/>
        </w:tblCellMar>
      </w:tblPr>
      <w:tblGrid>
        <w:gridCol w:w="110"/>
        <w:gridCol w:w="70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and sustainability of an active trading market for our common stock; </w:t>
            </w:r>
          </w:p>
        </w:tc>
      </w:tr>
    </w:tbl>
    <w:tbl>
      <w:tblPr>
        <w:tblW w:w="3265" w:type="dxa"/>
        <w:jc w:val="left"/>
        <w:tblInd w:w="720" w:type="dxa"/>
        <w:tblCellMar>
          <w:top w:w="0" w:type="dxa"/>
          <w:left w:w="0" w:type="dxa"/>
          <w:bottom w:w="0" w:type="dxa"/>
          <w:right w:w="0" w:type="dxa"/>
        </w:tblCellMar>
      </w:tblPr>
      <w:tblGrid>
        <w:gridCol w:w="110"/>
        <w:gridCol w:w="31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1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accounting principles; and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events or factors, including those resulting from informational technology system failures and disruptions, epidemics, pandemics, natural disasters, war, acts of terrorism, civil unrest or responses to these events.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 </w:t>
      </w:r>
    </w:p>
    <w:p>
      <w:pPr>
        <w:pStyle w:val="TextBody"/>
        <w:spacing w:before="41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You may be diluted by the future issuance of additional common stock in connection with our incentive plans, acquisitions or otherwise.</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this offering, we will have approximately 207,116,460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our ESPP.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2" w:name="DSPFPageBreakArea24"/>
      <w:bookmarkStart w:id="133" w:name="DSPFPageBreakArea24"/>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4" w:name="DSPFPageBreak24"/>
      <w:bookmarkStart w:id="135" w:name="DSPFPageBreak2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6" w:name="ny20000592x1_drs_104-risk_pg3"/>
        <w:bookmarkEnd w:id="13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 </w:t>
      </w:r>
    </w:p>
    <w:p>
      <w:pPr>
        <w:pStyle w:val="TextBody"/>
        <w:spacing w:before="41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Because we have no current plans to pay cash dividends on our common stock, you may not receive any return on investment unless you sell your common stock for a price greater than that which you paid for it.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 </w:t>
      </w:r>
    </w:p>
    <w:p>
      <w:pPr>
        <w:pStyle w:val="TextBody"/>
        <w:spacing w:before="41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Academy Sports and Outdoors, Inc. is a holding company and depends on its subsidiaries for cash to fund its operations and expenses, including future dividend payments, if any.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 </w:t>
      </w:r>
    </w:p>
    <w:p>
      <w:pPr>
        <w:pStyle w:val="TextBody"/>
        <w:spacing w:before="41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sales, or the perception of future sales, by us or our existing stockholders in the public market following this offering could cause the market price for our common stock to decline.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 </w:t>
      </w:r>
    </w:p>
    <w:p>
      <w:pPr>
        <w:pStyle w:val="TextBody"/>
        <w:spacing w:before="41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securities analysts do not publish research or reports about our business or if they downgrade our stock or our sector, our stock price and trading volume could decline.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7" w:name="DSPFPageBreakArea25"/>
      <w:bookmarkStart w:id="138" w:name="DSPFPageBreakArea25"/>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9" w:name="DSPFPageBreak25"/>
      <w:bookmarkStart w:id="140" w:name="DSPFPageBreak25"/>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1" w:name="ny20000592x1_drs_104-risk_pg4"/>
        <w:bookmarkEnd w:id="14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our organizational documents could delay or prevent a change of control.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w:t>
      </w:r>
    </w:p>
    <w:p>
      <w:pPr>
        <w:pStyle w:val="TextBody"/>
        <w:spacing w:before="16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provide for, among other things: </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classified board of directors, as a result of which our board of directors is divided into three classes, with each class serving for staggered three-year terms; </w:t>
            </w:r>
          </w:p>
        </w:tc>
      </w:tr>
    </w:tbl>
    <w:tbl>
      <w:tblPr>
        <w:tblW w:w="9130" w:type="dxa"/>
        <w:jc w:val="left"/>
        <w:tblInd w:w="720" w:type="dxa"/>
        <w:tblCellMar>
          <w:top w:w="0" w:type="dxa"/>
          <w:left w:w="0" w:type="dxa"/>
          <w:bottom w:w="0" w:type="dxa"/>
          <w:right w:w="0" w:type="dxa"/>
        </w:tblCellMar>
      </w:tblPr>
      <w:tblGrid>
        <w:gridCol w:w="110"/>
        <w:gridCol w:w="90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our board of directors to issue one or more series of preferred stock without stockholder approval;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 notice requirements for nominations of directors by stockholders and for stockholders to include matters to be considered at our annual meetings; </w:t>
            </w:r>
          </w:p>
        </w:tc>
      </w:tr>
    </w:tbl>
    <w:tbl>
      <w:tblPr>
        <w:tblW w:w="5290" w:type="dxa"/>
        <w:jc w:val="left"/>
        <w:tblInd w:w="720" w:type="dxa"/>
        <w:tblCellMar>
          <w:top w:w="0" w:type="dxa"/>
          <w:left w:w="0" w:type="dxa"/>
          <w:bottom w:w="0" w:type="dxa"/>
          <w:right w:w="0" w:type="dxa"/>
        </w:tblCellMar>
      </w:tblPr>
      <w:tblGrid>
        <w:gridCol w:w="110"/>
        <w:gridCol w:w="51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1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limitations on convening special stockholder meetings;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removal of directors only for cause and only upon the affirmative vote of the holders of at least 662/3% of the shares of common stock entitled to vote generally in the election of directors; and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certain provisions may be amended only by the affirmative vote of at least 662/3% of shares of common stock entitled to vote generally in the election of directors.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 </w:t>
      </w:r>
    </w:p>
    <w:p>
      <w:pPr>
        <w:pStyle w:val="TextBody"/>
        <w:spacing w:before="24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is authorized to issue and designate shares of our preferred stock in additional series without stockholder approval.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 </w:t>
      </w:r>
    </w:p>
    <w:p>
      <w:pPr>
        <w:pStyle w:val="TextBody"/>
        <w:spacing w:before="24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2" w:name="DSPFPageBreakArea26"/>
      <w:bookmarkStart w:id="143" w:name="DSPFPageBreakArea26"/>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4" w:name="DSPFPageBreak26"/>
      <w:bookmarkStart w:id="145" w:name="DSPFPageBreak26"/>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6" w:name="ny20000592x1_drs_104-risk_pg5"/>
        <w:bookmarkEnd w:id="14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7" w:name="DSPFPageBreakArea27"/>
      <w:bookmarkStart w:id="148" w:name="DSPFPageBreakArea27"/>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9" w:name="DSPFPageBreak27"/>
      <w:bookmarkStart w:id="150" w:name="DSPFPageBreak27"/>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1" w:name="ny20000592x1_drs_105-fls_pg1"/>
        <w:bookmarkEnd w:id="15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52" w:name="tFLS"/>
      <w:bookmarkEnd w:id="152"/>
      <w:r>
        <w:rPr>
          <w:rFonts w:ascii="Times New Roman;Times;serif" w:hAnsi="Times New Roman;Times;serif"/>
          <w:b/>
          <w:color w:val="000000"/>
          <w:sz w:val="20"/>
        </w:rPr>
        <w:t xml:space="preserve">FORWARD-LOOKING STATEMENTS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by reference herein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and “Risk Factors,” and the documents incorporated by reference herein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 and the documents incorporated by reference herein.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contained, or incorporated by reference,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in this prospectus and “Risk Factors” in our Annual Report incorporated by reference herein, including the following: </w:t>
      </w:r>
    </w:p>
    <w:tbl>
      <w:tblPr>
        <w:tblW w:w="6895" w:type="dxa"/>
        <w:jc w:val="left"/>
        <w:tblInd w:w="720" w:type="dxa"/>
        <w:tblCellMar>
          <w:top w:w="0" w:type="dxa"/>
          <w:left w:w="0" w:type="dxa"/>
          <w:bottom w:w="0" w:type="dxa"/>
          <w:right w:w="0" w:type="dxa"/>
        </w:tblCellMar>
      </w:tblPr>
      <w:tblGrid>
        <w:gridCol w:w="110"/>
        <w:gridCol w:w="67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overall decline in the health of the economy and consumer discretionary spending;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predict or effectively react to changes in consumer tastes and preferences, to acquire and sell brand name merchandise at competitive prices and/or to manage our inventory balances; </w:t>
            </w:r>
          </w:p>
        </w:tc>
      </w:tr>
    </w:tbl>
    <w:tbl>
      <w:tblPr>
        <w:tblW w:w="5200" w:type="dxa"/>
        <w:jc w:val="left"/>
        <w:tblInd w:w="720" w:type="dxa"/>
        <w:tblCellMar>
          <w:top w:w="0" w:type="dxa"/>
          <w:left w:w="0" w:type="dxa"/>
          <w:bottom w:w="0" w:type="dxa"/>
          <w:right w:w="0" w:type="dxa"/>
        </w:tblCellMar>
      </w:tblPr>
      <w:tblGrid>
        <w:gridCol w:w="110"/>
        <w:gridCol w:w="50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COVID-19 on our business and financial results; </w:t>
            </w:r>
          </w:p>
        </w:tc>
      </w:tr>
    </w:tbl>
    <w:tbl>
      <w:tblPr>
        <w:tblW w:w="6820" w:type="dxa"/>
        <w:jc w:val="left"/>
        <w:tblInd w:w="720" w:type="dxa"/>
        <w:tblCellMar>
          <w:top w:w="0" w:type="dxa"/>
          <w:left w:w="0" w:type="dxa"/>
          <w:bottom w:w="0" w:type="dxa"/>
          <w:right w:w="0" w:type="dxa"/>
        </w:tblCellMar>
      </w:tblPr>
      <w:tblGrid>
        <w:gridCol w:w="110"/>
        <w:gridCol w:w="67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intense competition in the sporting goods and outdoor recreation retail industries; </w:t>
            </w:r>
          </w:p>
        </w:tc>
      </w:tr>
    </w:tbl>
    <w:tbl>
      <w:tblPr>
        <w:tblW w:w="9430" w:type="dxa"/>
        <w:jc w:val="left"/>
        <w:tblInd w:w="720" w:type="dxa"/>
        <w:tblCellMar>
          <w:top w:w="0" w:type="dxa"/>
          <w:left w:w="0" w:type="dxa"/>
          <w:bottom w:w="0" w:type="dxa"/>
          <w:right w:w="0" w:type="dxa"/>
        </w:tblCellMar>
      </w:tblPr>
      <w:tblGrid>
        <w:gridCol w:w="110"/>
        <w:gridCol w:w="93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safeguard sensitive or confidential data relating to us and our customers, team members and vendors; </w:t>
            </w:r>
          </w:p>
        </w:tc>
      </w:tr>
    </w:tbl>
    <w:tbl>
      <w:tblPr>
        <w:tblW w:w="6640" w:type="dxa"/>
        <w:jc w:val="left"/>
        <w:tblInd w:w="720" w:type="dxa"/>
        <w:tblCellMar>
          <w:top w:w="0" w:type="dxa"/>
          <w:left w:w="0" w:type="dxa"/>
          <w:bottom w:w="0" w:type="dxa"/>
          <w:right w:w="0" w:type="dxa"/>
        </w:tblCellMar>
      </w:tblPr>
      <w:tblGrid>
        <w:gridCol w:w="110"/>
        <w:gridCol w:w="65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our reliance on internationally manufactured merchandise;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comply with laws and regulations affecting our business, including those relating to the sale, manufacture and import of consumer products;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claims, demands and lawsuits to which we are, and may in the future, be subject and the risk that our insurance or indemnities coverage may not be sufficient; </w:t>
            </w:r>
          </w:p>
        </w:tc>
      </w:tr>
    </w:tbl>
    <w:tbl>
      <w:tblPr>
        <w:tblW w:w="6685" w:type="dxa"/>
        <w:jc w:val="left"/>
        <w:tblInd w:w="720" w:type="dxa"/>
        <w:tblCellMar>
          <w:top w:w="0" w:type="dxa"/>
          <w:left w:w="0" w:type="dxa"/>
          <w:bottom w:w="0" w:type="dxa"/>
          <w:right w:w="0" w:type="dxa"/>
        </w:tblCellMar>
      </w:tblPr>
      <w:tblGrid>
        <w:gridCol w:w="110"/>
        <w:gridCol w:w="65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operate, update or implement our information technology systems; </w:t>
            </w:r>
          </w:p>
        </w:tc>
      </w:tr>
    </w:tbl>
    <w:tbl>
      <w:tblPr>
        <w:tblW w:w="8455" w:type="dxa"/>
        <w:jc w:val="left"/>
        <w:tblInd w:w="720" w:type="dxa"/>
        <w:tblCellMar>
          <w:top w:w="0" w:type="dxa"/>
          <w:left w:w="0" w:type="dxa"/>
          <w:bottom w:w="0" w:type="dxa"/>
          <w:right w:w="0" w:type="dxa"/>
        </w:tblCellMar>
      </w:tblPr>
      <w:tblGrid>
        <w:gridCol w:w="110"/>
        <w:gridCol w:w="83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disruptions in our supply chain and losses of merchandise purchasing incentives; </w:t>
            </w:r>
          </w:p>
        </w:tc>
      </w:tr>
    </w:tbl>
    <w:tbl>
      <w:tblPr>
        <w:tblW w:w="2050" w:type="dxa"/>
        <w:jc w:val="left"/>
        <w:tblInd w:w="720" w:type="dxa"/>
        <w:tblCellMar>
          <w:top w:w="0" w:type="dxa"/>
          <w:left w:w="0" w:type="dxa"/>
          <w:bottom w:w="0" w:type="dxa"/>
          <w:right w:w="0" w:type="dxa"/>
        </w:tblCellMar>
      </w:tblPr>
      <w:tblGrid>
        <w:gridCol w:w="110"/>
        <w:gridCol w:w="19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9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harm to our reputation; </w:t>
            </w:r>
          </w:p>
        </w:tc>
      </w:tr>
    </w:tbl>
    <w:tbl>
      <w:tblPr>
        <w:tblW w:w="6955" w:type="dxa"/>
        <w:jc w:val="left"/>
        <w:tblInd w:w="720" w:type="dxa"/>
        <w:tblCellMar>
          <w:top w:w="0" w:type="dxa"/>
          <w:left w:w="0" w:type="dxa"/>
          <w:bottom w:w="0" w:type="dxa"/>
          <w:right w:w="0" w:type="dxa"/>
        </w:tblCellMar>
      </w:tblPr>
      <w:tblGrid>
        <w:gridCol w:w="110"/>
        <w:gridCol w:w="68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8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of our third-party vendors of outsourced business services and solutions;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continue our store growth plans or manage our growth effectively, or any failure of our new stores to generate sales and/or achieve profitability; </w:t>
            </w:r>
          </w:p>
        </w:tc>
      </w:tr>
    </w:tbl>
    <w:tbl>
      <w:tblPr>
        <w:tblW w:w="3970" w:type="dxa"/>
        <w:jc w:val="left"/>
        <w:tblInd w:w="720" w:type="dxa"/>
        <w:tblCellMar>
          <w:top w:w="0" w:type="dxa"/>
          <w:left w:w="0" w:type="dxa"/>
          <w:bottom w:w="0" w:type="dxa"/>
          <w:right w:w="0" w:type="dxa"/>
        </w:tblCellMar>
      </w:tblPr>
      <w:tblGrid>
        <w:gridCol w:w="110"/>
        <w:gridCol w:w="38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8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our e-commerce business; </w:t>
            </w:r>
          </w:p>
        </w:tc>
      </w:tr>
    </w:tbl>
    <w:tbl>
      <w:tblPr>
        <w:tblW w:w="3895" w:type="dxa"/>
        <w:jc w:val="left"/>
        <w:tblInd w:w="720" w:type="dxa"/>
        <w:tblCellMar>
          <w:top w:w="0" w:type="dxa"/>
          <w:left w:w="0" w:type="dxa"/>
          <w:bottom w:w="0" w:type="dxa"/>
          <w:right w:w="0" w:type="dxa"/>
        </w:tblCellMar>
      </w:tblPr>
      <w:tblGrid>
        <w:gridCol w:w="110"/>
        <w:gridCol w:w="37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our owned brand merchandise; </w:t>
            </w:r>
          </w:p>
        </w:tc>
      </w:tr>
    </w:tbl>
    <w:tbl>
      <w:tblPr>
        <w:tblW w:w="4900" w:type="dxa"/>
        <w:jc w:val="left"/>
        <w:tblInd w:w="720" w:type="dxa"/>
        <w:tblCellMar>
          <w:top w:w="0" w:type="dxa"/>
          <w:left w:w="0" w:type="dxa"/>
          <w:bottom w:w="0" w:type="dxa"/>
          <w:right w:w="0" w:type="dxa"/>
        </w:tblCellMar>
      </w:tblPr>
      <w:tblGrid>
        <w:gridCol w:w="110"/>
        <w:gridCol w:w="47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7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disruption in the operation of our distribution centers; </w:t>
            </w:r>
          </w:p>
        </w:tc>
      </w:tr>
    </w:tbl>
    <w:tbl>
      <w:tblPr>
        <w:tblW w:w="4990" w:type="dxa"/>
        <w:jc w:val="left"/>
        <w:tblInd w:w="720" w:type="dxa"/>
        <w:tblCellMar>
          <w:top w:w="0" w:type="dxa"/>
          <w:left w:w="0" w:type="dxa"/>
          <w:bottom w:w="0" w:type="dxa"/>
          <w:right w:w="0" w:type="dxa"/>
        </w:tblCellMar>
      </w:tblPr>
      <w:tblGrid>
        <w:gridCol w:w="110"/>
        <w:gridCol w:w="48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quarterly and seasonal fluctuations in our operating results;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severe weather events, catastrophic health events, natural or man-made disasters, social and political conditions or civil unrest;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3" w:name="DSPFPageBreakArea28"/>
      <w:bookmarkStart w:id="154" w:name="DSPFPageBreakArea28"/>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5" w:name="DSPFPageBreak28"/>
      <w:bookmarkStart w:id="156" w:name="DSPFPageBreak28"/>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7" w:name="ny20000592x1_drs_105-fls_pg2"/>
        <w:bookmarkEnd w:id="15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protect our intellectual property and avoid the infringement of third-party intellectual property rights; </w:t>
            </w:r>
          </w:p>
        </w:tc>
      </w:tr>
    </w:tbl>
    <w:tbl>
      <w:tblPr>
        <w:tblW w:w="4615" w:type="dxa"/>
        <w:jc w:val="left"/>
        <w:tblInd w:w="720" w:type="dxa"/>
        <w:tblCellMar>
          <w:top w:w="0" w:type="dxa"/>
          <w:left w:w="0" w:type="dxa"/>
          <w:bottom w:w="0" w:type="dxa"/>
          <w:right w:w="0" w:type="dxa"/>
        </w:tblCellMar>
      </w:tblPr>
      <w:tblGrid>
        <w:gridCol w:w="110"/>
        <w:gridCol w:w="45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our ability to meet our labor needs; </w:t>
            </w:r>
          </w:p>
        </w:tc>
      </w:tr>
    </w:tbl>
    <w:tbl>
      <w:tblPr>
        <w:tblW w:w="3655" w:type="dxa"/>
        <w:jc w:val="left"/>
        <w:tblInd w:w="720" w:type="dxa"/>
        <w:tblCellMar>
          <w:top w:w="0" w:type="dxa"/>
          <w:left w:w="0" w:type="dxa"/>
          <w:bottom w:w="0" w:type="dxa"/>
          <w:right w:w="0" w:type="dxa"/>
        </w:tblCellMar>
      </w:tblPr>
      <w:tblGrid>
        <w:gridCol w:w="110"/>
        <w:gridCol w:w="35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5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geographic concentration of our stores; </w:t>
            </w:r>
          </w:p>
        </w:tc>
      </w:tr>
    </w:tbl>
    <w:tbl>
      <w:tblPr>
        <w:tblW w:w="6340" w:type="dxa"/>
        <w:jc w:val="left"/>
        <w:tblInd w:w="720" w:type="dxa"/>
        <w:tblCellMar>
          <w:top w:w="0" w:type="dxa"/>
          <w:left w:w="0" w:type="dxa"/>
          <w:bottom w:w="0" w:type="dxa"/>
          <w:right w:w="0" w:type="dxa"/>
        </w:tblCellMar>
      </w:tblPr>
      <w:tblGrid>
        <w:gridCol w:w="110"/>
        <w:gridCol w:w="62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merchandise (including raw materials) costs and availability; </w:t>
            </w:r>
          </w:p>
        </w:tc>
      </w:tr>
    </w:tbl>
    <w:tbl>
      <w:tblPr>
        <w:tblW w:w="7450" w:type="dxa"/>
        <w:jc w:val="left"/>
        <w:tblInd w:w="720" w:type="dxa"/>
        <w:tblCellMar>
          <w:top w:w="0" w:type="dxa"/>
          <w:left w:w="0" w:type="dxa"/>
          <w:bottom w:w="0" w:type="dxa"/>
          <w:right w:w="0" w:type="dxa"/>
        </w:tblCellMar>
      </w:tblPr>
      <w:tblGrid>
        <w:gridCol w:w="110"/>
        <w:gridCol w:w="73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3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pursue strategic acquisitions and integrate acquired businesses; </w:t>
            </w:r>
          </w:p>
        </w:tc>
      </w:tr>
    </w:tbl>
    <w:tbl>
      <w:tblPr>
        <w:tblW w:w="1975" w:type="dxa"/>
        <w:jc w:val="left"/>
        <w:tblInd w:w="720" w:type="dxa"/>
        <w:tblCellMar>
          <w:top w:w="0" w:type="dxa"/>
          <w:left w:w="0" w:type="dxa"/>
          <w:bottom w:w="0" w:type="dxa"/>
          <w:right w:w="0" w:type="dxa"/>
        </w:tblCellMar>
      </w:tblPr>
      <w:tblGrid>
        <w:gridCol w:w="110"/>
        <w:gridCol w:w="18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8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payment-related risks; </w:t>
            </w:r>
          </w:p>
        </w:tc>
      </w:tr>
    </w:tbl>
    <w:tbl>
      <w:tblPr>
        <w:tblW w:w="3070" w:type="dxa"/>
        <w:jc w:val="left"/>
        <w:tblInd w:w="720" w:type="dxa"/>
        <w:tblCellMar>
          <w:top w:w="0" w:type="dxa"/>
          <w:left w:w="0" w:type="dxa"/>
          <w:bottom w:w="0" w:type="dxa"/>
          <w:right w:w="0" w:type="dxa"/>
        </w:tblCellMar>
      </w:tblPr>
      <w:tblGrid>
        <w:gridCol w:w="110"/>
        <w:gridCol w:w="29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9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key executives; </w:t>
            </w:r>
          </w:p>
        </w:tc>
      </w:tr>
    </w:tbl>
    <w:tbl>
      <w:tblPr>
        <w:tblW w:w="5080" w:type="dxa"/>
        <w:jc w:val="left"/>
        <w:tblInd w:w="720" w:type="dxa"/>
        <w:tblCellMar>
          <w:top w:w="0" w:type="dxa"/>
          <w:left w:w="0" w:type="dxa"/>
          <w:bottom w:w="0" w:type="dxa"/>
          <w:right w:w="0" w:type="dxa"/>
        </w:tblCellMar>
      </w:tblPr>
      <w:tblGrid>
        <w:gridCol w:w="110"/>
        <w:gridCol w:w="49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effectiveness of our marketing and advertising programs; </w:t>
            </w:r>
          </w:p>
        </w:tc>
      </w:tr>
    </w:tbl>
    <w:tbl>
      <w:tblPr>
        <w:tblW w:w="2500" w:type="dxa"/>
        <w:jc w:val="left"/>
        <w:tblInd w:w="720" w:type="dxa"/>
        <w:tblCellMar>
          <w:top w:w="0" w:type="dxa"/>
          <w:left w:w="0" w:type="dxa"/>
          <w:bottom w:w="0" w:type="dxa"/>
          <w:right w:w="0" w:type="dxa"/>
        </w:tblCellMar>
      </w:tblPr>
      <w:tblGrid>
        <w:gridCol w:w="110"/>
        <w:gridCol w:w="23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3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substantial indebtedness;</w:t>
            </w:r>
          </w:p>
        </w:tc>
      </w:tr>
    </w:tbl>
    <w:tbl>
      <w:tblPr>
        <w:tblW w:w="1525" w:type="dxa"/>
        <w:jc w:val="left"/>
        <w:tblInd w:w="720" w:type="dxa"/>
        <w:tblCellMar>
          <w:top w:w="0" w:type="dxa"/>
          <w:left w:w="0" w:type="dxa"/>
          <w:bottom w:w="0" w:type="dxa"/>
          <w:right w:w="0" w:type="dxa"/>
        </w:tblCellMar>
      </w:tblPr>
      <w:tblGrid>
        <w:gridCol w:w="110"/>
        <w:gridCol w:w="14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4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this offering; and</w:t>
            </w:r>
          </w:p>
        </w:tc>
      </w:tr>
    </w:tbl>
    <w:tbl>
      <w:tblPr>
        <w:tblW w:w="2770" w:type="dxa"/>
        <w:jc w:val="left"/>
        <w:tblInd w:w="720" w:type="dxa"/>
        <w:tblCellMar>
          <w:top w:w="0" w:type="dxa"/>
          <w:left w:w="0" w:type="dxa"/>
          <w:bottom w:w="0" w:type="dxa"/>
          <w:right w:w="0" w:type="dxa"/>
        </w:tblCellMar>
      </w:tblPr>
      <w:tblGrid>
        <w:gridCol w:w="110"/>
        <w:gridCol w:w="26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6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ownership of our common stock.</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factors should not be construed as exhaustive and should be read in conjunction with the other cautionary statements that are included, or incorporated by reference, in this prospectus. Should one or more of these risks or uncertainties materialize, or should any of our assumptions prove incorrect, our actual results may vary in material respects from those projected in these forward-looking statements.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forward-looking statement made by us in this prospectus or the documents incorporated by reference herein speaks only as of the date of this prospectus or in the documents incorporated by reference herein, as applicable, and are expressly qualified in their entirety by the cautionary statements included, or incorporated by reference,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8" w:name="DSPFPageBreakArea29"/>
      <w:bookmarkStart w:id="159" w:name="DSPFPageBreakArea29"/>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0" w:name="DSPFPageBreak29"/>
      <w:bookmarkStart w:id="161" w:name="DSPFPageBreak29"/>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2" w:name="ny20000592x1_drs_106-use_pg1"/>
        <w:bookmarkEnd w:id="16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63" w:name="tUOP"/>
      <w:bookmarkEnd w:id="163"/>
      <w:r>
        <w:rPr>
          <w:rFonts w:ascii="Times New Roman;Times;serif" w:hAnsi="Times New Roman;Times;serif"/>
          <w:b/>
          <w:color w:val="000000"/>
          <w:sz w:val="20"/>
        </w:rPr>
        <w:t xml:space="preserve">USE OF PROCEEDS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selling stockholders will receive all of the net proceeds from the sale of shares of our common stock offered pursuant to this prospectus. We will not receive any proceeds from the sale of shares being sold in this offering. The selling stockholders will bear the underwriting commissions and discounts, if any, attributable to their sale of our common stock, and expenses incurred by the selling stockholders for brokerage, accounting, tax or legal services or any other expenses incurred by the selling stockholders.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“Principal and Selling Stockholders.”</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4" w:name="DSPFPageBreakArea30"/>
      <w:bookmarkStart w:id="165" w:name="DSPFPageBreakArea30"/>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6" w:name="DSPFPageBreak30"/>
      <w:bookmarkStart w:id="167" w:name="DSPFPageBreak30"/>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8" w:name="ny20000592x1_drs_106-use_pg2"/>
        <w:bookmarkEnd w:id="16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69" w:name="tDP"/>
      <w:bookmarkEnd w:id="169"/>
      <w:r>
        <w:rPr>
          <w:rFonts w:ascii="Times New Roman;Times;serif" w:hAnsi="Times New Roman;Times;serif"/>
          <w:b/>
          <w:color w:val="000000"/>
          <w:sz w:val="20"/>
        </w:rPr>
        <w:t xml:space="preserve">DIVIDEND POLICY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Note 4 to our audited consolidated financial statements in our Annual Report incorporated by reference herein.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0" w:name="DSPFPageBreakArea31"/>
      <w:bookmarkStart w:id="171" w:name="DSPFPageBreakArea31"/>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2" w:name="DSPFPageBreak31"/>
      <w:bookmarkStart w:id="173" w:name="DSPFPageBreak31"/>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4" w:name="ny20000592x1_drs_106-use_pg3"/>
        <w:bookmarkEnd w:id="17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75" w:name="tSS"/>
      <w:bookmarkEnd w:id="175"/>
      <w:r>
        <w:rPr>
          <w:rFonts w:ascii="Times New Roman;Times;serif" w:hAnsi="Times New Roman;Times;serif"/>
          <w:b/>
          <w:color w:val="000000"/>
          <w:sz w:val="20"/>
        </w:rPr>
        <w:t>SELLING STOCKHOLDERS</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our common stock by the selling stockholders, the number of shares of our common stock offered hereby by the selling stockholders and information with respect to shares to be beneficially owned by the selling stockholders after completion of this offering.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outstanding and percentages of beneficial ownership provided in the table below are based on the beneficial ownership as of July 31, 2021 and are based on 92,883,540 shares of our common stock, par value $0.01 per share, outstanding as of July 31, 2021. As of July 31, 2021, we had 30 holders of record of our common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To our knowledge, except as indicated in the footnotes to this table and pursuant to applicable community property laws, the persons named in the table have sole voting and investment power with respect to all shares of common stock.</w:t>
      </w:r>
    </w:p>
    <w:tbl>
      <w:tblPr>
        <w:tblW w:w="6845" w:type="dxa"/>
        <w:jc w:val="left"/>
        <w:tblInd w:w="720" w:type="dxa"/>
        <w:tblCellMar>
          <w:top w:w="0" w:type="dxa"/>
          <w:left w:w="0" w:type="dxa"/>
          <w:bottom w:w="0" w:type="dxa"/>
          <w:right w:w="0" w:type="dxa"/>
        </w:tblCellMar>
      </w:tblPr>
      <w:tblGrid>
        <w:gridCol w:w="2150"/>
        <w:gridCol w:w="23"/>
        <w:gridCol w:w="23"/>
        <w:gridCol w:w="830"/>
        <w:gridCol w:w="23"/>
        <w:gridCol w:w="23"/>
        <w:gridCol w:w="875"/>
        <w:gridCol w:w="23"/>
        <w:gridCol w:w="23"/>
        <w:gridCol w:w="1265"/>
        <w:gridCol w:w="23"/>
        <w:gridCol w:w="23"/>
        <w:gridCol w:w="605"/>
        <w:gridCol w:w="23"/>
        <w:gridCol w:w="23"/>
        <w:gridCol w:w="890"/>
      </w:tblGrid>
      <w:tr>
        <w:trPr/>
        <w:tc>
          <w:tcPr>
            <w:tcW w:w="21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41" w:type="dxa"/>
            <w:gridSpan w:val="4"/>
            <w:tcBorders/>
            <w:shd w:fill="auto" w:val="clear"/>
            <w:vAlign w:val="center"/>
          </w:tcPr>
          <w:p>
            <w:pPr>
              <w:pStyle w:val="TableContents"/>
              <w:spacing w:before="0" w:after="0"/>
              <w:jc w:val="center"/>
              <w:rPr>
                <w:color w:val="000000"/>
              </w:rPr>
            </w:pPr>
            <w:r>
              <w:rPr>
                <w:color w:val="000000"/>
              </w:rPr>
              <w:t> </w:t>
            </w:r>
          </w:p>
        </w:tc>
      </w:tr>
      <w:tr>
        <w:trPr/>
        <w:tc>
          <w:tcPr>
            <w:tcW w:w="21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75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Beneficially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to the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26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to be Sold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this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54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Beneficially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 the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r>
      <w:tr>
        <w:trPr/>
        <w:tc>
          <w:tcPr>
            <w:tcW w:w="2150" w:type="dxa"/>
            <w:tcBorders>
              <w:bottom w:val="single" w:sz="8" w:space="0" w:color="000000"/>
            </w:tcBorders>
            <w:shd w:fill="auto" w:val="clear"/>
            <w:tcMar>
              <w:bottom w:w="85" w:type="dxa"/>
            </w:tcMar>
            <w:vAlign w:val="center"/>
          </w:tcPr>
          <w:p>
            <w:pPr>
              <w:pStyle w:val="TableContents"/>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3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7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26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0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r>
      <w:tr>
        <w:trPr/>
        <w:tc>
          <w:tcPr>
            <w:tcW w:w="215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Selling Stockholders: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65" w:type="dxa"/>
            <w:tcBorders/>
            <w:shd w:fill="CCEEFF" w:val="clear"/>
            <w:vAlign w:val="center"/>
          </w:tcPr>
          <w:p>
            <w:pPr>
              <w:pStyle w:val="TableContents"/>
              <w:spacing w:before="0" w:after="0"/>
              <w:jc w:val="center"/>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0"/>
              <w:jc w:val="center"/>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0"/>
              <w:jc w:val="center"/>
              <w:rPr>
                <w:color w:val="000000"/>
              </w:rPr>
            </w:pPr>
            <w:r>
              <w:rPr>
                <w:color w:val="000000"/>
              </w:rPr>
              <w:t> </w:t>
            </w:r>
          </w:p>
        </w:tc>
      </w:tr>
      <w:tr>
        <w:trPr/>
        <w:tc>
          <w:tcPr>
            <w:tcW w:w="2150"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KKR Stockholders(2)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18,645,602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219" w:right="0" w:hanging="0"/>
              <w:jc w:val="left"/>
              <w:rPr>
                <w:rFonts w:ascii="Times New Roman;Times;serif" w:hAnsi="Times New Roman;Times;serif"/>
                <w:color w:val="000000"/>
                <w:sz w:val="18"/>
              </w:rPr>
            </w:pPr>
            <w:r>
              <w:rPr>
                <w:rFonts w:ascii="Times New Roman;Times;serif" w:hAnsi="Times New Roman;Times;serif"/>
                <w:color w:val="000000"/>
                <w:sz w:val="18"/>
              </w:rPr>
              <w:t>20.1%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376" w:right="0" w:hanging="0"/>
              <w:jc w:val="left"/>
              <w:rPr>
                <w:rFonts w:ascii="Times New Roman;Times;serif" w:hAnsi="Times New Roman;Times;serif"/>
                <w:color w:val="000000"/>
                <w:sz w:val="18"/>
              </w:rPr>
            </w:pPr>
            <w:r>
              <w:rPr>
                <w:rFonts w:ascii="Times New Roman;Times;serif" w:hAnsi="Times New Roman;Times;serif"/>
                <w:color w:val="000000"/>
                <w:sz w:val="18"/>
              </w:rPr>
              <w:t>%</w:t>
            </w:r>
          </w:p>
        </w:tc>
      </w:tr>
    </w:tbl>
    <w:tbl>
      <w:tblPr>
        <w:tblW w:w="1675" w:type="dxa"/>
        <w:jc w:val="left"/>
        <w:tblInd w:w="720" w:type="dxa"/>
        <w:tblCellMar>
          <w:top w:w="0" w:type="dxa"/>
          <w:left w:w="0" w:type="dxa"/>
          <w:bottom w:w="0" w:type="dxa"/>
          <w:right w:w="0" w:type="dxa"/>
        </w:tblCellMar>
      </w:tblPr>
      <w:tblGrid>
        <w:gridCol w:w="110"/>
        <w:gridCol w:w="156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6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Less than one percent.</w:t>
            </w:r>
          </w:p>
        </w:tc>
      </w:tr>
    </w:tbl>
    <w:tbl>
      <w:tblPr>
        <w:tblW w:w="9485" w:type="dxa"/>
        <w:jc w:val="left"/>
        <w:tblInd w:w="720" w:type="dxa"/>
        <w:tblCellMar>
          <w:top w:w="0" w:type="dxa"/>
          <w:left w:w="0" w:type="dxa"/>
          <w:bottom w:w="0" w:type="dxa"/>
          <w:right w:w="0" w:type="dxa"/>
        </w:tblCellMar>
      </w:tblPr>
      <w:tblGrid>
        <w:gridCol w:w="208"/>
        <w:gridCol w:w="927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2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Unless otherwise indicated in the below, the address of each of the individuals named above is: c/o Academy Sports + Outdoors, Attention: General Counsel, 1800 North Mason Road, Katy, Texas 77449.</w:t>
            </w:r>
          </w:p>
        </w:tc>
      </w:tr>
    </w:tbl>
    <w:tbl>
      <w:tblPr>
        <w:tblW w:w="9485" w:type="dxa"/>
        <w:jc w:val="left"/>
        <w:tblInd w:w="720" w:type="dxa"/>
        <w:tblCellMar>
          <w:top w:w="0" w:type="dxa"/>
          <w:left w:w="0" w:type="dxa"/>
          <w:bottom w:w="0" w:type="dxa"/>
          <w:right w:w="0" w:type="dxa"/>
        </w:tblCellMar>
      </w:tblPr>
      <w:tblGrid>
        <w:gridCol w:w="202"/>
        <w:gridCol w:w="928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2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(x) KKR 2006 Allstar Blocker L.P. holds 3,361,282 shares of our common stock; (y) Allstar Co-Invest Blocker L.P. holds 6,670,127 shares of our common stock; and (z) Allstar LLC holds 8,614,193 shares of our common stock. </w:t>
            </w:r>
          </w:p>
        </w:tc>
      </w:tr>
    </w:tbl>
    <w:p>
      <w:pPr>
        <w:pStyle w:val="TextBody"/>
        <w:spacing w:before="60" w:after="283"/>
        <w:ind w:left="1120" w:right="0" w:hanging="0"/>
        <w:jc w:val="left"/>
        <w:rPr>
          <w:rFonts w:ascii="Times New Roman;Times;serif" w:hAnsi="Times New Roman;Times;serif"/>
          <w:color w:val="000000"/>
          <w:sz w:val="16"/>
        </w:rPr>
      </w:pPr>
      <w:r>
        <w:rPr>
          <w:rFonts w:ascii="Times New Roman;Times;serif" w:hAnsi="Times New Roman;Times;serif"/>
          <w:color w:val="000000"/>
          <w:sz w:val="16"/>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NY, 10001. The principal business address for Mr. Roberts is c/o Kohlberg Kravis Roberts &amp; Co. L.P., 2800 Sand Hill Road, Suite 200, Menlo Park, CA 94025.</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6" w:name="DSPFPageBreakArea32"/>
      <w:bookmarkStart w:id="177" w:name="DSPFPageBreakArea32"/>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8" w:name="DSPFPageBreak32"/>
      <w:bookmarkStart w:id="179" w:name="DSPFPageBreak32"/>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0" w:name="ny20000592x1_drs_107-description_pg1"/>
        <w:bookmarkEnd w:id="180"/>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181" w:name="tDCS"/>
      <w:bookmarkEnd w:id="181"/>
      <w:r>
        <w:rPr>
          <w:rFonts w:ascii="Times New Roman;Times;serif" w:hAnsi="Times New Roman;Times;serif"/>
          <w:b/>
          <w:color w:val="000000"/>
          <w:sz w:val="20"/>
        </w:rPr>
        <w:t xml:space="preserve">DESCRIPTION OF CAPITAL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purpose is to engage in any lawful act or activity for which corporations may now or hereafter be organized under the DGCL. Our authorized capital stock consists of 300 million shares of common stock, par value $0.01 per share, and 50 million shares of preferred stock. </w:t>
      </w:r>
    </w:p>
    <w:p>
      <w:pPr>
        <w:pStyle w:val="TextBody"/>
        <w:spacing w:before="36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spacing w:lineRule="auto" w:line="240"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662⁄3% vote of the then outstanding shares of our common stock is required, the affirmative vote of a majority in voting power of shares present at a meeting of the holders of our common stock is required.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our common stock do not have preemptive, subscription or conversion rights. There are no redemption or sinking fund provisions applicable to our common stock. </w:t>
      </w:r>
    </w:p>
    <w:p>
      <w:pPr>
        <w:pStyle w:val="TextBody"/>
        <w:spacing w:before="36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 </w:t>
      </w:r>
    </w:p>
    <w:tbl>
      <w:tblPr>
        <w:tblW w:w="2575" w:type="dxa"/>
        <w:jc w:val="left"/>
        <w:tblInd w:w="720" w:type="dxa"/>
        <w:tblCellMar>
          <w:top w:w="0" w:type="dxa"/>
          <w:left w:w="0" w:type="dxa"/>
          <w:bottom w:w="0" w:type="dxa"/>
          <w:right w:w="0" w:type="dxa"/>
        </w:tblCellMar>
      </w:tblPr>
      <w:tblGrid>
        <w:gridCol w:w="185"/>
        <w:gridCol w:w="239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3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series; </w:t>
            </w:r>
          </w:p>
        </w:tc>
      </w:tr>
    </w:tbl>
    <w:tbl>
      <w:tblPr>
        <w:tblW w:w="9485" w:type="dxa"/>
        <w:jc w:val="left"/>
        <w:tblInd w:w="720" w:type="dxa"/>
        <w:tblCellMar>
          <w:top w:w="0" w:type="dxa"/>
          <w:left w:w="0" w:type="dxa"/>
          <w:bottom w:w="0" w:type="dxa"/>
          <w:right w:w="0" w:type="dxa"/>
        </w:tblCellMar>
      </w:tblPr>
      <w:tblGrid>
        <w:gridCol w:w="148"/>
        <w:gridCol w:w="9337"/>
      </w:tblGrid>
      <w:tr>
        <w:trPr/>
        <w:tc>
          <w:tcPr>
            <w:tcW w:w="14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33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the series, which our board of directors may, except where otherwise provided in the preferred stock designation, increase (but not above the total number of authorized shares of the class) or decrease (but not below the number of shares then outstanding); </w:t>
            </w:r>
          </w:p>
        </w:tc>
      </w:tr>
    </w:tbl>
    <w:tbl>
      <w:tblPr>
        <w:tblW w:w="8290" w:type="dxa"/>
        <w:jc w:val="left"/>
        <w:tblInd w:w="720" w:type="dxa"/>
        <w:tblCellMar>
          <w:top w:w="0" w:type="dxa"/>
          <w:left w:w="0" w:type="dxa"/>
          <w:bottom w:w="0" w:type="dxa"/>
          <w:right w:w="0" w:type="dxa"/>
        </w:tblCellMar>
      </w:tblPr>
      <w:tblGrid>
        <w:gridCol w:w="185"/>
        <w:gridCol w:w="8105"/>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1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dividends, if any, will be cumulative or non-cumulative and the dividend rate of the series; </w:t>
            </w:r>
          </w:p>
        </w:tc>
      </w:tr>
    </w:tbl>
    <w:tbl>
      <w:tblPr>
        <w:tblW w:w="4510" w:type="dxa"/>
        <w:jc w:val="left"/>
        <w:tblInd w:w="720" w:type="dxa"/>
        <w:tblCellMar>
          <w:top w:w="0" w:type="dxa"/>
          <w:left w:w="0" w:type="dxa"/>
          <w:bottom w:w="0" w:type="dxa"/>
          <w:right w:w="0" w:type="dxa"/>
        </w:tblCellMar>
      </w:tblPr>
      <w:tblGrid>
        <w:gridCol w:w="185"/>
        <w:gridCol w:w="4325"/>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43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dates at which dividends, if any, will be payable; </w:t>
            </w:r>
          </w:p>
        </w:tc>
      </w:tr>
    </w:tbl>
    <w:tbl>
      <w:tblPr>
        <w:tblW w:w="5995" w:type="dxa"/>
        <w:jc w:val="left"/>
        <w:tblInd w:w="720" w:type="dxa"/>
        <w:tblCellMar>
          <w:top w:w="0" w:type="dxa"/>
          <w:left w:w="0" w:type="dxa"/>
          <w:bottom w:w="0" w:type="dxa"/>
          <w:right w:w="0" w:type="dxa"/>
        </w:tblCellMar>
      </w:tblPr>
      <w:tblGrid>
        <w:gridCol w:w="185"/>
        <w:gridCol w:w="581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58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rights and price or prices, if any, for shares of the series; </w:t>
            </w:r>
          </w:p>
        </w:tc>
      </w:tr>
    </w:tbl>
    <w:tbl>
      <w:tblPr>
        <w:tblW w:w="8815" w:type="dxa"/>
        <w:jc w:val="left"/>
        <w:tblInd w:w="720" w:type="dxa"/>
        <w:tblCellMar>
          <w:top w:w="0" w:type="dxa"/>
          <w:left w:w="0" w:type="dxa"/>
          <w:bottom w:w="0" w:type="dxa"/>
          <w:right w:w="0" w:type="dxa"/>
        </w:tblCellMar>
      </w:tblPr>
      <w:tblGrid>
        <w:gridCol w:w="185"/>
        <w:gridCol w:w="863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86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amounts of any sinking fund provided for the purchase or redemption of shares of the series; </w:t>
            </w:r>
          </w:p>
        </w:tc>
      </w:tr>
    </w:tbl>
    <w:tbl>
      <w:tblPr>
        <w:tblW w:w="9485" w:type="dxa"/>
        <w:jc w:val="left"/>
        <w:tblInd w:w="720" w:type="dxa"/>
        <w:tblCellMar>
          <w:top w:w="0" w:type="dxa"/>
          <w:left w:w="0" w:type="dxa"/>
          <w:bottom w:w="0" w:type="dxa"/>
          <w:right w:w="0" w:type="dxa"/>
        </w:tblCellMar>
      </w:tblPr>
      <w:tblGrid>
        <w:gridCol w:w="167"/>
        <w:gridCol w:w="9318"/>
      </w:tblGrid>
      <w:tr>
        <w:trPr/>
        <w:tc>
          <w:tcPr>
            <w:tcW w:w="1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3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amounts payable on shares of the series in the event of any voluntary or involuntary liquidation, dissolution or winding-up of the affairs of the Company; </w:t>
            </w:r>
          </w:p>
        </w:tc>
      </w:tr>
    </w:tbl>
    <w:tbl>
      <w:tblPr>
        <w:tblW w:w="9485" w:type="dxa"/>
        <w:jc w:val="left"/>
        <w:tblInd w:w="720" w:type="dxa"/>
        <w:tblCellMar>
          <w:top w:w="0" w:type="dxa"/>
          <w:left w:w="0" w:type="dxa"/>
          <w:bottom w:w="0" w:type="dxa"/>
          <w:right w:w="0" w:type="dxa"/>
        </w:tblCellMar>
      </w:tblPr>
      <w:tblGrid>
        <w:gridCol w:w="139"/>
        <w:gridCol w:w="9346"/>
      </w:tblGrid>
      <w:tr>
        <w:trPr/>
        <w:tc>
          <w:tcPr>
            <w:tcW w:w="13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34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2" w:name="DSPFPageBreakArea33"/>
      <w:bookmarkStart w:id="183" w:name="DSPFPageBreakArea33"/>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4" w:name="DSPFPageBreak33"/>
      <w:bookmarkStart w:id="185" w:name="DSPFPageBreak33"/>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6" w:name="ny20000592x1_drs_107-description_pg2"/>
        <w:bookmarkEnd w:id="18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7420" w:type="dxa"/>
        <w:jc w:val="left"/>
        <w:tblInd w:w="720" w:type="dxa"/>
        <w:tblCellMar>
          <w:top w:w="0" w:type="dxa"/>
          <w:left w:w="0" w:type="dxa"/>
          <w:bottom w:w="0" w:type="dxa"/>
          <w:right w:w="0" w:type="dxa"/>
        </w:tblCellMar>
      </w:tblPr>
      <w:tblGrid>
        <w:gridCol w:w="185"/>
        <w:gridCol w:w="7235"/>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7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the issuance of shares of the same series or of any other class or series; and </w:t>
            </w:r>
          </w:p>
        </w:tc>
      </w:tr>
    </w:tbl>
    <w:tbl>
      <w:tblPr>
        <w:tblW w:w="4510" w:type="dxa"/>
        <w:jc w:val="left"/>
        <w:tblInd w:w="720" w:type="dxa"/>
        <w:tblCellMar>
          <w:top w:w="0" w:type="dxa"/>
          <w:left w:w="0" w:type="dxa"/>
          <w:bottom w:w="0" w:type="dxa"/>
          <w:right w:w="0" w:type="dxa"/>
        </w:tblCellMar>
      </w:tblPr>
      <w:tblGrid>
        <w:gridCol w:w="290"/>
        <w:gridCol w:w="4220"/>
      </w:tblGrid>
      <w:tr>
        <w:trPr/>
        <w:tc>
          <w:tcPr>
            <w:tcW w:w="2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4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voting rights, if any, of the holders of the series.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 </w:t>
      </w:r>
    </w:p>
    <w:p>
      <w:pPr>
        <w:pStyle w:val="TextBody"/>
        <w:spacing w:before="30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 </w:t>
      </w:r>
    </w:p>
    <w:p>
      <w:pPr>
        <w:pStyle w:val="TextBody"/>
        <w:spacing w:before="24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Our Amended and Restated Certificate of Incorporation and Amended and Restated Bylaws and Certain Provisions of Delaware Law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 </w:t>
      </w:r>
    </w:p>
    <w:p>
      <w:pPr>
        <w:pStyle w:val="TextBody"/>
        <w:spacing w:before="30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Authorized but Unissued Capital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existence of unissued and unreserved common stock or preferred stock may be to enable our board of directors to issue shares to persons friendly to current management, which issuance could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7" w:name="DSPFPageBreakArea34"/>
      <w:bookmarkStart w:id="188" w:name="DSPFPageBreakArea34"/>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9" w:name="DSPFPageBreak34"/>
      <w:bookmarkStart w:id="190" w:name="DSPFPageBreak34"/>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1" w:name="ny20000592x1_drs_107-description_pg3"/>
        <w:bookmarkEnd w:id="19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spacing w:before="33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Classified Board of Directors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 </w:t>
      </w:r>
    </w:p>
    <w:p>
      <w:pPr>
        <w:pStyle w:val="TextBody"/>
        <w:spacing w:before="33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such time, our board of directors approved either the business combination or the transaction which resulted in the stockholder becoming an interested stockholder;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or subsequent to that time, the business combination is approved by our board of directors and by the affirmative vote of holders of at least 662⁄3% of the outstanding voting stock that is not owned by the interested stockholder.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 </w:t>
      </w:r>
    </w:p>
    <w:p>
      <w:pPr>
        <w:pStyle w:val="TextBody"/>
        <w:spacing w:before="34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Removal of Directors; Vacancies </w:t>
      </w:r>
    </w:p>
    <w:p>
      <w:pPr>
        <w:pStyle w:val="TextBody"/>
        <w:spacing w:lineRule="auto" w:line="240"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only be removed for cause and only by the affirmative vote of holders of at least 662⁄3% in voting power of all the then-outstanding shares of stock entitled to vote generally in the election of directors, voting together as a single class. In addition, our amended and restated certificate of incorporation and our amended and restated bylaws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2" w:name="DSPFPageBreakArea35"/>
      <w:bookmarkStart w:id="193" w:name="DSPFPageBreakArea35"/>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4" w:name="DSPFPageBreak35"/>
      <w:bookmarkStart w:id="195" w:name="DSPFPageBreak35"/>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6" w:name="ny20000592x1_drs_107-description_pg4"/>
        <w:bookmarkEnd w:id="19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also provide that, subject to the rights granted to one or more series of preferred stock then outstanding or the rights granted to KKR Stockholders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 </w:t>
      </w:r>
    </w:p>
    <w:p>
      <w:pPr>
        <w:pStyle w:val="TextBody"/>
        <w:spacing w:before="36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Cumulative Voting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 </w:t>
      </w:r>
    </w:p>
    <w:p>
      <w:pPr>
        <w:pStyle w:val="TextBody"/>
        <w:spacing w:before="37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Stockholder Meetings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special meetings of our stockholders may be called at any time only by or at the direction of the board of directors or the chairman of the board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spacing w:before="37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Requirements for Advance Notification of Director Nominations and Stockholder Proposals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 </w:t>
      </w:r>
    </w:p>
    <w:p>
      <w:pPr>
        <w:pStyle w:val="TextBody"/>
        <w:spacing w:before="37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by Written Consent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w:t>
      </w:r>
    </w:p>
    <w:p>
      <w:pPr>
        <w:pStyle w:val="TextBody"/>
        <w:spacing w:before="370" w:after="283"/>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Supermajority Provisions </w:t>
      </w:r>
    </w:p>
    <w:p>
      <w:pPr>
        <w:pStyle w:val="TextBody"/>
        <w:spacing w:lineRule="auto" w:line="240"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will require the affirmative vote of the holders of at least 662⁄3% in voting power of all the then-outstanding shares of stock entitled to vote generally in the election of directors, voting together as a single class.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7" w:name="DSPFPageBreakArea36"/>
      <w:bookmarkStart w:id="198" w:name="DSPFPageBreakArea36"/>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9" w:name="DSPFPageBreak36"/>
      <w:bookmarkStart w:id="200" w:name="DSPFPageBreak36"/>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1" w:name="ny20000592x1_drs_107-description_pg5"/>
        <w:bookmarkEnd w:id="20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spacing w:lineRule="auto" w:line="240"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the following provisions in our amended and restated certificate of incorporation may be amended, altered, repealed or rescinded only by the affirmative vote of the holders of at least 662⁄3% in the voting power of all outstanding shares of stock entitled to vote generally in the election of directors, voting together as a single class: </w:t>
      </w:r>
    </w:p>
    <w:tbl>
      <w:tblPr>
        <w:tblW w:w="9355" w:type="dxa"/>
        <w:jc w:val="left"/>
        <w:tblInd w:w="720" w:type="dxa"/>
        <w:tblCellMar>
          <w:top w:w="0" w:type="dxa"/>
          <w:left w:w="0" w:type="dxa"/>
          <w:bottom w:w="0" w:type="dxa"/>
          <w:right w:w="0" w:type="dxa"/>
        </w:tblCellMar>
      </w:tblPr>
      <w:tblGrid>
        <w:gridCol w:w="110"/>
        <w:gridCol w:w="92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45"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 requiring a 662⁄3% supermajority vote for stockholders to amend our amended and restated bylaws; </w:t>
            </w:r>
          </w:p>
        </w:tc>
      </w:tr>
    </w:tbl>
    <w:tbl>
      <w:tblPr>
        <w:tblW w:w="8080" w:type="dxa"/>
        <w:jc w:val="left"/>
        <w:tblInd w:w="720" w:type="dxa"/>
        <w:tblCellMar>
          <w:top w:w="0" w:type="dxa"/>
          <w:left w:w="0" w:type="dxa"/>
          <w:bottom w:w="0" w:type="dxa"/>
          <w:right w:w="0" w:type="dxa"/>
        </w:tblCellMar>
      </w:tblPr>
      <w:tblGrid>
        <w:gridCol w:w="110"/>
        <w:gridCol w:w="79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providing for a classified board of directors (the election and term of our directors); </w:t>
            </w:r>
          </w:p>
        </w:tc>
      </w:tr>
    </w:tbl>
    <w:tbl>
      <w:tblPr>
        <w:tblW w:w="5185" w:type="dxa"/>
        <w:jc w:val="left"/>
        <w:tblInd w:w="720" w:type="dxa"/>
        <w:tblCellMar>
          <w:top w:w="0" w:type="dxa"/>
          <w:left w:w="0" w:type="dxa"/>
          <w:bottom w:w="0" w:type="dxa"/>
          <w:right w:w="0" w:type="dxa"/>
        </w:tblCellMar>
      </w:tblPr>
      <w:tblGrid>
        <w:gridCol w:w="110"/>
        <w:gridCol w:w="5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regarding resignation and removal of directors; </w:t>
            </w:r>
          </w:p>
        </w:tc>
      </w:tr>
    </w:tbl>
    <w:tbl>
      <w:tblPr>
        <w:tblW w:w="5545" w:type="dxa"/>
        <w:jc w:val="left"/>
        <w:tblInd w:w="720" w:type="dxa"/>
        <w:tblCellMar>
          <w:top w:w="0" w:type="dxa"/>
          <w:left w:w="0" w:type="dxa"/>
          <w:bottom w:w="0" w:type="dxa"/>
          <w:right w:w="0" w:type="dxa"/>
        </w:tblCellMar>
      </w:tblPr>
      <w:tblGrid>
        <w:gridCol w:w="110"/>
        <w:gridCol w:w="54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regarding competition and corporate opportunities; </w:t>
            </w:r>
          </w:p>
        </w:tc>
      </w:tr>
    </w:tbl>
    <w:tbl>
      <w:tblPr>
        <w:tblW w:w="7525" w:type="dxa"/>
        <w:jc w:val="left"/>
        <w:tblInd w:w="720" w:type="dxa"/>
        <w:tblCellMar>
          <w:top w:w="0" w:type="dxa"/>
          <w:left w:w="0" w:type="dxa"/>
          <w:bottom w:w="0" w:type="dxa"/>
          <w:right w:w="0" w:type="dxa"/>
        </w:tblCellMar>
      </w:tblPr>
      <w:tblGrid>
        <w:gridCol w:w="110"/>
        <w:gridCol w:w="74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regarding entering into business combinations with interested stockholders; </w:t>
            </w:r>
          </w:p>
        </w:tc>
      </w:tr>
    </w:tbl>
    <w:tbl>
      <w:tblPr>
        <w:tblW w:w="5320" w:type="dxa"/>
        <w:jc w:val="left"/>
        <w:tblInd w:w="720" w:type="dxa"/>
        <w:tblCellMar>
          <w:top w:w="0" w:type="dxa"/>
          <w:left w:w="0" w:type="dxa"/>
          <w:bottom w:w="0" w:type="dxa"/>
          <w:right w:w="0" w:type="dxa"/>
        </w:tblCellMar>
      </w:tblPr>
      <w:tblGrid>
        <w:gridCol w:w="110"/>
        <w:gridCol w:w="52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regarding stockholder action by written consent; </w:t>
            </w:r>
          </w:p>
        </w:tc>
      </w:tr>
    </w:tbl>
    <w:tbl>
      <w:tblPr>
        <w:tblW w:w="5515" w:type="dxa"/>
        <w:jc w:val="left"/>
        <w:tblInd w:w="720" w:type="dxa"/>
        <w:tblCellMar>
          <w:top w:w="0" w:type="dxa"/>
          <w:left w:w="0" w:type="dxa"/>
          <w:bottom w:w="0" w:type="dxa"/>
          <w:right w:w="0" w:type="dxa"/>
        </w:tblCellMar>
      </w:tblPr>
      <w:tblGrid>
        <w:gridCol w:w="110"/>
        <w:gridCol w:w="54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regarding calling special meetings of stockholders; </w:t>
            </w:r>
          </w:p>
        </w:tc>
      </w:tr>
    </w:tbl>
    <w:tbl>
      <w:tblPr>
        <w:tblW w:w="8260" w:type="dxa"/>
        <w:jc w:val="left"/>
        <w:tblInd w:w="720" w:type="dxa"/>
        <w:tblCellMar>
          <w:top w:w="0" w:type="dxa"/>
          <w:left w:w="0" w:type="dxa"/>
          <w:bottom w:w="0" w:type="dxa"/>
          <w:right w:w="0" w:type="dxa"/>
        </w:tblCellMar>
      </w:tblPr>
      <w:tblGrid>
        <w:gridCol w:w="110"/>
        <w:gridCol w:w="81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1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regarding filling vacancies on our board of directors and newly created directorships; </w:t>
            </w:r>
          </w:p>
        </w:tc>
      </w:tr>
    </w:tbl>
    <w:tbl>
      <w:tblPr>
        <w:tblW w:w="7780" w:type="dxa"/>
        <w:jc w:val="left"/>
        <w:tblInd w:w="720" w:type="dxa"/>
        <w:tblCellMar>
          <w:top w:w="0" w:type="dxa"/>
          <w:left w:w="0" w:type="dxa"/>
          <w:bottom w:w="0" w:type="dxa"/>
          <w:right w:w="0" w:type="dxa"/>
        </w:tblCellMar>
      </w:tblPr>
      <w:tblGrid>
        <w:gridCol w:w="110"/>
        <w:gridCol w:w="76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6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eliminating monetary damages for breaches of fiduciary duty by a director; and </w:t>
            </w:r>
          </w:p>
        </w:tc>
      </w:tr>
    </w:tbl>
    <w:tbl>
      <w:tblPr>
        <w:tblW w:w="9400" w:type="dxa"/>
        <w:jc w:val="left"/>
        <w:tblInd w:w="720" w:type="dxa"/>
        <w:tblCellMar>
          <w:top w:w="0" w:type="dxa"/>
          <w:left w:w="0" w:type="dxa"/>
          <w:bottom w:w="0" w:type="dxa"/>
          <w:right w:w="0" w:type="dxa"/>
        </w:tblCellMar>
      </w:tblPr>
      <w:tblGrid>
        <w:gridCol w:w="110"/>
        <w:gridCol w:w="92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90"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amendment provision requiring that the above provisions be amended only with a 662⁄3% supermajority vote.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 </w:t>
      </w:r>
    </w:p>
    <w:p>
      <w:pPr>
        <w:pStyle w:val="TextBody"/>
        <w:spacing w:before="41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Rights of Appraisal and Payment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 </w:t>
      </w:r>
    </w:p>
    <w:p>
      <w:pPr>
        <w:pStyle w:val="TextBody"/>
        <w:spacing w:before="41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Derivative Actions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2" w:name="DSPFPageBreakArea37"/>
      <w:bookmarkStart w:id="203" w:name="DSPFPageBreakArea37"/>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4" w:name="DSPFPageBreak37"/>
      <w:bookmarkStart w:id="205" w:name="DSPFPageBreak3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6" w:name="ny20000592x1_drs_107-description_pg6"/>
        <w:bookmarkEnd w:id="20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Exclusive Forum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 </w:t>
      </w:r>
    </w:p>
    <w:p>
      <w:pPr>
        <w:pStyle w:val="TextBody"/>
        <w:spacing w:before="36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Conflicts of Interest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w:t>
      </w:r>
    </w:p>
    <w:p>
      <w:pPr>
        <w:pStyle w:val="TextBody"/>
        <w:spacing w:before="36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7" w:name="DSPFPageBreakArea38"/>
      <w:bookmarkStart w:id="208" w:name="DSPFPageBreakArea3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9" w:name="DSPFPageBreak38"/>
      <w:bookmarkStart w:id="210" w:name="DSPFPageBreak3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1" w:name="ny20000592x1_drs_107-description_pg7"/>
        <w:bookmarkEnd w:id="211"/>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currently no pending material litigation or proceeding involving any of our directors, officers or employees for which indemnification is sought. </w:t>
      </w:r>
    </w:p>
    <w:p>
      <w:pPr>
        <w:pStyle w:val="TextBody"/>
        <w:spacing w:before="41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spacing w:before="15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common stock is Broadridge Corporate Issuer Solutions, Inc. </w:t>
      </w:r>
    </w:p>
    <w:p>
      <w:pPr>
        <w:pStyle w:val="TextBody"/>
        <w:spacing w:before="41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spacing w:before="15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“ASO.”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2" w:name="DSPFPageBreakArea39"/>
      <w:bookmarkStart w:id="213" w:name="DSPFPageBreakArea39"/>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4" w:name="DSPFPageBreak39"/>
      <w:bookmarkStart w:id="215" w:name="DSPFPageBreak39"/>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6" w:name="ny20000592x1_drs_107-description_pg8"/>
        <w:bookmarkEnd w:id="216"/>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217" w:name="tSEF"/>
      <w:bookmarkEnd w:id="217"/>
      <w:r>
        <w:rPr>
          <w:rFonts w:ascii="Times New Roman;Times;serif" w:hAnsi="Times New Roman;Times;serif"/>
          <w:b/>
          <w:color w:val="000000"/>
          <w:sz w:val="20"/>
        </w:rPr>
        <w:t xml:space="preserve">SHARES ELIGIBLE FOR FUTURE SALE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Of the outstanding shares, approximately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remaining outstanding     shares of common stock held by our existing stockholders after this offering, representing approximately   %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 </w:t>
      </w:r>
    </w:p>
    <w:p>
      <w:pPr>
        <w:pStyle w:val="TextBody"/>
        <w:spacing w:before="30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144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 </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of the number of shares of our common stock then outstanding, which will equal approximately    shares immediately after this offering; or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average reported weekly trading volume of our common stock on Nasdaq during the four calendar weeks preceding the filing of a notice on Form 144 with respect to such sale.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unable to estimate the number of shares that will be sold under Rule 144 since this will depend on the market price for our common stock, the personal circumstances of the stockholder and other factors. </w:t>
      </w:r>
    </w:p>
    <w:p>
      <w:pPr>
        <w:pStyle w:val="TextBody"/>
        <w:spacing w:before="30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701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8" w:name="DSPFPageBreakArea40"/>
      <w:bookmarkStart w:id="219" w:name="DSPFPageBreakArea40"/>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0" w:name="DSPFPageBreak40"/>
      <w:bookmarkStart w:id="221" w:name="DSPFPageBreak40"/>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2" w:name="ny20000592x1_drs_107-description_pg9"/>
        <w:bookmarkEnd w:id="222"/>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requirements of Rule 144 and, in the case of non-affiliates, without having to comply with the public information, holding period, volume limitation or notice filing requirements of Rule 144. </w:t>
      </w:r>
    </w:p>
    <w:p>
      <w:pPr>
        <w:pStyle w:val="TextBody"/>
        <w:spacing w:before="41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Statements on Form S-8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3" w:name="DSPFPageBreakArea41"/>
      <w:bookmarkStart w:id="224" w:name="DSPFPageBreakArea41"/>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5" w:name="DSPFPageBreak41"/>
      <w:bookmarkStart w:id="226" w:name="DSPFPageBreak41"/>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7" w:name="ny20000592x1_drs_108-tax_pg1"/>
        <w:bookmarkEnd w:id="227"/>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228" w:name="tMUF"/>
      <w:bookmarkEnd w:id="228"/>
      <w:r>
        <w:rPr>
          <w:rFonts w:ascii="Times New Roman;Times;serif" w:hAnsi="Times New Roman;Times;serif"/>
          <w:b/>
          <w:color w:val="000000"/>
          <w:sz w:val="20"/>
        </w:rPr>
        <w:t>MATERIAL U.S. FEDERAL INCOME AND ESTATE</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TAX CONSEQUENCES TO NON-U.S. HOLDERS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means a beneficial owner of our common stock (other than an entity treated as a partnership for U.S. federal income tax purposes) that is not, for U.S. federal income tax purposes, any of the following: </w:t>
      </w:r>
    </w:p>
    <w:tbl>
      <w:tblPr>
        <w:tblW w:w="4465" w:type="dxa"/>
        <w:jc w:val="left"/>
        <w:tblInd w:w="720" w:type="dxa"/>
        <w:tblCellMar>
          <w:top w:w="0" w:type="dxa"/>
          <w:left w:w="0" w:type="dxa"/>
          <w:bottom w:w="0" w:type="dxa"/>
          <w:right w:w="0" w:type="dxa"/>
        </w:tblCellMar>
      </w:tblPr>
      <w:tblGrid>
        <w:gridCol w:w="110"/>
        <w:gridCol w:w="43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3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any other entity treated as a corporation for U.S. federal income tax purposes) created or organized in or under the laws of the United States, any state thereof or the District of Columbia; </w:t>
            </w:r>
          </w:p>
        </w:tc>
      </w:tr>
    </w:tbl>
    <w:tbl>
      <w:tblPr>
        <w:tblW w:w="8080" w:type="dxa"/>
        <w:jc w:val="left"/>
        <w:tblInd w:w="720" w:type="dxa"/>
        <w:tblCellMar>
          <w:top w:w="0" w:type="dxa"/>
          <w:left w:w="0" w:type="dxa"/>
          <w:bottom w:w="0" w:type="dxa"/>
          <w:right w:w="0" w:type="dxa"/>
        </w:tblCellMar>
      </w:tblPr>
      <w:tblGrid>
        <w:gridCol w:w="110"/>
        <w:gridCol w:w="79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 </w:t>
      </w:r>
    </w:p>
    <w:p>
      <w:pPr>
        <w:pStyle w:val="TextBody"/>
        <w:spacing w:before="120" w:after="283"/>
        <w:ind w:left="72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 </w:t>
      </w:r>
    </w:p>
    <w:p>
      <w:pPr>
        <w:pStyle w:val="TextBody"/>
        <w:spacing w:before="40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Distributions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9" w:name="DSPFPageBreakArea42"/>
      <w:bookmarkStart w:id="230" w:name="DSPFPageBreakArea42"/>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1" w:name="DSPFPageBreak42"/>
      <w:bookmarkStart w:id="232" w:name="DSPFPageBreak42"/>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3" w:name="ny20000592x1_drs_108-tax_pg2"/>
        <w:bookmarkEnd w:id="23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 </w:t>
      </w:r>
    </w:p>
    <w:p>
      <w:pPr>
        <w:pStyle w:val="TextBody"/>
        <w:spacing w:before="29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Common Stock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of backup withholding below, any gain realized by a non-U.S. holder on the sale or other taxable disposition of our common stock generally will not be subject to U.S. federal income tax unless: </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a trade or business of the non-U.S. holder in the United States (and, if required by an applicable income tax treaty, is attributable to a U.S. permanent establishment of the non-U.S. holder);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non-U.S. holder is an individual who is present in the United States for 183 days or more in the taxable year of the disposition, and certain other conditions are met; or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are or have been a “U.S. real property holding corporation” for U.S. federal income tax purposes and certain other conditions are met.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we are not and do not anticipate becoming a “U.S. real property holding corporation” for U.S. federal income tax purposes. </w:t>
      </w:r>
    </w:p>
    <w:p>
      <w:pPr>
        <w:pStyle w:val="TextBody"/>
        <w:spacing w:before="29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Federal Estate Tax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Common stock held by an individual non-U.S. holder at the time of death will be included in such holder’s gross estate for U.S. federal estate tax purposes, unless an applicable estate tax treaty provides otherwise. </w:t>
      </w:r>
    </w:p>
    <w:p>
      <w:pPr>
        <w:pStyle w:val="TextBody"/>
        <w:spacing w:before="30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Reporting and Backup Withholding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must report annually to the Internal Revenue Service and to each non-U.S. holder the amount of distributions paid to such holder and the tax withheld with respect to such distributions, regardless of whether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4" w:name="DSPFPageBreakArea43"/>
      <w:bookmarkStart w:id="235" w:name="DSPFPageBreakArea43"/>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6" w:name="DSPFPageBreak43"/>
      <w:bookmarkStart w:id="237" w:name="DSPFPageBreak43"/>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8" w:name="ny20000592x1_drs_108-tax_pg3"/>
        <w:bookmarkEnd w:id="23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withholding was required. Copies of the information returns reporting such distributions and any withholding may also be made available to the tax authorities in the country in which the non-U.S. holder resides under the provisions of an applicable income tax treaty.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 </w:t>
      </w:r>
    </w:p>
    <w:p>
      <w:pPr>
        <w:pStyle w:val="TextBody"/>
        <w:spacing w:before="410" w:after="283"/>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Withholding Requirements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9" w:name="DSPFPageBreakArea44"/>
      <w:bookmarkStart w:id="240" w:name="DSPFPageBreakArea44"/>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1" w:name="DSPFPageBreak44"/>
      <w:bookmarkStart w:id="242" w:name="DSPFPageBreak44"/>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3" w:name="ny20000592x1_drs_109-under_pg1"/>
        <w:bookmarkEnd w:id="24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244" w:name="tUCOI"/>
      <w:bookmarkEnd w:id="244"/>
      <w:r>
        <w:rPr>
          <w:rFonts w:ascii="Times New Roman;Times;serif" w:hAnsi="Times New Roman;Times;serif"/>
          <w:b/>
          <w:color w:val="000000"/>
          <w:sz w:val="20"/>
        </w:rPr>
        <w:t xml:space="preserve">UNDERWRITING (CONFLICTS OF INTEREST)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and subject to the conditions contained in an underwriting agreement, dated   , 2021, the selling stockholders have agreed to sell to the underwriters named below, for whom     and     are acting as representatives, the following respective numbers of shares of common stock: </w:t>
      </w:r>
    </w:p>
    <w:tbl>
      <w:tblPr>
        <w:tblW w:w="3176" w:type="dxa"/>
        <w:jc w:val="left"/>
        <w:tblInd w:w="720" w:type="dxa"/>
        <w:tblCellMar>
          <w:top w:w="0" w:type="dxa"/>
          <w:left w:w="0" w:type="dxa"/>
          <w:bottom w:w="85" w:type="dxa"/>
          <w:right w:w="0" w:type="dxa"/>
        </w:tblCellMar>
      </w:tblPr>
      <w:tblGrid>
        <w:gridCol w:w="935"/>
        <w:gridCol w:w="23"/>
        <w:gridCol w:w="23"/>
        <w:gridCol w:w="2195"/>
      </w:tblGrid>
      <w:tr>
        <w:trPr/>
        <w:tc>
          <w:tcPr>
            <w:tcW w:w="9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Underwriter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r>
      <w:tr>
        <w:trPr/>
        <w:tc>
          <w:tcPr>
            <w:tcW w:w="93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19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93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9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93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19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93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9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9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195" w:type="dxa"/>
            <w:tcBorders/>
            <w:shd w:fill="CCEEFF" w:val="clear"/>
            <w:tcMar>
              <w:bottom w:w="0" w:type="dxa"/>
            </w:tcM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underwriting agreement provides that the underwriters are obligated to purchase all the shares of common stock in the offering if any are purchased. The underwriting agreement also provides that if an underwriter defaults the purchase commitments of non-defaulting underwriters may be increased or the offering may be terminated.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underwriters propose to offer the shares of common stock initially at the public offering price on the cover page of this prospectus and to selling group members at that price less a selling concession of up to $     per share. After the public offering, the representatives may change the public offering price and concession.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public offering price, underwriting discounts and commissions and proceeds to the selling stockholders. </w:t>
      </w:r>
    </w:p>
    <w:tbl>
      <w:tblPr>
        <w:tblW w:w="4058" w:type="dxa"/>
        <w:jc w:val="left"/>
        <w:tblInd w:w="720" w:type="dxa"/>
        <w:tblCellMar>
          <w:top w:w="0" w:type="dxa"/>
          <w:left w:w="0" w:type="dxa"/>
          <w:bottom w:w="0" w:type="dxa"/>
          <w:right w:w="0" w:type="dxa"/>
        </w:tblCellMar>
      </w:tblPr>
      <w:tblGrid>
        <w:gridCol w:w="785"/>
        <w:gridCol w:w="23"/>
        <w:gridCol w:w="23"/>
        <w:gridCol w:w="1130"/>
        <w:gridCol w:w="23"/>
        <w:gridCol w:w="23"/>
        <w:gridCol w:w="1070"/>
        <w:gridCol w:w="23"/>
        <w:gridCol w:w="23"/>
        <w:gridCol w:w="935"/>
      </w:tblGrid>
      <w:tr>
        <w:trPr/>
        <w:tc>
          <w:tcPr>
            <w:tcW w:w="7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13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to Public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0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Underwriting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Discounts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Commissions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3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Proceeds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the selling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tc>
      </w:tr>
      <w:tr>
        <w:trPr/>
        <w:tc>
          <w:tcPr>
            <w:tcW w:w="7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070" w:type="dxa"/>
            <w:tcBorders/>
            <w:shd w:fill="CCEEFF"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7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30" w:type="dxa"/>
            <w:tcBorders/>
            <w:shd w:fill="auto" w:val="clear"/>
            <w:vAlign w:val="center"/>
          </w:tcPr>
          <w:p>
            <w:pPr>
              <w:pStyle w:val="TableContents"/>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70" w:type="dxa"/>
            <w:tcBorders/>
            <w:shd w:fill="auto" w:val="clear"/>
            <w:vAlign w:val="center"/>
          </w:tcPr>
          <w:p>
            <w:pPr>
              <w:pStyle w:val="TableContents"/>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expenses of the offering, not including the underwriting discounts and commissions for which the selling stockholders are responsible, are estimated at $   million and are payable by us. We have also agreed to reimburse the underwriters for up to      of expenses related to the review of this offering by FINRA. In accordance with FINRA Rule 5110, this reimbursed fee is deemed underwriting compensation for this offering. </w:t>
      </w:r>
    </w:p>
    <w:p>
      <w:pPr>
        <w:pStyle w:val="TextBody"/>
        <w:spacing w:before="17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“ASO.”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offering the underwriters may engage in stabilizing transactions, over-allotment transactions, syndicate covering transactions and penalty bids in accordance with Regulation M under the Exchange Act. </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Stabilizing transactions permit bids to purchase the underlying security so long as the stabilizing bids do not exceed a specified maximum.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Over-allotment involves sales by the underwriters of shares in excess of the number of shares the underwriters are obligated to purchase, which creates a syndicate short position. The underwriters would close out any short position by purchasing shares in the open market.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Syndicate covering transactions involve purchases of the common stock in the open market after the distribution has been completed in order to cover syndicate short positions. </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Penalty bids permit the representatives to reclaim a selling concession from a syndicate member when the common stock originally sold by the syndicate member is purchased in a stabilizing transaction or a syndicate covering transaction to cover syndicate short positions.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5" w:name="DSPFPageBreakArea45"/>
      <w:bookmarkStart w:id="246" w:name="DSPFPageBreakArea45"/>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7" w:name="DSPFPageBreak45"/>
      <w:bookmarkStart w:id="248" w:name="DSPFPageBreak45"/>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9" w:name="ny20000592x1_drs_109-under_pg2"/>
        <w:bookmarkEnd w:id="24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passive market making, market makers in the common stock who are underwriters or prospective underwriters may, subject to limitations, make bids for or purchases of our common stock until the time, if any, at which a stabilizing bid is made.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Conflicts of Interest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KKR Stockholders beneficially own in excess of 10% of our issued and outstanding common stock and will be selling stockholders in this offering and, as such, will receive in excess of 5% of the net proceeds of this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 </w:t>
      </w:r>
    </w:p>
    <w:p>
      <w:pPr>
        <w:pStyle w:val="TextBody"/>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Selling Restrictions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the European Economic Area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 </w:t>
      </w:r>
    </w:p>
    <w:tbl>
      <w:tblPr>
        <w:tblW w:w="7735" w:type="dxa"/>
        <w:jc w:val="left"/>
        <w:tblInd w:w="720" w:type="dxa"/>
        <w:tblCellMar>
          <w:top w:w="0" w:type="dxa"/>
          <w:left w:w="0" w:type="dxa"/>
          <w:bottom w:w="0" w:type="dxa"/>
          <w:right w:w="0" w:type="dxa"/>
        </w:tblCellMar>
      </w:tblPr>
      <w:tblGrid>
        <w:gridCol w:w="230"/>
        <w:gridCol w:w="750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5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legal entity which is a qualified investor as defined under the Prospectus Regulation; </w:t>
            </w:r>
          </w:p>
        </w:tc>
      </w:tr>
    </w:tbl>
    <w:tbl>
      <w:tblPr>
        <w:tblW w:w="9485" w:type="dxa"/>
        <w:jc w:val="left"/>
        <w:tblInd w:w="720" w:type="dxa"/>
        <w:tblCellMar>
          <w:top w:w="0" w:type="dxa"/>
          <w:left w:w="0" w:type="dxa"/>
          <w:bottom w:w="0" w:type="dxa"/>
          <w:right w:w="0" w:type="dxa"/>
        </w:tblCellMar>
      </w:tblPr>
      <w:tblGrid>
        <w:gridCol w:w="217"/>
        <w:gridCol w:w="9268"/>
      </w:tblGrid>
      <w:tr>
        <w:trPr/>
        <w:tc>
          <w:tcPr>
            <w:tcW w:w="21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26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0" w:name="DSPFPageBreakArea46"/>
      <w:bookmarkStart w:id="251" w:name="DSPFPageBreakArea46"/>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2" w:name="DSPFPageBreak46"/>
      <w:bookmarkStart w:id="253" w:name="DSPFPageBreak46"/>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4" w:name="ny20000592x1_drs_109-under_pg3"/>
        <w:bookmarkEnd w:id="25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7015" w:type="dxa"/>
        <w:jc w:val="left"/>
        <w:tblInd w:w="720" w:type="dxa"/>
        <w:tblCellMar>
          <w:top w:w="0" w:type="dxa"/>
          <w:left w:w="0" w:type="dxa"/>
          <w:bottom w:w="0" w:type="dxa"/>
          <w:right w:w="0" w:type="dxa"/>
        </w:tblCellMar>
      </w:tblPr>
      <w:tblGrid>
        <w:gridCol w:w="230"/>
        <w:gridCol w:w="678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6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any other circumstances falling within Article 1(4) of the Prospectus Regulation, </w:t>
            </w:r>
          </w:p>
        </w:tc>
      </w:tr>
    </w:tbl>
    <w:p>
      <w:pPr>
        <w:pStyle w:val="TextBody"/>
        <w:spacing w:before="12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that no such offer of securities shall require the Issuer or any Manager to publish a prospectus pursuant to Article 3 of the Prospectus Regulation or supplement a prospectus pursuant to Article 23 of the Prospectus Regulation.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the United Kingdom </w:t>
      </w:r>
    </w:p>
    <w:p>
      <w:pPr>
        <w:pStyle w:val="TextBody"/>
        <w:spacing w:before="14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underwriters severally represents, warrants and agrees as follows: </w:t>
      </w:r>
    </w:p>
    <w:tbl>
      <w:tblPr>
        <w:tblW w:w="9485" w:type="dxa"/>
        <w:jc w:val="left"/>
        <w:tblInd w:w="720" w:type="dxa"/>
        <w:tblCellMar>
          <w:top w:w="0" w:type="dxa"/>
          <w:left w:w="0" w:type="dxa"/>
          <w:bottom w:w="0" w:type="dxa"/>
          <w:right w:w="0" w:type="dxa"/>
        </w:tblCellMar>
      </w:tblPr>
      <w:tblGrid>
        <w:gridCol w:w="185"/>
        <w:gridCol w:w="930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3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 </w:t>
            </w:r>
          </w:p>
        </w:tc>
      </w:tr>
    </w:tbl>
    <w:tbl>
      <w:tblPr>
        <w:tblW w:w="9485" w:type="dxa"/>
        <w:jc w:val="left"/>
        <w:tblInd w:w="720" w:type="dxa"/>
        <w:tblCellMar>
          <w:top w:w="0" w:type="dxa"/>
          <w:left w:w="0" w:type="dxa"/>
          <w:bottom w:w="0" w:type="dxa"/>
          <w:right w:w="0" w:type="dxa"/>
        </w:tblCellMar>
      </w:tblPr>
      <w:tblGrid>
        <w:gridCol w:w="218"/>
        <w:gridCol w:w="9267"/>
      </w:tblGrid>
      <w:tr>
        <w:trPr/>
        <w:tc>
          <w:tcPr>
            <w:tcW w:w="2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2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has complied with, and will comply with all applicable provisions of the FSMA with respect to anything done by it in relation to the securities in, from or otherwise involving the United Kingdom. </w:t>
            </w:r>
          </w:p>
        </w:tc>
      </w:tr>
    </w:tbl>
    <w:p>
      <w:pPr>
        <w:pStyle w:val="TextBody"/>
        <w:spacing w:before="350"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Canada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Japan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Switzerland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5" w:name="DSPFPageBreakArea47"/>
      <w:bookmarkStart w:id="256" w:name="DSPFPageBreakArea47"/>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7" w:name="DSPFPageBreak47"/>
      <w:bookmarkStart w:id="258" w:name="DSPFPageBreak47"/>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9" w:name="ny20000592x1_drs_109-under_pg4"/>
        <w:bookmarkEnd w:id="25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 </w:t>
      </w:r>
    </w:p>
    <w:p>
      <w:pPr>
        <w:pStyle w:val="TextBody"/>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Hong Kong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 </w:t>
      </w:r>
    </w:p>
    <w:p>
      <w:pPr>
        <w:pStyle w:val="TextBody"/>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Singapore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 </w:t>
      </w:r>
    </w:p>
    <w:tbl>
      <w:tblPr>
        <w:tblW w:w="9485" w:type="dxa"/>
        <w:jc w:val="left"/>
        <w:tblInd w:w="720" w:type="dxa"/>
        <w:tblCellMar>
          <w:top w:w="0" w:type="dxa"/>
          <w:left w:w="0" w:type="dxa"/>
          <w:bottom w:w="0" w:type="dxa"/>
          <w:right w:w="0" w:type="dxa"/>
        </w:tblCellMar>
      </w:tblPr>
      <w:tblGrid>
        <w:gridCol w:w="199"/>
        <w:gridCol w:w="928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28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 institutional investor under Section 274 of the Securities and Futures Act, Chapter 289 of Singapore, or SFA, </w:t>
            </w:r>
          </w:p>
        </w:tc>
      </w:tr>
    </w:tbl>
    <w:tbl>
      <w:tblPr>
        <w:tblW w:w="9485" w:type="dxa"/>
        <w:jc w:val="left"/>
        <w:tblInd w:w="720" w:type="dxa"/>
        <w:tblCellMar>
          <w:top w:w="0" w:type="dxa"/>
          <w:left w:w="0" w:type="dxa"/>
          <w:bottom w:w="0" w:type="dxa"/>
          <w:right w:w="0" w:type="dxa"/>
        </w:tblCellMar>
      </w:tblPr>
      <w:tblGrid>
        <w:gridCol w:w="238"/>
        <w:gridCol w:w="9247"/>
      </w:tblGrid>
      <w:tr>
        <w:trPr/>
        <w:tc>
          <w:tcPr>
            <w:tcW w:w="23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24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 relevant person pursuant to Section 275(1), or any person pursuant to Section 275(1A), and in accordance with the conditions specified in Section 275, of the SFA, or </w:t>
            </w:r>
          </w:p>
        </w:tc>
      </w:tr>
    </w:tbl>
    <w:tbl>
      <w:tblPr>
        <w:tblW w:w="9040" w:type="dxa"/>
        <w:jc w:val="left"/>
        <w:tblInd w:w="720" w:type="dxa"/>
        <w:tblCellMar>
          <w:top w:w="0" w:type="dxa"/>
          <w:left w:w="0" w:type="dxa"/>
          <w:bottom w:w="0" w:type="dxa"/>
          <w:right w:w="0" w:type="dxa"/>
        </w:tblCellMar>
      </w:tblPr>
      <w:tblGrid>
        <w:gridCol w:w="320"/>
        <w:gridCol w:w="872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87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otherwise pursuant to, and in accordance with the conditions of, any other applicable provision of the SFA.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Where the securities are subscribed or purchased under Section 275 of the SFA by a relevant person which is: </w:t>
      </w:r>
    </w:p>
    <w:tbl>
      <w:tblPr>
        <w:tblW w:w="9485" w:type="dxa"/>
        <w:jc w:val="left"/>
        <w:tblInd w:w="720" w:type="dxa"/>
        <w:tblCellMar>
          <w:top w:w="0" w:type="dxa"/>
          <w:left w:w="0" w:type="dxa"/>
          <w:bottom w:w="0" w:type="dxa"/>
          <w:right w:w="0" w:type="dxa"/>
        </w:tblCellMar>
      </w:tblPr>
      <w:tblGrid>
        <w:gridCol w:w="195"/>
        <w:gridCol w:w="929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tbl>
      <w:tblPr>
        <w:tblW w:w="9485" w:type="dxa"/>
        <w:jc w:val="left"/>
        <w:tblInd w:w="720" w:type="dxa"/>
        <w:tblCellMar>
          <w:top w:w="0" w:type="dxa"/>
          <w:left w:w="0" w:type="dxa"/>
          <w:bottom w:w="0" w:type="dxa"/>
          <w:right w:w="0" w:type="dxa"/>
        </w:tblCellMar>
      </w:tblPr>
      <w:tblGrid>
        <w:gridCol w:w="222"/>
        <w:gridCol w:w="926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26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(where the trustee is not an accredited investor) whose sole purpose is to hold investments and each beneficiary of the trust is an individual who is an accredited investor, </w:t>
            </w:r>
          </w:p>
        </w:tc>
      </w:tr>
    </w:tbl>
    <w:p>
      <w:pPr>
        <w:pStyle w:val="TextBody"/>
        <w:spacing w:before="120"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tbl>
      <w:tblPr>
        <w:tblW w:w="9485" w:type="dxa"/>
        <w:jc w:val="left"/>
        <w:tblInd w:w="720" w:type="dxa"/>
        <w:tblCellMar>
          <w:top w:w="0" w:type="dxa"/>
          <w:left w:w="0" w:type="dxa"/>
          <w:bottom w:w="0" w:type="dxa"/>
          <w:right w:w="0" w:type="dxa"/>
        </w:tblCellMar>
      </w:tblPr>
      <w:tblGrid>
        <w:gridCol w:w="204"/>
        <w:gridCol w:w="928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8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 institutional investor or to a relevant person defined in Section 275(2) of the SFA, or to any person arising from an offer referred to in Section 275(1A) or Section 276(4)(i)(B) of the SFA; </w:t>
            </w:r>
          </w:p>
        </w:tc>
      </w:tr>
    </w:tbl>
    <w:tbl>
      <w:tblPr>
        <w:tblW w:w="4975" w:type="dxa"/>
        <w:jc w:val="left"/>
        <w:tblInd w:w="720" w:type="dxa"/>
        <w:tblCellMar>
          <w:top w:w="0" w:type="dxa"/>
          <w:left w:w="0" w:type="dxa"/>
          <w:bottom w:w="0" w:type="dxa"/>
          <w:right w:w="0" w:type="dxa"/>
        </w:tblCellMar>
      </w:tblPr>
      <w:tblGrid>
        <w:gridCol w:w="245"/>
        <w:gridCol w:w="473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where no consideration is or will be given for the transfer; </w:t>
            </w:r>
          </w:p>
        </w:tc>
      </w:tr>
    </w:tbl>
    <w:tbl>
      <w:tblPr>
        <w:tblW w:w="3580" w:type="dxa"/>
        <w:jc w:val="left"/>
        <w:tblInd w:w="720" w:type="dxa"/>
        <w:tblCellMar>
          <w:top w:w="0" w:type="dxa"/>
          <w:left w:w="0" w:type="dxa"/>
          <w:bottom w:w="0" w:type="dxa"/>
          <w:right w:w="0" w:type="dxa"/>
        </w:tblCellMar>
      </w:tblPr>
      <w:tblGrid>
        <w:gridCol w:w="230"/>
        <w:gridCol w:w="335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3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where the transfer is by operation of law;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0" w:name="DSPFPageBreakArea48"/>
      <w:bookmarkStart w:id="261" w:name="DSPFPageBreakArea48"/>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2" w:name="DSPFPageBreak48"/>
      <w:bookmarkStart w:id="263" w:name="DSPFPageBreak48"/>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4" w:name="ny20000592x1_drs_109-under_pg5"/>
        <w:bookmarkEnd w:id="264"/>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3880" w:type="dxa"/>
        <w:jc w:val="left"/>
        <w:tblInd w:w="720" w:type="dxa"/>
        <w:tblCellMar>
          <w:top w:w="0" w:type="dxa"/>
          <w:left w:w="0" w:type="dxa"/>
          <w:bottom w:w="0" w:type="dxa"/>
          <w:right w:w="0" w:type="dxa"/>
        </w:tblCellMar>
      </w:tblPr>
      <w:tblGrid>
        <w:gridCol w:w="245"/>
        <w:gridCol w:w="363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36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specified in Section 276(7) of the SFA; or </w:t>
            </w:r>
          </w:p>
        </w:tc>
      </w:tr>
    </w:tbl>
    <w:tbl>
      <w:tblPr>
        <w:tblW w:w="9485" w:type="dxa"/>
        <w:jc w:val="left"/>
        <w:tblInd w:w="720" w:type="dxa"/>
        <w:tblCellMar>
          <w:top w:w="0" w:type="dxa"/>
          <w:left w:w="0" w:type="dxa"/>
          <w:bottom w:w="0" w:type="dxa"/>
          <w:right w:w="0" w:type="dxa"/>
        </w:tblCellMar>
      </w:tblPr>
      <w:tblGrid>
        <w:gridCol w:w="218"/>
        <w:gridCol w:w="9267"/>
      </w:tblGrid>
      <w:tr>
        <w:trPr/>
        <w:tc>
          <w:tcPr>
            <w:tcW w:w="2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2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specified in Regulation 32 of the Securities and Futures (Offers of Investments) (Shares and Debentures) Regulations 2005 of Singapore. </w:t>
            </w:r>
          </w:p>
        </w:tc>
      </w:tr>
    </w:tbl>
    <w:p>
      <w:pPr>
        <w:pStyle w:val="TextBody"/>
        <w:spacing w:before="410"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Notice to Prospective Investors in Australia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5" w:name="DSPFPageBreakArea49"/>
      <w:bookmarkStart w:id="266" w:name="DSPFPageBreakArea49"/>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7" w:name="DSPFPageBreak49"/>
      <w:bookmarkStart w:id="268" w:name="DSPFPageBreak49"/>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9" w:name="ny20000592x1_drs_109-under_pg6"/>
        <w:bookmarkEnd w:id="269"/>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bookmarkStart w:id="270" w:name="tLM"/>
      <w:bookmarkEnd w:id="270"/>
      <w:r>
        <w:rPr>
          <w:rFonts w:ascii="Times New Roman;Times;serif" w:hAnsi="Times New Roman;Times;serif"/>
          <w:b/>
          <w:color w:val="000000"/>
          <w:sz w:val="20"/>
        </w:rPr>
        <w:t xml:space="preserve">LEGAL MATTERS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 </w:t>
      </w:r>
    </w:p>
    <w:p>
      <w:pPr>
        <w:pStyle w:val="TextBody"/>
        <w:spacing w:before="410" w:after="283"/>
        <w:jc w:val="center"/>
        <w:rPr>
          <w:rFonts w:ascii="Times New Roman;Times;serif" w:hAnsi="Times New Roman;Times;serif"/>
          <w:b/>
          <w:color w:val="000000"/>
          <w:sz w:val="20"/>
        </w:rPr>
      </w:pPr>
      <w:bookmarkStart w:id="271" w:name="tEXP"/>
      <w:bookmarkEnd w:id="271"/>
      <w:r>
        <w:rPr>
          <w:rFonts w:ascii="Times New Roman;Times;serif" w:hAnsi="Times New Roman;Times;serif"/>
          <w:b/>
          <w:color w:val="000000"/>
          <w:sz w:val="20"/>
        </w:rPr>
        <w:t xml:space="preserve">EXPERTS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Academy Sports and Outdoors, Inc. and subsidiaries incorporated in this prospectus by reference from the Company’s Annual Report on Form 10-K for the fiscal year ended January 30, 2021,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 </w:t>
      </w:r>
    </w:p>
    <w:p>
      <w:pPr>
        <w:pStyle w:val="TextBody"/>
        <w:spacing w:before="410" w:after="283"/>
        <w:jc w:val="center"/>
        <w:rPr>
          <w:rFonts w:ascii="Times New Roman;Times;serif" w:hAnsi="Times New Roman;Times;serif"/>
          <w:b/>
          <w:color w:val="000000"/>
          <w:sz w:val="20"/>
        </w:rPr>
      </w:pPr>
      <w:bookmarkStart w:id="272" w:name="tWYC"/>
      <w:bookmarkEnd w:id="272"/>
      <w:r>
        <w:rPr>
          <w:rFonts w:ascii="Times New Roman;Times;serif" w:hAnsi="Times New Roman;Times;serif"/>
          <w:b/>
          <w:color w:val="000000"/>
          <w:sz w:val="20"/>
        </w:rPr>
        <w:t xml:space="preserve">WHERE YOU CAN FIND MORE INFORMATION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 </w:t>
      </w:r>
    </w:p>
    <w:p>
      <w:pPr>
        <w:pStyle w:val="TextBody"/>
        <w:spacing w:before="400" w:after="283"/>
        <w:jc w:val="center"/>
        <w:rPr>
          <w:rFonts w:ascii="Times New Roman;Times;serif" w:hAnsi="Times New Roman;Times;serif"/>
          <w:b/>
          <w:color w:val="000000"/>
          <w:sz w:val="20"/>
        </w:rPr>
      </w:pPr>
      <w:bookmarkStart w:id="273" w:name="tIR"/>
      <w:bookmarkEnd w:id="273"/>
      <w:r>
        <w:rPr>
          <w:rFonts w:ascii="Times New Roman;Times;serif" w:hAnsi="Times New Roman;Times;serif"/>
          <w:b/>
          <w:color w:val="000000"/>
          <w:sz w:val="20"/>
        </w:rPr>
        <w:t>INCORPORATION BY REFERENCE</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January 30, 2021, filed on April 7, 2021 (including information specifically incorporated by reference into such Annual Report on Form 10-K from our Proxy Statement for our 2021 Annual Meeting of Stockholders filed on April 23, 2021); </w:t>
            </w:r>
          </w:p>
        </w:tc>
      </w:tr>
    </w:tbl>
    <w:tbl>
      <w:tblPr>
        <w:tblW w:w="7690" w:type="dxa"/>
        <w:jc w:val="left"/>
        <w:tblInd w:w="720" w:type="dxa"/>
        <w:tblCellMar>
          <w:top w:w="0" w:type="dxa"/>
          <w:left w:w="0" w:type="dxa"/>
          <w:bottom w:w="0" w:type="dxa"/>
          <w:right w:w="0" w:type="dxa"/>
        </w:tblCellMar>
      </w:tblPr>
      <w:tblGrid>
        <w:gridCol w:w="110"/>
        <w:gridCol w:w="75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Quarterly Report on Form 10-Q for the quarter ended May 1, 2021, filed on June 8, 2021; </w:t>
            </w:r>
          </w:p>
        </w:tc>
      </w:tr>
    </w:tbl>
    <w:tbl>
      <w:tblPr>
        <w:tblW w:w="8830" w:type="dxa"/>
        <w:jc w:val="left"/>
        <w:tblInd w:w="720" w:type="dxa"/>
        <w:tblCellMar>
          <w:top w:w="0" w:type="dxa"/>
          <w:left w:w="0" w:type="dxa"/>
          <w:bottom w:w="0" w:type="dxa"/>
          <w:right w:w="0" w:type="dxa"/>
        </w:tblCellMar>
      </w:tblPr>
      <w:tblGrid>
        <w:gridCol w:w="110"/>
        <w:gridCol w:w="87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7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Quarterly Report on Form 10-Q for the quarter ended July 31, 2021, filed on September   , 2021; and</w:t>
            </w:r>
          </w:p>
        </w:tc>
      </w:tr>
    </w:tbl>
    <w:tbl>
      <w:tblPr>
        <w:tblW w:w="9485" w:type="dxa"/>
        <w:jc w:val="left"/>
        <w:tblInd w:w="720" w:type="dxa"/>
        <w:tblCellMar>
          <w:top w:w="0" w:type="dxa"/>
          <w:left w:w="0" w:type="dxa"/>
          <w:bottom w:w="0" w:type="dxa"/>
          <w:right w:w="0" w:type="dxa"/>
        </w:tblCellMar>
      </w:tblPr>
      <w:tblGrid>
        <w:gridCol w:w="110"/>
        <w:gridCol w:w="93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Current Reports on Form 8-K filed on February 1, 2021, March 4, 2021, May 10, 2021, May 25, 2021, June 7, 2021, August 5, 2021 and September   , 2021.</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4" w:name="DSPFPageBreakArea50"/>
      <w:bookmarkStart w:id="275" w:name="DSPFPageBreakArea50"/>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6" w:name="DSPFPageBreak50"/>
      <w:bookmarkStart w:id="277" w:name="DSPFPageBreak50"/>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8" w:name="ny20000592x1_drs_109-under_pg7"/>
        <w:bookmarkEnd w:id="27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Academy Sports and Outdoors, Inc., 1800 North Mason Road, Katy, Texas 77449; Attention: Corporate Secretary (telephone: 281-646-5200).</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Exhibits to any documents incorporated by reference in this prospectus will not be sent, however, unless those exhibits have been specifically referenced in this prospectus.</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9" w:name="DSPFPageBreakArea51"/>
      <w:bookmarkStart w:id="280" w:name="DSPFPageBreakArea51"/>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1" w:name="DSPFPageBreak51"/>
      <w:bookmarkStart w:id="282" w:name="DSPFPageBreak51"/>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3" w:name="ny20000592x1_drs_300-bcv_pg1"/>
        <w:bookmarkEnd w:id="28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4215" w:after="283"/>
        <w:ind w:left="840" w:right="0" w:hanging="0"/>
        <w:jc w:val="center"/>
        <w:rPr>
          <w:color w:val="000000"/>
        </w:rPr>
      </w:pPr>
      <w:r>
        <w:rPr>
          <w:color w:val="000000"/>
        </w:rPr>
        <w:drawing>
          <wp:inline distT="0" distB="0" distL="0" distR="0">
            <wp:extent cx="3686175" cy="9144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686175" cy="914400"/>
                    </a:xfrm>
                    <a:prstGeom prst="rect">
                      <a:avLst/>
                    </a:prstGeom>
                  </pic:spPr>
                </pic:pic>
              </a:graphicData>
            </a:graphic>
          </wp:inline>
        </w:drawing>
      </w:r>
    </w:p>
    <w:p>
      <w:pPr>
        <w:pStyle w:val="TextBody"/>
        <w:spacing w:before="0" w:after="283"/>
        <w:ind w:left="840" w:right="0" w:hanging="0"/>
        <w:jc w:val="left"/>
        <w:rPr>
          <w:color w:val="000000"/>
        </w:rPr>
      </w:pPr>
      <w:r>
        <w:rPr>
          <w:color w:val="000000"/>
        </w:rPr>
        <w:t> </w:t>
      </w:r>
    </w:p>
    <w:p>
      <w:pPr>
        <w:pStyle w:val="TextBody"/>
        <w:spacing w:before="4130" w:after="283"/>
        <w:ind w:left="84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4" w:name="DSPFPageBreakArea52"/>
      <w:bookmarkStart w:id="285" w:name="DSPFPageBreakArea52"/>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6" w:name="DSPFPageBreak52"/>
      <w:bookmarkStart w:id="287" w:name="DSPFPageBreak52"/>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8" w:name="ny20000592x1_drs_301-part-2_pg1"/>
        <w:bookmarkEnd w:id="28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PART II</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INFORMATION NOT REQUIRED IN PROSPECTUS</w:t>
      </w:r>
    </w:p>
    <w:tbl>
      <w:tblPr>
        <w:tblW w:w="4450" w:type="dxa"/>
        <w:jc w:val="left"/>
        <w:tblInd w:w="720" w:type="dxa"/>
        <w:tblCellMar>
          <w:top w:w="0" w:type="dxa"/>
          <w:left w:w="0" w:type="dxa"/>
          <w:bottom w:w="0" w:type="dxa"/>
          <w:right w:w="0" w:type="dxa"/>
        </w:tblCellMar>
      </w:tblPr>
      <w:tblGrid>
        <w:gridCol w:w="710"/>
        <w:gridCol w:w="3740"/>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13.</w:t>
            </w:r>
          </w:p>
        </w:tc>
        <w:tc>
          <w:tcPr>
            <w:tcW w:w="374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Expenses of Issuance and Distribution</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the expenses payable by the Registrant expected to be incurred in connection with the distribution of common stock being registered hereby (other than the underwriting discounts and commissions). All of such expenses are estimates, except for the Securities and Exchange Commission, or the SEC, registration fee and FINRA filing fee.</w:t>
      </w:r>
    </w:p>
    <w:tbl>
      <w:tblPr>
        <w:tblW w:w="4916" w:type="dxa"/>
        <w:jc w:val="left"/>
        <w:tblInd w:w="720" w:type="dxa"/>
        <w:tblCellMar>
          <w:top w:w="0" w:type="dxa"/>
          <w:left w:w="0" w:type="dxa"/>
          <w:bottom w:w="0" w:type="dxa"/>
          <w:right w:w="0" w:type="dxa"/>
        </w:tblCellMar>
      </w:tblPr>
      <w:tblGrid>
        <w:gridCol w:w="4040"/>
        <w:gridCol w:w="23"/>
        <w:gridCol w:w="23"/>
        <w:gridCol w:w="830"/>
      </w:tblGrid>
      <w:tr>
        <w:trPr/>
        <w:tc>
          <w:tcPr>
            <w:tcW w:w="404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(dollars in thousands)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0"/>
              <w:jc w:val="left"/>
              <w:rPr>
                <w:color w:val="000000"/>
              </w:rPr>
            </w:pPr>
            <w:r>
              <w:rPr>
                <w:color w:val="000000"/>
              </w:rPr>
              <w:t> </w:t>
            </w:r>
          </w:p>
        </w:tc>
      </w:tr>
      <w:tr>
        <w:trPr/>
        <w:tc>
          <w:tcPr>
            <w:tcW w:w="40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40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FINRA filing fee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fees and expenses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 Sky fees and expenses (including legal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 and registrar fees and expenses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0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w:t>
            </w:r>
            <w:r>
              <w:rPr>
                <w:rFonts w:ascii="Times New Roman;Times;serif" w:hAnsi="Times New Roman;Times;serif"/>
                <w:color w:val="000000"/>
                <w:sz w:val="20"/>
              </w:rPr>
              <w:t>*</w:t>
            </w:r>
          </w:p>
        </w:tc>
      </w:tr>
    </w:tbl>
    <w:tbl>
      <w:tblPr>
        <w:tblW w:w="2425" w:type="dxa"/>
        <w:jc w:val="left"/>
        <w:tblInd w:w="720" w:type="dxa"/>
        <w:tblCellMar>
          <w:top w:w="0" w:type="dxa"/>
          <w:left w:w="0" w:type="dxa"/>
          <w:bottom w:w="0" w:type="dxa"/>
          <w:right w:w="0" w:type="dxa"/>
        </w:tblCellMar>
      </w:tblPr>
      <w:tblGrid>
        <w:gridCol w:w="110"/>
        <w:gridCol w:w="231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3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To be completed by amendment.</w:t>
            </w:r>
          </w:p>
        </w:tc>
      </w:tr>
    </w:tbl>
    <w:tbl>
      <w:tblPr>
        <w:tblW w:w="4210" w:type="dxa"/>
        <w:jc w:val="left"/>
        <w:tblInd w:w="720" w:type="dxa"/>
        <w:tblCellMar>
          <w:top w:w="0" w:type="dxa"/>
          <w:left w:w="0" w:type="dxa"/>
          <w:bottom w:w="0" w:type="dxa"/>
          <w:right w:w="0" w:type="dxa"/>
        </w:tblCellMar>
      </w:tblPr>
      <w:tblGrid>
        <w:gridCol w:w="710"/>
        <w:gridCol w:w="3500"/>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50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further authorizes a corporation to purchase and maintain insurance on behalf of any person who is or was a director, officer, employee or agent of the corporation or is or was serving at the request of the </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9" w:name="DSPFPageBreakArea53"/>
      <w:bookmarkStart w:id="290" w:name="DSPFPageBreakArea53"/>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1" w:name="DSPFPageBreak53"/>
      <w:bookmarkStart w:id="292" w:name="DSPFPageBreak53"/>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93" w:name="ny20000592x1_drs_301-part-2_pg2"/>
        <w:bookmarkEnd w:id="29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left"/>
        <w:rPr>
          <w:rFonts w:ascii="Times New Roman;Times;serif" w:hAnsi="Times New Roman;Times;serif"/>
          <w:color w:val="000000"/>
          <w:sz w:val="20"/>
        </w:rPr>
      </w:pPr>
      <w:r>
        <w:rPr>
          <w:rFonts w:ascii="Times New Roman;Times;serif" w:hAnsi="Times New Roman;Times;serif"/>
          <w:color w:val="000000"/>
          <w:sz w:val="20"/>
        </w:rPr>
        <w:t>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underwriting agreement provides for indemnification by the underwriters of us and our officers and directors, and by us of the underwriters, for certain liabilities arising under the Securities Act or otherwise in connection with this offering.</w:t>
      </w:r>
    </w:p>
    <w:tbl>
      <w:tblPr>
        <w:tblW w:w="2860" w:type="dxa"/>
        <w:jc w:val="left"/>
        <w:tblInd w:w="720" w:type="dxa"/>
        <w:tblCellMar>
          <w:top w:w="0" w:type="dxa"/>
          <w:left w:w="0" w:type="dxa"/>
          <w:bottom w:w="0" w:type="dxa"/>
          <w:right w:w="0" w:type="dxa"/>
        </w:tblCellMar>
      </w:tblPr>
      <w:tblGrid>
        <w:gridCol w:w="710"/>
        <w:gridCol w:w="2150"/>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215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Recent Sales of Securities</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the past three years, the Registrant has granted or issued the following securities of the Registrant which were not registered under the Securities Act. </w:t>
      </w:r>
    </w:p>
    <w:p>
      <w:pPr>
        <w:pStyle w:val="TextBody"/>
        <w:spacing w:before="170" w:after="283"/>
        <w:ind w:left="720" w:right="0" w:firstLine="400"/>
        <w:jc w:val="left"/>
        <w:rPr>
          <w:rFonts w:ascii="Times New Roman;Times;serif" w:hAnsi="Times New Roman;Times;serif"/>
          <w:i/>
          <w:color w:val="000000"/>
          <w:sz w:val="20"/>
        </w:rPr>
      </w:pPr>
      <w:r>
        <w:rPr>
          <w:rFonts w:ascii="Times New Roman;Times;serif" w:hAnsi="Times New Roman;Times;serif"/>
          <w:i/>
          <w:color w:val="000000"/>
          <w:sz w:val="20"/>
        </w:rPr>
        <w:t>Private Placement</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pStyle w:val="TextBody"/>
        <w:spacing w:before="170" w:after="283"/>
        <w:ind w:left="72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Units Grants and Vesting</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From October 1, 2020 to July 31, 2021, we issued 1,700,806 shares of our common stock upon settlement of certain vested restricted stock units that were granted under the 2011 Equity Plan.</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The issuances of restricted stock units and the shares of common stock issuable upon the settlement of restricted stock units described in this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pStyle w:val="TextBody"/>
        <w:spacing w:before="17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All of the foregoing securities are deemed restricted securities for purposes of the Securities Act.</w:t>
      </w:r>
    </w:p>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4" w:name="DSPFPageBreakArea54"/>
      <w:bookmarkStart w:id="295" w:name="DSPFPageBreakArea54"/>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6" w:name="DSPFPageBreak54"/>
      <w:bookmarkStart w:id="297" w:name="DSPFPageBreak54"/>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98" w:name="ny20000592x1_drs_301-part-2_pg3"/>
        <w:bookmarkEnd w:id="29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4405" w:type="dxa"/>
        <w:jc w:val="left"/>
        <w:tblInd w:w="720" w:type="dxa"/>
        <w:tblCellMar>
          <w:top w:w="0" w:type="dxa"/>
          <w:left w:w="0" w:type="dxa"/>
          <w:bottom w:w="0" w:type="dxa"/>
          <w:right w:w="0" w:type="dxa"/>
        </w:tblCellMar>
      </w:tblPr>
      <w:tblGrid>
        <w:gridCol w:w="710"/>
        <w:gridCol w:w="3695"/>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369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Exhibits and Financial Statement Schedules</w:t>
            </w:r>
          </w:p>
        </w:tc>
      </w:tr>
    </w:tbl>
    <w:tbl>
      <w:tblPr>
        <w:tblW w:w="1030" w:type="dxa"/>
        <w:jc w:val="left"/>
        <w:tblInd w:w="720" w:type="dxa"/>
        <w:tblCellMar>
          <w:top w:w="0" w:type="dxa"/>
          <w:left w:w="0" w:type="dxa"/>
          <w:bottom w:w="0" w:type="dxa"/>
          <w:right w:w="0" w:type="dxa"/>
        </w:tblCellMar>
      </w:tblPr>
      <w:tblGrid>
        <w:gridCol w:w="230"/>
        <w:gridCol w:w="80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Exhibits. </w:t>
            </w:r>
          </w:p>
        </w:tc>
      </w:tr>
    </w:tbl>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See the Exhibit Index immediately preceding the signature pages hereto, which is incorporated by reference as if fully set forth herein.</w:t>
      </w:r>
    </w:p>
    <w:tbl>
      <w:tblPr>
        <w:tblW w:w="2800" w:type="dxa"/>
        <w:jc w:val="left"/>
        <w:tblInd w:w="720" w:type="dxa"/>
        <w:tblCellMar>
          <w:top w:w="0" w:type="dxa"/>
          <w:left w:w="0" w:type="dxa"/>
          <w:bottom w:w="0" w:type="dxa"/>
          <w:right w:w="0" w:type="dxa"/>
        </w:tblCellMar>
      </w:tblPr>
      <w:tblGrid>
        <w:gridCol w:w="245"/>
        <w:gridCol w:w="255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25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Financial Statement Schedules.</w:t>
            </w:r>
          </w:p>
        </w:tc>
      </w:tr>
    </w:tbl>
    <w:p>
      <w:pPr>
        <w:pStyle w:val="TextBody"/>
        <w:spacing w:before="17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None</w:t>
      </w:r>
    </w:p>
    <w:tbl>
      <w:tblPr>
        <w:tblW w:w="1915" w:type="dxa"/>
        <w:jc w:val="left"/>
        <w:tblInd w:w="720" w:type="dxa"/>
        <w:tblCellMar>
          <w:top w:w="0" w:type="dxa"/>
          <w:left w:w="0" w:type="dxa"/>
          <w:bottom w:w="0" w:type="dxa"/>
          <w:right w:w="0" w:type="dxa"/>
        </w:tblCellMar>
      </w:tblPr>
      <w:tblGrid>
        <w:gridCol w:w="710"/>
        <w:gridCol w:w="1205"/>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0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Undertakings.</w:t>
            </w:r>
          </w:p>
        </w:tc>
      </w:tr>
    </w:tbl>
    <w:tbl>
      <w:tblPr>
        <w:tblW w:w="9485" w:type="dxa"/>
        <w:jc w:val="left"/>
        <w:tblInd w:w="720" w:type="dxa"/>
        <w:tblCellMar>
          <w:top w:w="0" w:type="dxa"/>
          <w:left w:w="0" w:type="dxa"/>
          <w:bottom w:w="0" w:type="dxa"/>
          <w:right w:w="0" w:type="dxa"/>
        </w:tblCellMar>
      </w:tblPr>
      <w:tblGrid>
        <w:gridCol w:w="190"/>
        <w:gridCol w:w="929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2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tc>
      </w:tr>
    </w:tbl>
    <w:tbl>
      <w:tblPr>
        <w:tblW w:w="4465" w:type="dxa"/>
        <w:jc w:val="left"/>
        <w:tblInd w:w="720" w:type="dxa"/>
        <w:tblCellMar>
          <w:top w:w="0" w:type="dxa"/>
          <w:left w:w="0" w:type="dxa"/>
          <w:bottom w:w="0" w:type="dxa"/>
          <w:right w:w="0" w:type="dxa"/>
        </w:tblCellMar>
      </w:tblPr>
      <w:tblGrid>
        <w:gridCol w:w="245"/>
        <w:gridCol w:w="422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undersigned Registrant hereby undertakes that:</w:t>
            </w:r>
          </w:p>
        </w:tc>
      </w:tr>
    </w:tbl>
    <w:tbl>
      <w:tblPr>
        <w:tblW w:w="9485" w:type="dxa"/>
        <w:jc w:val="left"/>
        <w:tblInd w:w="720" w:type="dxa"/>
        <w:tblCellMar>
          <w:top w:w="0" w:type="dxa"/>
          <w:left w:w="0" w:type="dxa"/>
          <w:bottom w:w="0" w:type="dxa"/>
          <w:right w:w="0" w:type="dxa"/>
        </w:tblCellMar>
      </w:tblPr>
      <w:tblGrid>
        <w:gridCol w:w="230"/>
        <w:gridCol w:w="925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tc>
      </w:tr>
    </w:tbl>
    <w:tbl>
      <w:tblPr>
        <w:tblW w:w="9485" w:type="dxa"/>
        <w:jc w:val="left"/>
        <w:tblInd w:w="720" w:type="dxa"/>
        <w:tblCellMar>
          <w:top w:w="0" w:type="dxa"/>
          <w:left w:w="0" w:type="dxa"/>
          <w:bottom w:w="0" w:type="dxa"/>
          <w:right w:w="0" w:type="dxa"/>
        </w:tblCellMar>
      </w:tblPr>
      <w:tblGrid>
        <w:gridCol w:w="233"/>
        <w:gridCol w:w="9252"/>
      </w:tblGrid>
      <w:tr>
        <w:trPr/>
        <w:tc>
          <w:tcPr>
            <w:tcW w:w="23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25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9" w:name="DSPFPageBreakArea55"/>
      <w:bookmarkStart w:id="300" w:name="DSPFPageBreakArea55"/>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1" w:name="DSPFPageBreak55"/>
      <w:bookmarkStart w:id="302" w:name="DSPFPageBreak55"/>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3" w:name="ny20000592x1_drs_301-part-2_pg4"/>
        <w:bookmarkEnd w:id="30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EXHIBITS</w:t>
      </w:r>
    </w:p>
    <w:tbl>
      <w:tblPr>
        <w:tblW w:w="9485" w:type="dxa"/>
        <w:jc w:val="left"/>
        <w:tblInd w:w="720" w:type="dxa"/>
        <w:tblCellMar>
          <w:top w:w="0" w:type="dxa"/>
          <w:left w:w="0" w:type="dxa"/>
          <w:bottom w:w="83" w:type="dxa"/>
          <w:right w:w="0" w:type="dxa"/>
        </w:tblCellMar>
      </w:tblPr>
      <w:tblGrid>
        <w:gridCol w:w="698"/>
        <w:gridCol w:w="23"/>
        <w:gridCol w:w="23"/>
        <w:gridCol w:w="8741"/>
      </w:tblGrid>
      <w:tr>
        <w:trPr/>
        <w:tc>
          <w:tcPr>
            <w:tcW w:w="69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Number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4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698"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Underwriting Agreement. </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of the Registrant (incorporated by reference to Exhibit 3.1 to the Registrant’s Current Report on Form 8-K filed on October 6, 2020 (File No. 001-39589)). </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the Registrant (incorporated by reference to Exhibit 3.2 to the Registrant’s Current Report on Form 8-K filed on October 6, 2020 (File No. 001-39589)).</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the Registration Rights Agreement, dated as of October 6, 2020, by and among the Registrant, Allstar LLC and New Academy Holding Company, LLC (incorporated by reference to Exhibit 4.1 to the Registrant’s Current Report on Form 8-K filed on October 6, 2020 (File No. 001-39589)). </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Indenture, dated as of November 6, 2020, by and among Academy, Ltd., as issuer, the guarantors named therein and The Bank of New York Mellon Trust Company, N.A., as trustee and notes collateral agent (incorporated by reference to Exhibit 4.1 to the Registrant’s Current Report on Form 8-K filed on November 6, 2020 (File No. 001-39589)).</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Simpson Thacher &amp; Bartlett LLP. </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Credit Suisse AG, Cayman Islands Branch, as the administrative agent and collateral agent and the several other parties named therein (incorporated by reference to Exhibit 10.1 to the Registrant’s Current Report on Form 8-K filed on November 6, 2020 (File No. 001-39589)).</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Term Loan Security Agreement, dated as of July 2, 2015, among Academy, Ltd., as Borrower, each of the subsidiaries listed on the signature pages thereto, and Morgan Stanley Senior Funding, Inc., as collateral agent for the benefit of the secured parties (incorporated by reference to Exhibit 10.2 to the Registrant’s Registration Statement on Form S-1 filed on September 23, 2020 (File No. 333-248683)). </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Term Loan Pledge Agreement, dated as of July 2, 2015, among New Academy Holding Company, LLC, as Holdings, Associated Investors L.L.C. and Academy Managing Co., L.L.C, as Texas Intermediate Holdcos, Academy, Ltd., as Borrower, each of the subsidiaries listed on the signature pages thereto and Morgan Stanley Senior Funding, Inc., as collateral agent for the benefit of the secured parties (incorporated by reference to Exhibit 10.3 to the Registrant’s Registration Statement on Form S-1 filed on September 23, 2020 (File No. 333-248683)).</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69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4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ABL Intercreditor Agreement, dated July 2, 2015, among JPMorgan Chase Bank, N.A., as agent for the ABL Secured Parties referred to therein, Morgan Stanley Senior Funding, Inc., as administrative agent and collateral agent for the Term Loan Secured Parties referred to therein, New Academy Holding Company, LLC, as Holdings, Associated Investors L.L.C. and Academy Managing Co., L.L.C, as Texas Intermediate Holdcos, Academy, Ltd., as Borrower, and each of the subsidiaries of the Borrower listed on the signature pages thereto (incorporated by reference to Exhibit 10.4 to the Registrant’s Registration Statement on Form S-1 filed on September 23, 2020 (File No. 333-248683)). </w:t>
            </w:r>
          </w:p>
        </w:tc>
      </w:tr>
      <w:tr>
        <w:trPr/>
        <w:tc>
          <w:tcPr>
            <w:tcW w:w="69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41" w:type="dxa"/>
            <w:tcBorders/>
            <w:shd w:fill="auto" w:val="clear"/>
            <w:tcMar>
              <w:bottom w:w="0" w:type="dxa"/>
            </w:tcMar>
            <w:vAlign w:val="center"/>
          </w:tcPr>
          <w:p>
            <w:pPr>
              <w:pStyle w:val="TableContents"/>
              <w:spacing w:before="0" w:after="0"/>
              <w:jc w:val="left"/>
              <w:rPr>
                <w:color w:val="000000"/>
              </w:rPr>
            </w:pPr>
            <w:r>
              <w:rPr>
                <w:color w:val="000000"/>
              </w:rPr>
              <w:t>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4" w:name="DSPFPageBreakArea56"/>
      <w:bookmarkStart w:id="305" w:name="DSPFPageBreakArea56"/>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6" w:name="DSPFPageBreak56"/>
      <w:bookmarkStart w:id="307" w:name="DSPFPageBreak56"/>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8" w:name="ny20000592x1_drs_301-part-2_pg5"/>
        <w:bookmarkEnd w:id="30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83" w:type="dxa"/>
          <w:right w:w="0" w:type="dxa"/>
        </w:tblCellMar>
      </w:tblPr>
      <w:tblGrid>
        <w:gridCol w:w="703"/>
        <w:gridCol w:w="23"/>
        <w:gridCol w:w="23"/>
        <w:gridCol w:w="8736"/>
      </w:tblGrid>
      <w:tr>
        <w:trPr/>
        <w:tc>
          <w:tcPr>
            <w:tcW w:w="70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Number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3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Joinder to ABL Intercreditor Agreement, dated November 6, 2020, among JPMorgan Chase Bank, N.A., as agent for the ABL Secured Parties referred to therein, Credit Suisse AG, Cayman Islands Branch, as agent for the Term Loan Secured Parties referred to therein, and The Bank of New York Mellon Trust Company, N.A., as collateral agent for the Additional Debt Secured Parties referred to therein (incorporated by reference to Exhibit 10.5 to the Registrant’s Registration Statement on Form S-1 filed on January 25, 2021 (File No. 333-252390). </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Joinder to ABL Intercreditor Agreement, dated November 6, 2020, among JPMorgan Chase Bank, N.A., as agent for the ABL Secured Parties referred to therein, and Credit Suisse AG, Cayman Islands Branch, as agent for the Term Loan Secured Parties referred to therein (incorporated by reference to Exhibit 10.6 to the Registrant’s Registration Statement on Form S-1 filed on January 25, 2021 (File No. 333-252390).</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Lien Intercreditor Agreement, dated November 6, 2020, among Credit Suisse AG, Cayman Islands Branch, as First Lien Collateral Agent and Authorized Representative for the Credit Agreement Secured Parties referred to therein, The Bank of New York Mellon Trust Company, N.A., as Initial Additional First Lien Collateral Agent and Initial Additional Authorized Representative, and each of the subsidiaries of the Borrower listed on the signature pages thereto (incorporated by reference to Exhibit 10.7 to the Registrant’s Registration Statement on Form S-1 filed on January 25, 2021 (File No. 333-252390).</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Amended and Restated ABL Credit Agreement, dated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(incorporated by reference to Exhibit 10.5 to the Registrant’s Registration Statement on Form S-1 filed on September 23, 2020 (File No. 333-248683)).</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1 to First Amended and Restated ABL Credit Agreement, dated as of May 22, 2018, among Academy, Ltd., as Borrower, New Academy Holding Company, LLC, as Holdings, Associated Investors L.L.C. and Academy Managing Co., L.L.C, as Texas Intermediate Holdcos, each of the Guarantors party thereto, each of the lenders party thereto and JPMorgan Chase Bank, N.A., as the Administrative Agent, the Collateral Agent, the Letter of Credit Issuer and the Swingline Lender (incorporated by reference to Exhibit 10.6 to the Registrant’s Registration Statement on Form S-1 filed on September 23, 2020 (File No. 333-248683)).</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No. 2 to First Amended and Restated ABL Credit Agreement, dated as of November 6, 2020, among Academy, Ltd., as Borrower, New Academy Holding Company, LLC, as Holdings, Associated Investors, L.L.C. and Academy Managing Co., L.L.C., as Texas Intermediate Holdcos, the several lenders from time to time party thereto, JPMorgan Chase Bank, N.A., as the letter of credit issuer, administrative agent and collateral agent (incorporated by reference to Exhibit 10.2 to the Registrant’s Current Report on Form 8-K filed on November 6, 2020 (File No. 001-39589)). </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0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ABL Security Agreement, dated as of July 2, 2015, among Academy, Ltd., as Borrower, each of the subsidiaries listed on the signature pages thereto, and JPMorgan Chase Bank, N.A., as collateral agent for the benefit of the secured parties (incorporated by reference to Exhibit 10.7 to the Registrant’s Registration Statement on Form S-1 filed on September 23, 2020 (File No. 333-248683)). </w:t>
            </w:r>
          </w:p>
        </w:tc>
      </w:tr>
      <w:tr>
        <w:trPr/>
        <w:tc>
          <w:tcPr>
            <w:tcW w:w="70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36" w:type="dxa"/>
            <w:tcBorders/>
            <w:shd w:fill="auto" w:val="clear"/>
            <w:tcMar>
              <w:bottom w:w="0" w:type="dxa"/>
            </w:tcMar>
            <w:vAlign w:val="center"/>
          </w:tcPr>
          <w:p>
            <w:pPr>
              <w:pStyle w:val="TableContents"/>
              <w:spacing w:before="0" w:after="0"/>
              <w:jc w:val="left"/>
              <w:rPr>
                <w:color w:val="000000"/>
              </w:rPr>
            </w:pPr>
            <w:r>
              <w:rPr>
                <w:color w:val="000000"/>
              </w:rPr>
              <w:t>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9" w:name="DSPFPageBreakArea57"/>
      <w:bookmarkStart w:id="310" w:name="DSPFPageBreakArea57"/>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1" w:name="DSPFPageBreak57"/>
      <w:bookmarkStart w:id="312" w:name="DSPFPageBreak57"/>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3" w:name="ny20000592x1_drs_301-part-2_pg6"/>
        <w:bookmarkEnd w:id="31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83" w:type="dxa"/>
          <w:right w:w="0" w:type="dxa"/>
        </w:tblCellMar>
      </w:tblPr>
      <w:tblGrid>
        <w:gridCol w:w="713"/>
        <w:gridCol w:w="23"/>
        <w:gridCol w:w="23"/>
        <w:gridCol w:w="8726"/>
      </w:tblGrid>
      <w:tr>
        <w:trPr/>
        <w:tc>
          <w:tcPr>
            <w:tcW w:w="71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Number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2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ABL Pledge Agreement, dated July 2, 2015, among New Academy Holding Company, LLC, as Holdings, Associated Investors L.L.C. and Academy Managing Co., L.L.C, as Texas Intermediate Holdcos, Academy, Ltd., as Borrower, each of the subsidiaries listed on the signature pages thereto and JPMorgan Chase Bank, N.A., as collateral agent for the benefit of the secured parties (incorporated by reference to Exhibit 10.8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Notes Security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10.13 to the Registrant’s Registration Statement on Form S-1 filed on January 25, 2021 (File No. 333-252390).</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Notes Pledge Agreement, dated as of November 6, 2020, among Academy, Ltd., as Issuer, each of the guarantors listed on the signature pages thereto, and The Bank of New York Mellon Trust Company, N.A., as collateral agent for the benefit of the Secured Parties referred to therein (incorporated by reference to Exhibit 10.14 to the Registrant’s Registration Statement on Form S-1 filed on January 25, 2021 (File No. 333-252390).</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 Omnibus Incentive Plan (incorporated by reference to Exhibit 10.2 to the Registrant’s Quarterly Report on Form 10-Q filed on December 10, 2020 (File No. 001-39589)).</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Time-Based Option Agreement under 2020 Omnibus Incentive Plan (incorporated by reference to Exhibit 10.10 to Amendment No. 1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Non-Employee Director Restricted Stock Unit Agreement under 2020 Omnibus Incentive Plan (incorporated by reference to Exhibit 10.11 to Amendment No. 1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Form of Performance-Based Restricted Stock Unit Agreement under 2020 Omnibus Incentive Plan (incorporated by reference to Exhibit 10.12 to Amendment No. 1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 Form of Performance-Based Restricted Stock Unit Agreement under the 2020 Omnibus Incentive Plan (incorporated by reference to Exhibit 10.19 to the Registrant’s Annual Report on Form 10-K for the fiscal year ended January 30, 2021 (File No. 001-39589)).</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2011 Unit Incentive Plan (incorporated by reference to Exhibit 10.13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2020 CEO Option Agreement under 2011 Unit Incentive Plan (incorporated by reference to Exhibit 10.14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2020 Executive Option Agreement under 2011 Unit Incentive Plan (incorporated by reference to Exhibit 10.15 to the Registrant’s Registration Statement on Form S-1 filed on September 23, 2020 (File No. 333-248683)). </w:t>
            </w:r>
          </w:p>
        </w:tc>
      </w:tr>
      <w:tr>
        <w:trPr/>
        <w:tc>
          <w:tcPr>
            <w:tcW w:w="71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2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1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2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2019 CEO Option Agreement under 2011 Unit Incentive Plan (incorporated by reference to Exhibit 10.8 to the Registrant’s Registration Statement on Form S-1 filed on September 23, 2020 (File No. 333-248683)).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4" w:name="DSPFPageBreakArea58"/>
      <w:bookmarkStart w:id="315" w:name="DSPFPageBreakArea58"/>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6" w:name="DSPFPageBreak58"/>
      <w:bookmarkStart w:id="317" w:name="DSPFPageBreak58"/>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8" w:name="ny20000592x1_drs_301-part-2_pg7"/>
        <w:bookmarkEnd w:id="31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83" w:type="dxa"/>
          <w:right w:w="0" w:type="dxa"/>
        </w:tblCellMar>
      </w:tblPr>
      <w:tblGrid>
        <w:gridCol w:w="833"/>
        <w:gridCol w:w="23"/>
        <w:gridCol w:w="23"/>
        <w:gridCol w:w="8606"/>
      </w:tblGrid>
      <w:tr>
        <w:trPr/>
        <w:tc>
          <w:tcPr>
            <w:tcW w:w="83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Number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0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2019 Executive Option Agreement under 2011 Unit Incentive Plan (incorporated by reference to Exhibit 10.17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2018 CEO Option Agreement under 2011 Unit Incentive Plan (incorporated by reference to Exhibit 10.18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2018 Executive Option Agreement under 2011 Unit Incentive Plan (incorporated by reference to Exhibit 10.19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2018 Non Executive Option Agreement under 2011 Unit Incentive Plan (incorporated by reference to Exhibit 10.27 to the Registrant’s Annual Report on Form 10-K for the fiscal year ended January 30, 2021 (File No. 001-39589)).</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2017 Executive Option Agreement under 2011 Unit Incentive Plan (incorporated by reference to Exhibit 10.20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2016 Executive Option Agreement under 2011 Unit Incentive Plan (incorporated by reference to Exhibit 10.21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August 2020 Restricted Unit Agreement under 2011 Unit Incentive Plan (incorporated by reference to Exhibit 10.22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2020 CEO Restricted Unit Agreement under 2011 Unit Incentive Plan (incorporated by reference to Exhibit 10.23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2020 Executive Restricted Unit Agreement under 2011 Unit Incentive Plan (incorporated by reference to Exhibit 10.24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2019 Executive Restricted Unit Agreement under 2011 Unit Incentive Plan (incorporated by reference to Exhibit 10.25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2018 CEO Restricted Unit Agreement under 2011 Unit Incentive Plan (as amended) (incorporated by reference to Exhibit 10.26 to the Registrant’s Registration Statement on Form S-1 filed on September 23, 2020 (File No. 333-248683)). </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Independent Non-Employee Director Restricted Unit Agreement under 2011 Unit Incentive Plan (incorporated by reference to Exhibit 10.27 to the Registrant’s Registration Statement on Form S-1 filed on September 23, 2020 (File No. 333-248683)).</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8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2018 Executive Restricted Unit Agreement under 2011 Unit Incentive Plan (incorporated by reference to Exhibit 10.28 to the Registrant’s Registration Statement on Form S-1 filed on September 23, 2020 (File No. 333-248683)).</w:t>
            </w:r>
          </w:p>
        </w:tc>
      </w:tr>
      <w:tr>
        <w:trPr/>
        <w:tc>
          <w:tcPr>
            <w:tcW w:w="83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6" w:type="dxa"/>
            <w:tcBorders/>
            <w:shd w:fill="auto" w:val="clear"/>
            <w:tcMar>
              <w:bottom w:w="0" w:type="dxa"/>
            </w:tcMar>
            <w:vAlign w:val="center"/>
          </w:tcPr>
          <w:p>
            <w:pPr>
              <w:pStyle w:val="TableContents"/>
              <w:spacing w:before="0" w:after="0"/>
              <w:jc w:val="left"/>
              <w:rPr>
                <w:color w:val="000000"/>
              </w:rPr>
            </w:pPr>
            <w:r>
              <w:rPr>
                <w:color w:val="000000"/>
              </w:rPr>
              <w:t>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9" w:name="DSPFPageBreakArea59"/>
      <w:bookmarkStart w:id="320" w:name="DSPFPageBreakArea59"/>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1" w:name="DSPFPageBreak59"/>
      <w:bookmarkStart w:id="322" w:name="DSPFPageBreak59"/>
      <w:bookmarkEnd w:id="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3" w:name="ny20000592x1_drs_301-part-2_pg8"/>
        <w:bookmarkEnd w:id="32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9485" w:type="dxa"/>
        <w:jc w:val="left"/>
        <w:tblInd w:w="720" w:type="dxa"/>
        <w:tblCellMar>
          <w:top w:w="0" w:type="dxa"/>
          <w:left w:w="0" w:type="dxa"/>
          <w:bottom w:w="83" w:type="dxa"/>
          <w:right w:w="0" w:type="dxa"/>
        </w:tblCellMar>
      </w:tblPr>
      <w:tblGrid>
        <w:gridCol w:w="743"/>
        <w:gridCol w:w="23"/>
        <w:gridCol w:w="23"/>
        <w:gridCol w:w="8696"/>
      </w:tblGrid>
      <w:tr>
        <w:trPr/>
        <w:tc>
          <w:tcPr>
            <w:tcW w:w="74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Number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9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Ken C. Hicks Employment Agreement, dated August 2, 2018 (incorporated by reference to Exhibit 10.29 to the Registrant’s Registration Statement on Form S-1 filed on September 23, 2020 (File No. 333-248683)). </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P. Mullican Employment Agreement, dated January 6, 2017 and amended on December 21, 2017 (incorporated by reference to Exhibit 10.30 to the Registrant’s Registration Statement on Form S-1 filed on September 23, 2020 (File No. 333-248683)).</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(Steve) P. Lawrence Employment Agreement, dated January 29, 2019 (incorporated by reference to Exhibit 10.31 to the Registrant’s Registration Statement on Form S-1 filed on September 23, 2020 (File No. 333-248683)).</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Samuel (Sam) J. Johnson Employment Agreement, dated April 17, 2017 (incorporated by reference to Exhibit 10.32 to the Registrant’s Registration Statement on Form S-1 filed on September 23, 2020 (File No. 333-248683)). </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Jamey Rutherford Traywick Employment Agreement, dated October 1, 2018 (incorporated by reference to Exhibit 10.41 to the Registrant’s Annual Report on Form 10-K for the fiscal year ended January 30, 2021 (File No. 001-39589)).</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2020 Employee Stock Purchase Plan (incorporated by reference to Exhibit 10.34 to Amendment No. 1 to the Registrant’s Registration Statement on Form S-1 filed on September 23, 2020 (File No. 333-248683)).</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Agreement, dated as of October 6, 2020, by and among the Registrant, Allstar LLC, KKR 2006 Allstar Blocker L.P. and Allstar Co-Invest Blocker L.P. (incorporated by reference to Exhibit 10.1 to the Registrant’s Current Report on Form 8-K filed on October 6, 2020 (File No. 001-39589)).</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Director and Officer Indemnification Agreement (incorporated by reference to Exhibit 10.37 to Amendment No. 1 to the Registrant’s Registration Statement on Form S-1 filed on September 23, 2020 (File No. 333-248683)).</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4, dated May 25, 2021, to the Second Amended and Restated Credit Agreement among Academy, Ltd., as Borrower, Credit Suisse AG, Cayman Islands Branch, as the administrative agent and collateral agent, the several lenders party thereto and the several other parties named therein (incorporated by reference to Exhibit 10.1 to the Registrant’s Current Report on Form 8-K filed on May 25, 2021 (File No. 001-39589)).</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of the Registrant (incorporated by reference to Exhibit 21.1 to the Registrant’s Annual Report on Form 10-K for the fiscal year ended January 30, 2021 (File No. 001-39589)). </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Deloitte &amp; Touche LLP.</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Simpson Thacher &amp; Bartlett LLP (included as part of Exhibit 5.1). </w:t>
            </w:r>
          </w:p>
        </w:tc>
      </w:tr>
      <w:tr>
        <w:trPr/>
        <w:tc>
          <w:tcPr>
            <w:tcW w:w="743"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9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743"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9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of Attorney (included on signature pages to this Registration Statement).</w:t>
            </w:r>
          </w:p>
        </w:tc>
      </w:tr>
    </w:tbl>
    <w:tbl>
      <w:tblPr>
        <w:tblW w:w="2065" w:type="dxa"/>
        <w:jc w:val="left"/>
        <w:tblInd w:w="720" w:type="dxa"/>
        <w:tblCellMar>
          <w:top w:w="0" w:type="dxa"/>
          <w:left w:w="0" w:type="dxa"/>
          <w:bottom w:w="0" w:type="dxa"/>
          <w:right w:w="0" w:type="dxa"/>
        </w:tblCellMar>
      </w:tblPr>
      <w:tblGrid>
        <w:gridCol w:w="110"/>
        <w:gridCol w:w="195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5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 be filed by amendment. </w:t>
            </w:r>
          </w:p>
        </w:tc>
      </w:tr>
    </w:tbl>
    <w:tbl>
      <w:tblPr>
        <w:tblW w:w="5140" w:type="dxa"/>
        <w:jc w:val="left"/>
        <w:tblInd w:w="720" w:type="dxa"/>
        <w:tblCellMar>
          <w:top w:w="0" w:type="dxa"/>
          <w:left w:w="0" w:type="dxa"/>
          <w:bottom w:w="0" w:type="dxa"/>
          <w:right w:w="0" w:type="dxa"/>
        </w:tblCellMar>
      </w:tblPr>
      <w:tblGrid>
        <w:gridCol w:w="140"/>
        <w:gridCol w:w="5000"/>
      </w:tblGrid>
      <w:tr>
        <w:trPr/>
        <w:tc>
          <w:tcPr>
            <w:tcW w:w="140" w:type="dxa"/>
            <w:tcBorders/>
            <w:shd w:fill="auto" w:val="clear"/>
            <w:vAlign w:val="center"/>
          </w:tcPr>
          <w:p>
            <w:pPr>
              <w:pStyle w:val="TableContents"/>
              <w:spacing w:before="0" w:after="0"/>
              <w:jc w:val="left"/>
              <w:rPr>
                <w:color w:val="000000"/>
              </w:rPr>
            </w:pPr>
            <w:r>
              <w:rPr>
                <w:color w:val="000000"/>
              </w:rPr>
              <w:t>†</w:t>
            </w:r>
          </w:p>
        </w:tc>
        <w:tc>
          <w:tcPr>
            <w:tcW w:w="50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Compensatory arrangements for director(s) and/or executive officer(s). </w:t>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4" w:name="DSPFPageBreakArea60"/>
      <w:bookmarkStart w:id="325" w:name="DSPFPageBreakArea60"/>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6" w:name="DSPFPageBreak60"/>
      <w:bookmarkStart w:id="327" w:name="DSPFPageBreak60"/>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8" w:name="ny20000592x1_drs_302-sign_pg1"/>
        <w:bookmarkEnd w:id="328"/>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p>
      <w:pPr>
        <w:pStyle w:val="TextBody"/>
        <w:spacing w:before="135"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as amended, the Registrant has duly caused this registration statement to be signed on its behalf by the undersigned, thereunto duly authorized, in Katy, Texas, on    , 2021.</w:t>
      </w:r>
    </w:p>
    <w:tbl>
      <w:tblPr>
        <w:tblW w:w="3724" w:type="dxa"/>
        <w:jc w:val="left"/>
        <w:tblInd w:w="720" w:type="dxa"/>
        <w:tblCellMar>
          <w:top w:w="0" w:type="dxa"/>
          <w:left w:w="0" w:type="dxa"/>
          <w:bottom w:w="0" w:type="dxa"/>
          <w:right w:w="0" w:type="dxa"/>
        </w:tblCellMar>
      </w:tblPr>
      <w:tblGrid>
        <w:gridCol w:w="75"/>
        <w:gridCol w:w="23"/>
        <w:gridCol w:w="23"/>
        <w:gridCol w:w="320"/>
        <w:gridCol w:w="23"/>
        <w:gridCol w:w="23"/>
        <w:gridCol w:w="545"/>
        <w:gridCol w:w="23"/>
        <w:gridCol w:w="23"/>
        <w:gridCol w:w="2525"/>
        <w:gridCol w:w="23"/>
        <w:gridCol w:w="23"/>
        <w:gridCol w:w="7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482"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Academy Sports and Outdoors, Inc.</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52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116" w:type="dxa"/>
            <w:gridSpan w:val="4"/>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5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 G. Casares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5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General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Counsel and Secretary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 w:type="dxa"/>
            <w:tcBorders/>
            <w:shd w:fill="auto" w:val="clear"/>
            <w:vAlign w:val="center"/>
          </w:tcPr>
          <w:p>
            <w:pPr>
              <w:pStyle w:val="TableContents"/>
              <w:spacing w:before="0" w:after="0"/>
              <w:jc w:val="left"/>
              <w:rPr>
                <w:color w:val="000000"/>
              </w:rPr>
            </w:pPr>
            <w:r>
              <w:rPr>
                <w:color w:val="000000"/>
              </w:rPr>
              <w:t> </w:t>
            </w:r>
          </w:p>
        </w:tc>
      </w:tr>
    </w:tbl>
    <w:p>
      <w:pPr>
        <w:pStyle w:val="TextBody"/>
        <w:spacing w:before="240" w:after="283"/>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POWER OF ATTORNEY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 </w:t>
      </w:r>
    </w:p>
    <w:p>
      <w:pPr>
        <w:pStyle w:val="TextBody"/>
        <w:spacing w:before="120" w:after="283"/>
        <w:ind w:left="72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as amended, this registration statement has been signed by the following persons in the capacities indicated on     , 2021:</w:t>
      </w:r>
    </w:p>
    <w:tbl>
      <w:tblPr>
        <w:tblW w:w="6116" w:type="dxa"/>
        <w:jc w:val="left"/>
        <w:tblInd w:w="720" w:type="dxa"/>
        <w:tblCellMar>
          <w:top w:w="0" w:type="dxa"/>
          <w:left w:w="0" w:type="dxa"/>
          <w:bottom w:w="80" w:type="dxa"/>
          <w:right w:w="0" w:type="dxa"/>
        </w:tblCellMar>
      </w:tblPr>
      <w:tblGrid>
        <w:gridCol w:w="1700"/>
        <w:gridCol w:w="23"/>
        <w:gridCol w:w="23"/>
        <w:gridCol w:w="4370"/>
      </w:tblGrid>
      <w:tr>
        <w:trPr/>
        <w:tc>
          <w:tcPr>
            <w:tcW w:w="17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3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70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Chairman, President and Chief Executive Officer </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Ken C. Hicks</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r>
        <w:trPr/>
        <w:tc>
          <w:tcPr>
            <w:tcW w:w="17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Financial Officer </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officer)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Michael P. Mullican</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r>
        <w:trPr/>
        <w:tc>
          <w:tcPr>
            <w:tcW w:w="17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Senior Vice President, Accounting, Treasury &amp; Tax </w:t>
            </w:r>
          </w:p>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accounting officer)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Heather A. Davis</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r>
        <w:trPr/>
        <w:tc>
          <w:tcPr>
            <w:tcW w:w="17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Wendy A. Beck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r>
        <w:trPr/>
        <w:tc>
          <w:tcPr>
            <w:tcW w:w="17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Brian T. Marley</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r>
        <w:trPr/>
        <w:tc>
          <w:tcPr>
            <w:tcW w:w="17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Thomas M. Nealon</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r>
        <w:trPr/>
        <w:tc>
          <w:tcPr>
            <w:tcW w:w="170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70"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70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70"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70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Allen I. Questrom</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4370" w:type="dxa"/>
            <w:vMerge w:val="continue"/>
            <w:tcBorders/>
            <w:shd w:fill="auto" w:val="clear"/>
            <w:tcMar>
              <w:bottom w:w="0" w:type="dxa"/>
            </w:tcMar>
            <w:vAlign w:val="center"/>
          </w:tcPr>
          <w:p>
            <w:pPr>
              <w:pStyle w:val="Normal"/>
              <w:rPr/>
            </w:pPr>
            <w:r>
              <w:rPr/>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9" w:name="DSPFPageBreakArea61"/>
      <w:bookmarkStart w:id="330" w:name="DSPFPageBreakArea61"/>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1" w:name="DSPFPageBreak61"/>
      <w:bookmarkStart w:id="332" w:name="DSPFPageBreak61"/>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33" w:name="ny20000592x1_drs_302-sign_pg2"/>
        <w:bookmarkEnd w:id="333"/>
        <w:r>
          <w:rPr>
            <w:rStyle w:val="InternetLink"/>
            <w:rFonts w:ascii="Times New Roman;Times;Serif" w:hAnsi="Times New Roman;Times;Serif"/>
            <w:b/>
            <w:caps w:val="false"/>
            <w:smallCaps w:val="false"/>
            <w:color w:val="000000"/>
            <w:sz w:val="16"/>
          </w:rPr>
          <w:t>TABLE OF CONTENTS</w:t>
        </w:r>
      </w:hyperlink>
    </w:p>
    <w:p>
      <w:pPr>
        <w:pStyle w:val="TextBody"/>
        <w:spacing w:before="120" w:after="283"/>
        <w:ind w:left="0" w:right="0" w:hanging="0"/>
        <w:jc w:val="center"/>
        <w:rPr>
          <w:rFonts w:ascii="Times New Roman;Times;serif" w:hAnsi="Times New Roman;Times;serif"/>
          <w:b/>
          <w:color w:val="000000"/>
          <w:sz w:val="18"/>
        </w:rPr>
      </w:pPr>
      <w:r>
        <w:rPr>
          <w:rFonts w:ascii="Times New Roman;Times;serif" w:hAnsi="Times New Roman;Times;serif"/>
          <w:b/>
          <w:color w:val="000000"/>
          <w:sz w:val="18"/>
        </w:rPr>
        <w:t xml:space="preserve">Academy Sports and Outdoors, Inc. has requested confidential treatment of this registration statement pursuant to </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Rule 83 of the Securities and Exchange Commission.</w:t>
      </w:r>
    </w:p>
    <w:tbl>
      <w:tblPr>
        <w:tblW w:w="2381" w:type="dxa"/>
        <w:jc w:val="left"/>
        <w:tblInd w:w="720" w:type="dxa"/>
        <w:tblCellMar>
          <w:top w:w="0" w:type="dxa"/>
          <w:left w:w="0" w:type="dxa"/>
          <w:bottom w:w="80" w:type="dxa"/>
          <w:right w:w="0" w:type="dxa"/>
        </w:tblCellMar>
      </w:tblPr>
      <w:tblGrid>
        <w:gridCol w:w="1640"/>
        <w:gridCol w:w="23"/>
        <w:gridCol w:w="23"/>
        <w:gridCol w:w="695"/>
      </w:tblGrid>
      <w:tr>
        <w:trPr/>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64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64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5"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Beryl B. Raff</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5" w:type="dxa"/>
            <w:vMerge w:val="continue"/>
            <w:tcBorders/>
            <w:shd w:fill="auto" w:val="clear"/>
            <w:tcMar>
              <w:bottom w:w="0" w:type="dxa"/>
            </w:tcMar>
            <w:vAlign w:val="center"/>
          </w:tcPr>
          <w:p>
            <w:pPr>
              <w:pStyle w:val="Normal"/>
              <w:rPr/>
            </w:pPr>
            <w:r>
              <w:rPr/>
            </w:r>
          </w:p>
        </w:tc>
      </w:tr>
      <w:tr>
        <w:trPr/>
        <w:tc>
          <w:tcPr>
            <w:tcW w:w="164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64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5"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Nathaniel H. Taylor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5" w:type="dxa"/>
            <w:vMerge w:val="continue"/>
            <w:tcBorders/>
            <w:shd w:fill="auto" w:val="clear"/>
            <w:tcMar>
              <w:bottom w:w="0" w:type="dxa"/>
            </w:tcMar>
            <w:vAlign w:val="center"/>
          </w:tcPr>
          <w:p>
            <w:pPr>
              <w:pStyle w:val="Normal"/>
              <w:rPr/>
            </w:pPr>
            <w:r>
              <w:rPr/>
            </w:r>
          </w:p>
        </w:tc>
      </w:tr>
      <w:tr>
        <w:trPr/>
        <w:tc>
          <w:tcPr>
            <w:tcW w:w="164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64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5"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Sharen J. Turney</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5" w:type="dxa"/>
            <w:vMerge w:val="continue"/>
            <w:tcBorders/>
            <w:shd w:fill="auto" w:val="clear"/>
            <w:tcMar>
              <w:bottom w:w="0" w:type="dxa"/>
            </w:tcMar>
            <w:vAlign w:val="center"/>
          </w:tcPr>
          <w:p>
            <w:pPr>
              <w:pStyle w:val="Normal"/>
              <w:rPr/>
            </w:pPr>
            <w:r>
              <w:rPr/>
            </w:r>
          </w:p>
        </w:tc>
      </w:tr>
      <w:tr>
        <w:trPr/>
        <w:tc>
          <w:tcPr>
            <w:tcW w:w="1640" w:type="dxa"/>
            <w:tcBorders/>
            <w:shd w:fill="auto" w:val="clear"/>
            <w:tcMar>
              <w:bottom w:w="0" w:type="dxa"/>
            </w:tcMar>
            <w:vAlign w:val="center"/>
          </w:tcPr>
          <w:p>
            <w:pPr>
              <w:pStyle w:val="TableContents"/>
              <w:spacing w:before="0" w:after="0"/>
              <w:jc w:val="center"/>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0"/>
              <w:jc w:val="center"/>
              <w:rPr>
                <w:color w:val="000000"/>
              </w:rPr>
            </w:pPr>
            <w:r>
              <w:rPr>
                <w:color w:val="000000"/>
              </w:rPr>
              <w:t> </w:t>
            </w:r>
          </w:p>
        </w:tc>
      </w:tr>
      <w:tr>
        <w:trPr/>
        <w:tc>
          <w:tcPr>
            <w:tcW w:w="164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5" w:type="dxa"/>
            <w:vMerge w:val="restart"/>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16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Jeffrey C. Tweedy</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5" w:type="dxa"/>
            <w:vMerge w:val="continue"/>
            <w:tcBorders/>
            <w:shd w:fill="auto" w:val="clear"/>
            <w:tcMar>
              <w:bottom w:w="0" w:type="dxa"/>
            </w:tcMar>
            <w:vAlign w:val="center"/>
          </w:tcPr>
          <w:p>
            <w:pPr>
              <w:pStyle w:val="Normal"/>
              <w:rPr/>
            </w:pPr>
            <w:r>
              <w:rPr/>
            </w:r>
          </w:p>
        </w:tc>
      </w:tr>
    </w:tbl>
    <w:p>
      <w:pPr>
        <w:pStyle w:val="TextBody"/>
        <w:spacing w:before="189" w:after="283"/>
        <w:ind w:left="720" w:right="0" w:hanging="0"/>
        <w:jc w:val="center"/>
        <w:rPr>
          <w:rFonts w:ascii="Times New Roman;Times;serif" w:hAnsi="Times New Roman;Times;serif"/>
          <w:color w:val="000000"/>
          <w:sz w:val="20"/>
        </w:rPr>
      </w:pPr>
      <w:r>
        <w:rPr>
          <w:rFonts w:ascii="Times New Roman;Times;serif" w:hAnsi="Times New Roman;Times;serif"/>
          <w:color w:val="000000"/>
          <w:sz w:val="20"/>
        </w:rPr>
        <w:t>II-10</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36077</Words>
  <CharactersWithSpaces>233408</CharactersWithSpaces>
  <Paragraphs>3316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