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49530</wp:posOffset>
            </wp:positionV>
            <wp:extent cx="4140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left="3840" w:right="1180" w:hanging="2647"/>
        <w:spacing w:after="0" w:line="280" w:lineRule="auto"/>
        <w:tabs>
          <w:tab w:leader="none" w:pos="13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May 2, 2026</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380" w:hanging="193"/>
        <w:spacing w:after="0"/>
        <w:tabs>
          <w:tab w:leader="none" w:pos="1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r>
        <w:rPr>
          <w:rFonts w:ascii="Times New Roman" w:cs="Times New Roman" w:eastAsia="Times New Roman" w:hAnsi="Times New Roman"/>
          <w:sz w:val="16"/>
          <w:szCs w:val="16"/>
          <w:color w:val="auto"/>
        </w:rPr>
        <w:t>.</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81915</wp:posOffset>
            </wp:positionV>
            <wp:extent cx="4140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40200" cy="8255"/>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193040</wp:posOffset>
            </wp:positionV>
            <wp:extent cx="1954530" cy="462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453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8" w:lineRule="exact"/>
        <w:rPr>
          <w:sz w:val="24"/>
          <w:szCs w:val="24"/>
          <w:color w:val="auto"/>
        </w:rPr>
      </w:pPr>
    </w:p>
    <w:p>
      <w:pPr>
        <w:ind w:left="1820"/>
        <w:spacing w:after="0"/>
        <w:tabs>
          <w:tab w:leader="none" w:pos="82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85-1800912</w:t>
      </w:r>
    </w:p>
    <w:p>
      <w:pPr>
        <w:spacing w:after="0" w:line="127" w:lineRule="exact"/>
        <w:rPr>
          <w:sz w:val="24"/>
          <w:szCs w:val="24"/>
          <w:color w:val="auto"/>
        </w:rPr>
      </w:pPr>
    </w:p>
    <w:p>
      <w:pPr>
        <w:ind w:left="1200"/>
        <w:spacing w:after="0"/>
        <w:tabs>
          <w:tab w:leader="none" w:pos="8100" w:val="left"/>
        </w:tabs>
        <w:rPr>
          <w:sz w:val="20"/>
          <w:szCs w:val="20"/>
          <w:color w:val="auto"/>
        </w:rPr>
      </w:pPr>
      <w:r>
        <w:rPr>
          <w:rFonts w:ascii="Times New Roman" w:cs="Times New Roman" w:eastAsia="Times New Roman" w:hAnsi="Times New Roman"/>
          <w:sz w:val="16"/>
          <w:szCs w:val="16"/>
          <w:i w:val="1"/>
          <w:iCs w:val="1"/>
          <w:color w:val="auto"/>
        </w:rPr>
        <w:t>(State or other jurisdiction of</w:t>
      </w:r>
      <w:r>
        <w:rPr>
          <w:sz w:val="20"/>
          <w:szCs w:val="20"/>
          <w:color w:val="auto"/>
        </w:rPr>
        <w:tab/>
      </w:r>
      <w:r>
        <w:rPr>
          <w:rFonts w:ascii="Times New Roman" w:cs="Times New Roman" w:eastAsia="Times New Roman" w:hAnsi="Times New Roman"/>
          <w:sz w:val="16"/>
          <w:szCs w:val="16"/>
          <w:i w:val="1"/>
          <w:iCs w:val="1"/>
          <w:color w:val="auto"/>
        </w:rPr>
        <w:t>(I.R.S. Employer</w:t>
      </w:r>
    </w:p>
    <w:p>
      <w:pPr>
        <w:spacing w:after="0" w:line="86" w:lineRule="exact"/>
        <w:rPr>
          <w:sz w:val="24"/>
          <w:szCs w:val="24"/>
          <w:color w:val="auto"/>
        </w:rPr>
      </w:pPr>
    </w:p>
    <w:p>
      <w:pPr>
        <w:ind w:left="1140"/>
        <w:spacing w:after="0"/>
        <w:tabs>
          <w:tab w:leader="none" w:pos="8040" w:val="left"/>
        </w:tabs>
        <w:rPr>
          <w:sz w:val="20"/>
          <w:szCs w:val="20"/>
          <w:color w:val="auto"/>
        </w:rPr>
      </w:pPr>
      <w:r>
        <w:rPr>
          <w:rFonts w:ascii="Times New Roman" w:cs="Times New Roman" w:eastAsia="Times New Roman" w:hAnsi="Times New Roman"/>
          <w:sz w:val="16"/>
          <w:szCs w:val="16"/>
          <w:i w:val="1"/>
          <w:iCs w:val="1"/>
          <w:color w:val="auto"/>
        </w:rPr>
        <w:t>incorporation or organization)</w:t>
      </w:r>
      <w:r>
        <w:rPr>
          <w:sz w:val="20"/>
          <w:szCs w:val="20"/>
          <w:color w:val="auto"/>
        </w:rPr>
        <w:tab/>
      </w:r>
      <w:r>
        <w:rPr>
          <w:rFonts w:ascii="Times New Roman" w:cs="Times New Roman" w:eastAsia="Times New Roman" w:hAnsi="Times New Roman"/>
          <w:sz w:val="15"/>
          <w:szCs w:val="15"/>
          <w:i w:val="1"/>
          <w:iCs w:val="1"/>
          <w:color w:val="auto"/>
        </w:rPr>
        <w:t>Identification No.)</w:t>
      </w:r>
    </w:p>
    <w:p>
      <w:pPr>
        <w:spacing w:after="0" w:line="11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4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3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3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3240" w:type="dxa"/>
            <w:vAlign w:val="bottom"/>
            <w:gridSpan w:val="2"/>
          </w:tcPr>
          <w:p>
            <w:pPr>
              <w:jc w:val="center"/>
              <w:ind w:right="2040"/>
              <w:spacing w:after="0"/>
              <w:rPr>
                <w:sz w:val="20"/>
                <w:szCs w:val="20"/>
                <w:color w:val="auto"/>
              </w:rPr>
            </w:pPr>
            <w:r>
              <w:rPr>
                <w:rFonts w:ascii="Times New Roman" w:cs="Times New Roman" w:eastAsia="Times New Roman" w:hAnsi="Times New Roman"/>
                <w:sz w:val="16"/>
                <w:szCs w:val="16"/>
                <w:b w:val="1"/>
                <w:bCs w:val="1"/>
                <w:i w:val="1"/>
                <w:iCs w:val="1"/>
                <w:color w:val="auto"/>
              </w:rPr>
              <w:t>Title of each class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Trading Symbol(s)</w:t>
            </w:r>
          </w:p>
        </w:tc>
        <w:tc>
          <w:tcPr>
            <w:tcW w:w="116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4000" w:type="dxa"/>
            <w:vAlign w:val="bottom"/>
            <w:gridSpan w:val="3"/>
          </w:tcPr>
          <w:p>
            <w:pPr>
              <w:jc w:val="center"/>
              <w:ind w:right="128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ASO</w:t>
            </w:r>
          </w:p>
        </w:tc>
        <w:tc>
          <w:tcPr>
            <w:tcW w:w="11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spacing w:after="0" w:line="22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right="9940" w:firstLine="2"/>
        <w:spacing w:after="0" w:line="217" w:lineRule="exact"/>
        <w:tabs>
          <w:tab w:leader="none" w:pos="20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1" w:lineRule="exact"/>
        <w:rPr>
          <w:sz w:val="24"/>
          <w:szCs w:val="24"/>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ind w:left="65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June 3, 2026, Academy Sports and Outdoors, Inc. had 62,018,371 shares of common stock, par value $0.01 per share, outstanding.</w:t>
      </w:r>
    </w:p>
    <w:p>
      <w:pPr>
        <w:sectPr>
          <w:pgSz w:w="11900" w:h="16838" w:orient="portrait"/>
          <w:cols w:equalWidth="0" w:num="1">
            <w:col w:w="10800"/>
          </w:cols>
          <w:pgMar w:left="540" w:top="581" w:right="55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540" w:top="581" w:right="5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PART I. FINANCIAL INFORMATION</w:t>
            </w:r>
          </w:p>
        </w:tc>
        <w:tc>
          <w:tcPr>
            <w:tcW w:w="520" w:type="dxa"/>
            <w:vAlign w:val="bottom"/>
            <w:tcBorders>
              <w:right w:val="single" w:sz="8" w:color="CCEEFF"/>
            </w:tcBorders>
            <w:gridSpan w:val="2"/>
            <w:shd w:val="clear" w:color="auto" w:fill="CCEEFF"/>
          </w:tcPr>
          <w:p>
            <w:pPr>
              <w:jc w:val="center"/>
              <w:ind w:left="230"/>
              <w:spacing w:after="0" w:line="15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10"/>
          </w:tcPr>
          <w:p>
            <w:pPr>
              <w:spacing w:after="0" w:line="183"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500" w:type="dxa"/>
            <w:vAlign w:val="bottom"/>
            <w:gridSpan w:val="5"/>
          </w:tcPr>
          <w:p>
            <w:pPr>
              <w:spacing w:after="0"/>
              <w:rPr>
                <w:sz w:val="15"/>
                <w:szCs w:val="15"/>
                <w:color w:val="auto"/>
              </w:rPr>
            </w:pPr>
          </w:p>
        </w:tc>
        <w:tc>
          <w:tcPr>
            <w:tcW w:w="520" w:type="dxa"/>
            <w:vAlign w:val="bottom"/>
            <w:gridSpan w:val="2"/>
          </w:tcPr>
          <w:p>
            <w:pPr>
              <w:jc w:val="center"/>
              <w:ind w:left="230"/>
              <w:spacing w:after="0" w:line="183"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16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17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160" w:type="dxa"/>
            <w:vAlign w:val="bottom"/>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30</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8260" w:type="dxa"/>
            <w:vAlign w:val="bottom"/>
            <w:gridSpan w:val="9"/>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260" w:type="dxa"/>
            <w:vAlign w:val="bottom"/>
            <w:gridSpan w:val="9"/>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436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60" w:type="dxa"/>
            <w:vAlign w:val="bottom"/>
            <w:gridSpan w:val="3"/>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6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178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840" w:type="dxa"/>
            <w:vAlign w:val="bottom"/>
            <w:gridSpan w:val="7"/>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9000" w:type="dxa"/>
            <w:vAlign w:val="bottom"/>
            <w:gridSpan w:val="12"/>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May 2, 2026</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January 31, 2026</w:t>
            </w:r>
          </w:p>
        </w:tc>
        <w:tc>
          <w:tcPr>
            <w:tcW w:w="240" w:type="dxa"/>
            <w:vAlign w:val="bottom"/>
          </w:tcPr>
          <w:p>
            <w:pPr>
              <w:spacing w:after="0"/>
              <w:rPr>
                <w:sz w:val="20"/>
                <w:szCs w:val="20"/>
                <w:color w:val="auto"/>
              </w:rPr>
            </w:pPr>
          </w:p>
        </w:tc>
        <w:tc>
          <w:tcPr>
            <w:tcW w:w="138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May 3, 2025</w:t>
            </w:r>
          </w:p>
        </w:tc>
        <w:tc>
          <w:tcPr>
            <w:tcW w:w="0" w:type="dxa"/>
            <w:vAlign w:val="bottom"/>
          </w:tcPr>
          <w:p>
            <w:pPr>
              <w:spacing w:after="0"/>
              <w:rPr>
                <w:sz w:val="1"/>
                <w:szCs w:val="1"/>
                <w:color w:val="auto"/>
              </w:rPr>
            </w:pPr>
          </w:p>
        </w:tc>
      </w:tr>
      <w:tr>
        <w:trPr>
          <w:trHeight w:val="216"/>
        </w:trPr>
        <w:tc>
          <w:tcPr>
            <w:tcW w:w="6180" w:type="dxa"/>
            <w:vAlign w:val="bottom"/>
            <w:tcBorders>
              <w:top w:val="single" w:sz="8" w:color="CCEEFF"/>
            </w:tcBorders>
            <w:shd w:val="clear" w:color="auto" w:fill="CCEEFF"/>
          </w:tcPr>
          <w:p>
            <w:pPr>
              <w:ind w:left="27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337,810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330,320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285,104</w:t>
            </w: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Accounts receivable - less allowance for doubtful accounts of $1,209, $1,792 and</w:t>
            </w:r>
          </w:p>
        </w:tc>
        <w:tc>
          <w:tcPr>
            <w:tcW w:w="2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17,671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34,755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16,869</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$2,584, respectively</w:t>
            </w: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Merchandise inventories, net</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1,654,429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1,503,756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1,560,035</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93,249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59,757</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Assets held for sale</w:t>
            </w: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2,957</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2,957</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2,106,116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1,954,245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1,921,765</w:t>
            </w:r>
          </w:p>
        </w:tc>
        <w:tc>
          <w:tcPr>
            <w:tcW w:w="0" w:type="dxa"/>
            <w:vAlign w:val="bottom"/>
          </w:tcPr>
          <w:p>
            <w:pPr>
              <w:spacing w:after="0"/>
              <w:rPr>
                <w:sz w:val="1"/>
                <w:szCs w:val="1"/>
                <w:color w:val="auto"/>
              </w:rPr>
            </w:pPr>
          </w:p>
        </w:tc>
      </w:tr>
      <w:tr>
        <w:trPr>
          <w:trHeight w:val="96"/>
        </w:trPr>
        <w:tc>
          <w:tcPr>
            <w:tcW w:w="6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602,768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584,103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551,184</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RIGHT-OF-USE ASSETS</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1,290,110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1,234,246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1,210,516</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TRADE NAME</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579,860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579,766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579,165</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861,920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OTHER NONCURRENT ASSETS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62,826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62,756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55,873</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5,503,600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5,277,036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5,180,423</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6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826,338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637,854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849,554</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274,857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243,908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272,362</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Current lease liabilities</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152,001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147,491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137,979</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1,256,196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1,032,253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1,262,895</w:t>
            </w:r>
          </w:p>
        </w:tc>
        <w:tc>
          <w:tcPr>
            <w:tcW w:w="0" w:type="dxa"/>
            <w:vAlign w:val="bottom"/>
          </w:tcPr>
          <w:p>
            <w:pPr>
              <w:spacing w:after="0"/>
              <w:rPr>
                <w:sz w:val="1"/>
                <w:szCs w:val="1"/>
                <w:color w:val="auto"/>
              </w:rPr>
            </w:pPr>
          </w:p>
        </w:tc>
      </w:tr>
      <w:tr>
        <w:trPr>
          <w:trHeight w:val="95"/>
        </w:trPr>
        <w:tc>
          <w:tcPr>
            <w:tcW w:w="6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DEBT, NET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480,320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480,793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482,209</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LEASE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1,315,590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1,261,167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1,210,095</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 NET</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299,309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300,654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255,912</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31,219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30,792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22,080</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3,382,634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3,105,659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3,233,191</w:t>
            </w:r>
          </w:p>
        </w:tc>
        <w:tc>
          <w:tcPr>
            <w:tcW w:w="0" w:type="dxa"/>
            <w:vAlign w:val="bottom"/>
          </w:tcPr>
          <w:p>
            <w:pPr>
              <w:spacing w:after="0"/>
              <w:rPr>
                <w:sz w:val="1"/>
                <w:szCs w:val="1"/>
                <w:color w:val="auto"/>
              </w:rPr>
            </w:pPr>
          </w:p>
        </w:tc>
      </w:tr>
      <w:tr>
        <w:trPr>
          <w:trHeight w:val="76"/>
        </w:trPr>
        <w:tc>
          <w:tcPr>
            <w:tcW w:w="6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10)</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6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Preferred stock, $0.01 par value, authorized 50,000,000 shares; none issued and</w:t>
            </w:r>
          </w:p>
        </w:tc>
        <w:tc>
          <w:tcPr>
            <w:tcW w:w="240" w:type="dxa"/>
            <w:vAlign w:val="bottom"/>
          </w:tcPr>
          <w:p>
            <w:pPr>
              <w:spacing w:after="0"/>
              <w:rPr>
                <w:sz w:val="14"/>
                <w:szCs w:val="14"/>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outstanding</w:t>
            </w:r>
          </w:p>
        </w:tc>
        <w:tc>
          <w:tcPr>
            <w:tcW w:w="2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180" w:type="dxa"/>
            <w:vAlign w:val="bottom"/>
            <w:shd w:val="clear" w:color="auto" w:fill="CCEEFF"/>
          </w:tcPr>
          <w:p>
            <w:pPr>
              <w:ind w:left="240"/>
              <w:spacing w:after="0" w:line="168" w:lineRule="exact"/>
              <w:rPr>
                <w:sz w:val="20"/>
                <w:szCs w:val="20"/>
                <w:color w:val="auto"/>
              </w:rPr>
            </w:pPr>
            <w:r>
              <w:rPr>
                <w:rFonts w:ascii="Times New Roman" w:cs="Times New Roman" w:eastAsia="Times New Roman" w:hAnsi="Times New Roman"/>
                <w:sz w:val="17"/>
                <w:szCs w:val="17"/>
                <w:color w:val="auto"/>
              </w:rPr>
              <w:t>Common stock, $0.01 par value, authorized 300,000,000 shares; 63,507,116;</w:t>
            </w: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8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7"/>
                <w:szCs w:val="17"/>
                <w:color w:val="auto"/>
              </w:rPr>
              <w:t>64,945,953 and 66,466,377 issued and outstanding as of May 2, 2026, January 31,</w:t>
            </w:r>
          </w:p>
        </w:tc>
        <w:tc>
          <w:tcPr>
            <w:tcW w:w="2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2026 and May 3, 2025, respectively.</w:t>
            </w:r>
          </w:p>
        </w:tc>
        <w:tc>
          <w:tcPr>
            <w:tcW w:w="2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254,512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256,351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244,388</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Retained earnings</w:t>
            </w: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1,865,819</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1,914,377</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1,702,182</w:t>
            </w:r>
          </w:p>
        </w:tc>
        <w:tc>
          <w:tcPr>
            <w:tcW w:w="0" w:type="dxa"/>
            <w:vAlign w:val="bottom"/>
          </w:tcPr>
          <w:p>
            <w:pPr>
              <w:spacing w:after="0"/>
              <w:rPr>
                <w:sz w:val="1"/>
                <w:szCs w:val="1"/>
                <w:color w:val="auto"/>
              </w:rPr>
            </w:pPr>
          </w:p>
        </w:tc>
      </w:tr>
      <w:tr>
        <w:trPr>
          <w:trHeight w:val="221"/>
        </w:trPr>
        <w:tc>
          <w:tcPr>
            <w:tcW w:w="6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2,120,966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2,171,377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1,947,232</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5,503,600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5,277,036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5,180,423</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6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60" w:type="dxa"/>
            <w:vAlign w:val="bottom"/>
          </w:tcPr>
          <w:p>
            <w:pPr>
              <w:spacing w:after="0"/>
              <w:rPr>
                <w:sz w:val="19"/>
                <w:szCs w:val="19"/>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1,442,003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1,351,409</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962,655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892,540</w:t>
            </w:r>
          </w:p>
        </w:tc>
      </w:tr>
      <w:tr>
        <w:trPr>
          <w:trHeight w:val="223"/>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479,348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458,869</w:t>
            </w:r>
          </w:p>
        </w:tc>
      </w:tr>
      <w:tr>
        <w:trPr>
          <w:trHeight w:val="270"/>
        </w:trPr>
        <w:tc>
          <w:tcPr>
            <w:tcW w:w="6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404,693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389,604</w:t>
            </w:r>
          </w:p>
        </w:tc>
      </w:tr>
      <w:tr>
        <w:trPr>
          <w:trHeight w:val="22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74,655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69,265</w:t>
            </w:r>
          </w:p>
        </w:tc>
      </w:tr>
      <w:tr>
        <w:trPr>
          <w:trHeight w:val="270"/>
        </w:trPr>
        <w:tc>
          <w:tcPr>
            <w:tcW w:w="69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r>
      <w:tr>
        <w:trPr>
          <w:trHeight w:val="22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63,028</w:t>
            </w:r>
          </w:p>
        </w:tc>
      </w:tr>
      <w:tr>
        <w:trPr>
          <w:trHeight w:val="270"/>
        </w:trPr>
        <w:tc>
          <w:tcPr>
            <w:tcW w:w="69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16,944</w:t>
            </w:r>
          </w:p>
        </w:tc>
      </w:tr>
      <w:tr>
        <w:trPr>
          <w:trHeight w:val="248"/>
        </w:trPr>
        <w:tc>
          <w:tcPr>
            <w:tcW w:w="6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67,122</w:t>
            </w:r>
          </w:p>
        </w:tc>
      </w:tr>
      <w:tr>
        <w:trPr>
          <w:trHeight w:val="238"/>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65,945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68,170</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251" w:right="67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9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31, 2026</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64,946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256,351</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$ 1,914,377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2,171,377</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52,703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52,703</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11,100</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(1,703)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(7,626)</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(91,615)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(99,257)</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(6,026)</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$0.15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(9,646)</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2, 2026</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63,507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254,512</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$ 1,865,819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2,120,966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9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7"/>
        </w:trPr>
        <w:tc>
          <w:tcPr>
            <w:tcW w:w="608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1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6"/>
        </w:trPr>
        <w:tc>
          <w:tcPr>
            <w:tcW w:w="60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1, 2025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247,094</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$ 1,756,258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2,004,035</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$0.13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3,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244,388</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$ 1,702,182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1,947,232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60" w:type="dxa"/>
            <w:vAlign w:val="bottom"/>
          </w:tcPr>
          <w:p>
            <w:pPr>
              <w:spacing w:after="0"/>
              <w:rPr>
                <w:sz w:val="19"/>
                <w:szCs w:val="19"/>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09"/>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52,703</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46,084</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30,150</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lease expense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 compensation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w:t>
            </w: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deferred loan and other costs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(150,673)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(251,195)</w:t>
            </w:r>
          </w:p>
        </w:tc>
      </w:tr>
      <w:tr>
        <w:trPr>
          <w:trHeight w:val="230"/>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35,863</w:t>
            </w: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177,965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231,762</w:t>
            </w: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24,848</w:t>
            </w: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16,322</w:t>
            </w: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w:t>
            </w:r>
          </w:p>
        </w:tc>
      </w:tr>
      <w:tr>
        <w:trPr>
          <w:trHeight w:val="223"/>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160,606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157,472</w:t>
            </w:r>
          </w:p>
        </w:tc>
      </w:tr>
      <w:tr>
        <w:trPr>
          <w:trHeight w:val="88"/>
        </w:trPr>
        <w:tc>
          <w:tcPr>
            <w:tcW w:w="76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(50,830)</w:t>
            </w:r>
          </w:p>
        </w:tc>
      </w:tr>
      <w:tr>
        <w:trPr>
          <w:trHeight w:val="230"/>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7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(38,997)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(50,988)</w:t>
            </w:r>
          </w:p>
        </w:tc>
      </w:tr>
      <w:tr>
        <w:trPr>
          <w:trHeight w:val="34"/>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Term Loan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29"/>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(99,031)</w:t>
            </w:r>
          </w:p>
        </w:tc>
      </w:tr>
      <w:tr>
        <w:trPr>
          <w:trHeight w:val="230"/>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(9,646)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(8,716)</w:t>
            </w:r>
          </w:p>
        </w:tc>
      </w:tr>
      <w:tr>
        <w:trPr>
          <w:trHeight w:val="223"/>
        </w:trPr>
        <w:tc>
          <w:tcPr>
            <w:tcW w:w="7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(114,119)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(110,309)</w:t>
            </w:r>
          </w:p>
        </w:tc>
      </w:tr>
      <w:tr>
        <w:trPr>
          <w:trHeight w:val="34"/>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330,320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288,929</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337,810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285,104</w:t>
            </w:r>
          </w:p>
        </w:tc>
      </w:tr>
      <w:tr>
        <w:trPr>
          <w:trHeight w:val="21"/>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3,069</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20,887</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17,641</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77,414</w:t>
            </w: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 w:name="page7"/>
    <w:bookmarkEnd w:id="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ACADEMY SPORTS AND OUTDOORS, INC.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the lessee of the Company’s facilities. Our fiscal year represents the 52 or 53 weeks ending on the Saturday closest to January 31.</w:t>
      </w:r>
    </w:p>
    <w:p>
      <w:pPr>
        <w:spacing w:after="0" w:line="133"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leading full-line sporting goods and outdoor recreation retailer in the United States in terms of net sales. As of May 2, 2026, we operated 324 “Academy Sports + Outdoors” retail locations in 21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 and our mobile app.</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jc w:val="both"/>
        <w:ind w:left="34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January 31, 2026, as filed with the Securities and Exchange Commission (the “SEC”) on March 17, 2026 (the “Annual Report”). The information furnished herein reflects all normal recurring adjustments which are, in the opinion of management, necessary for a fair presentation of the results for the interim periods presented. The results of operations for the thirteen weeks ended May 2, 2026 are not necessarily indicative of the results that will be realized for the fiscal year ending January 30, 2027 or any other period. The balance sheet as of January 31, 2026 has been derived from our audited financial statements as of that date. For further information, refer to our audited financial statements and notes thereto included in the Annual Report.</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ASO, Inc. and its subsidiaries, New Academy Holding Company, LLC (“NAHC”), Academy Managing Co., L.L.C., Associated Investors, L.L.C., Academy, Ltd., the Company’s operating company, Academy International Limited, Mason Creek Insurance Co., LLC, and Academy Procurement Co., LLC. NAHC, Academy Managing Co., LLC, and Associated Investors, LLC are intermediate holding companies. All intercompany balances and transactions have been eliminated in consolidation.</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weeks ended May 3, 2025 for comparability purposes. This reclassification is in divisional presentation only and did not impact the overall net sales balances previously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4, 2024, the Company’s Board of Directors approved a share repurchase program authorizing the repurchase of up to $700 million of its outstanding shares through December 4, 2027 (the “2024 Share Repurchase Program”), which replaced the prior program. Repurchases may be effected from time to time through open market purchases, block trades, privately negotiated purchases, accelerated share repurchase programs, and/or Rule 10b5-1 plans, or other discretionary trading plans, all in compliance with the rules of the SEC and other applicable legal requirements. The timing, manner, price and amount of repurchases will depend on market conditions, share price and other factors. The 2024 Share Repurchase Program does not require the Company to repurchase any specific number of shares, and may be suspended, modified or discontinued at any time.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periods presented:</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64"/>
        </w:trPr>
        <w:tc>
          <w:tcPr>
            <w:tcW w:w="7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8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2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1,703,031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2,080,772</w:t>
            </w:r>
          </w:p>
        </w:tc>
      </w:tr>
      <w:tr>
        <w:trPr>
          <w:trHeight w:val="29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Aggregate amount paid (amounts in millions)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r>
    </w:tbl>
    <w:p>
      <w:pPr>
        <w:ind w:left="20"/>
        <w:spacing w:after="0"/>
        <w:rPr>
          <w:sz w:val="20"/>
          <w:szCs w:val="20"/>
          <w:color w:val="auto"/>
        </w:rPr>
      </w:pPr>
      <w:r>
        <w:rPr>
          <w:rFonts w:ascii="Times New Roman" w:cs="Times New Roman" w:eastAsia="Times New Roman" w:hAnsi="Times New Roman"/>
          <w:sz w:val="14"/>
          <w:szCs w:val="14"/>
          <w:color w:val="auto"/>
        </w:rPr>
        <w:t>(1) Includes excise tax fees of $0.8 million and $0.9 million for the thirteen weeks ended May 2, 2026 and May 3, 2025, respectively.</w:t>
      </w:r>
    </w:p>
    <w:p>
      <w:pPr>
        <w:spacing w:after="0" w:line="273" w:lineRule="exact"/>
        <w:rPr>
          <w:sz w:val="20"/>
          <w:szCs w:val="20"/>
          <w:color w:val="auto"/>
        </w:rPr>
      </w:pPr>
    </w:p>
    <w:p>
      <w:pPr>
        <w:ind w:right="1600" w:firstLine="401"/>
        <w:spacing w:after="0" w:line="437" w:lineRule="auto"/>
        <w:rPr>
          <w:sz w:val="20"/>
          <w:szCs w:val="20"/>
          <w:color w:val="auto"/>
        </w:rPr>
      </w:pPr>
      <w:r>
        <w:rPr>
          <w:rFonts w:ascii="Times New Roman" w:cs="Times New Roman" w:eastAsia="Times New Roman" w:hAnsi="Times New Roman"/>
          <w:sz w:val="18"/>
          <w:szCs w:val="18"/>
          <w:color w:val="auto"/>
        </w:rPr>
        <w:t xml:space="preserve">As of May 2, 2026, we had $338.2 million available for share repurchases pursuant to the 2024 Share Repurchase Program. </w:t>
      </w:r>
      <w:r>
        <w:rPr>
          <w:rFonts w:ascii="Times New Roman" w:cs="Times New Roman" w:eastAsia="Times New Roman" w:hAnsi="Times New Roman"/>
          <w:sz w:val="18"/>
          <w:szCs w:val="18"/>
          <w:b w:val="1"/>
          <w:bCs w:val="1"/>
          <w:i w:val="1"/>
          <w:iCs w:val="1"/>
          <w:color w:val="auto"/>
        </w:rPr>
        <w:t>Recent Accounting Pronouncements</w:t>
      </w: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disclosures about specific types of expenses included in the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captions presented on the face of the income statement as well as disclosures about selling expenses. The new guidance is effective for annual reporting periods beginning after December 15, 2026, and interim reporting periods beginning after December 15, 2027. The requirements will be applied prospectively with the option for retrospective application. The Company is evaluating the impact of adopting ASU 2024-03 on its consolidated financial statements.</w:t>
      </w:r>
    </w:p>
    <w:p>
      <w:pPr>
        <w:spacing w:after="0" w:line="12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requires removal of all references to prescriptive and sequential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stages. The new guidance is effective for annual reporting periods beginning after December 15, 2027, and interim reporting periods within those annual reporting periods, and should be applied on a prospective transition approach, a modified transition approach, or a retrospective transition approach. The Company is evaluating the impact of adopting ASU 2025-06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89" w:right="339" w:bottom="1440" w:gutter="0" w:footer="0" w:header="0"/>
        </w:sectPr>
      </w:pPr>
    </w:p>
    <w:bookmarkStart w:id="8" w:name="page9"/>
    <w:bookmarkEnd w:id="8"/>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provides clarification of current interim disclosure requirements. The new guidance is effective for interim reporting periods within annual reporting periods beginning after December 15, 2027, and should be applied either prospectively or retrospectively to periods presented. The Company is evaluating the impact of adopting ASU 2025-11 on its condensed consolidated financial statements.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Sales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40" w:type="dxa"/>
            <w:vAlign w:val="bottom"/>
          </w:tcPr>
          <w:p>
            <w:pPr>
              <w:spacing w:after="0"/>
              <w:rPr>
                <w:sz w:val="19"/>
                <w:szCs w:val="19"/>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09"/>
        </w:trPr>
        <w:tc>
          <w:tcPr>
            <w:tcW w:w="73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Outdoors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427,351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382,554</w:t>
            </w:r>
          </w:p>
        </w:tc>
      </w:tr>
      <w:tr>
        <w:trPr>
          <w:trHeight w:val="230"/>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Sports and recreation</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355,945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335,064</w:t>
            </w: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Apparel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348,347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332,644</w:t>
            </w:r>
          </w:p>
        </w:tc>
      </w:tr>
      <w:tr>
        <w:trPr>
          <w:trHeight w:val="22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Footwear</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300,812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292,691</w:t>
            </w:r>
          </w:p>
        </w:tc>
      </w:tr>
      <w:tr>
        <w:trPr>
          <w:trHeight w:val="223"/>
        </w:trPr>
        <w:tc>
          <w:tcPr>
            <w:tcW w:w="7360" w:type="dxa"/>
            <w:vAlign w:val="bottom"/>
          </w:tcPr>
          <w:p>
            <w:pPr>
              <w:ind w:left="440"/>
              <w:spacing w:after="0" w:line="223" w:lineRule="exact"/>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1,432,455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1,342,953</w:t>
            </w:r>
          </w:p>
        </w:tc>
      </w:tr>
      <w:tr>
        <w:trPr>
          <w:trHeight w:val="229"/>
        </w:trPr>
        <w:tc>
          <w:tcPr>
            <w:tcW w:w="7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w:t>
            </w:r>
          </w:p>
        </w:tc>
      </w:tr>
      <w:tr>
        <w:trPr>
          <w:trHeight w:val="223"/>
        </w:trPr>
        <w:tc>
          <w:tcPr>
            <w:tcW w:w="7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1,442,003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1,351,409</w:t>
            </w:r>
          </w:p>
        </w:tc>
      </w:tr>
      <w:tr>
        <w:trPr>
          <w:trHeight w:val="21"/>
        </w:trPr>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500" w:hanging="248"/>
        <w:spacing w:after="0" w:line="261" w:lineRule="auto"/>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weeks ended May 3, 2025, for comparability purposes. This reclassification is in divisional presentation only and did not impact the overall net sales balances previously disclosed.</w:t>
      </w:r>
    </w:p>
    <w:p>
      <w:pPr>
        <w:ind w:left="460" w:hanging="208"/>
        <w:spacing w:after="0"/>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E-commerce sales represented 11.0% and 10.0% of merchandise sales for the thirteen weeks ended May 2, 2026 and May 3, 2025, respectively.</w:t>
      </w:r>
    </w:p>
    <w:p>
      <w:pPr>
        <w:spacing w:after="0" w:line="14" w:lineRule="exact"/>
        <w:rPr>
          <w:rFonts w:ascii="Times New Roman" w:cs="Times New Roman" w:eastAsia="Times New Roman" w:hAnsi="Times New Roman"/>
          <w:sz w:val="14"/>
          <w:szCs w:val="14"/>
          <w:color w:val="auto"/>
        </w:rPr>
      </w:pPr>
    </w:p>
    <w:p>
      <w:pPr>
        <w:ind w:left="460" w:hanging="208"/>
        <w:spacing w:after="0"/>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sales consisted primarily of the gift card breakage income, credit card bounties and royalties, shipping income, sales return allowance and other items.</w:t>
      </w:r>
    </w:p>
    <w:p>
      <w:pPr>
        <w:spacing w:after="0" w:line="168"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The gift cards we sell have no expiration dates. A liability for gift cards, which is recorded in Accrued Expenses and Other Current Liabilities on our Condensed Consolidated Balance Sheets, is established at the time of sale and revenues are recognized as the gift cards are redeemed in stores or on our website. Based on historical gift card redemption patterns, we believe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129"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7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6"/>
        </w:trPr>
        <w:tc>
          <w:tcPr>
            <w:tcW w:w="7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40" w:type="dxa"/>
            <w:vAlign w:val="bottom"/>
          </w:tcPr>
          <w:p>
            <w:pPr>
              <w:spacing w:after="0"/>
              <w:rPr>
                <w:sz w:val="19"/>
                <w:szCs w:val="19"/>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23"/>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99,558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96,469</w:t>
            </w:r>
          </w:p>
        </w:tc>
      </w:tr>
      <w:tr>
        <w:trPr>
          <w:trHeight w:val="223"/>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19,909</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Redeemed</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(29,940)</w:t>
            </w:r>
          </w:p>
        </w:tc>
      </w:tr>
      <w:tr>
        <w:trPr>
          <w:trHeight w:val="230"/>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88,590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26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6"/>
        </w:trPr>
        <w:tc>
          <w:tcPr>
            <w:tcW w:w="26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260" w:type="dxa"/>
            <w:vAlign w:val="bottom"/>
          </w:tcPr>
          <w:p>
            <w:pPr>
              <w:spacing w:after="0"/>
              <w:rPr>
                <w:sz w:val="22"/>
                <w:szCs w:val="22"/>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Facility, due March 2029</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November 2027</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w:t>
            </w:r>
          </w:p>
        </w:tc>
      </w:tr>
      <w:tr>
        <w:trPr>
          <w:trHeight w:val="230"/>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November 2027</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488,000</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on Term Loan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480,320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482,209</w:t>
            </w:r>
          </w:p>
        </w:tc>
      </w:tr>
      <w:tr>
        <w:trPr>
          <w:trHeight w:val="20"/>
        </w:trPr>
        <w:tc>
          <w:tcPr>
            <w:tcW w:w="2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Deferred loan costs are related to the Term Loan and Notes.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ABL Facility</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Academy, Ltd., as borrower, and certain wholly-owned subsidiaries, as guarantors, entered into an asset-based revolving $1 billion credit facility, dated March 8, 2024, with JPMorgan Chase Bank, N.A., as the administrative agent and collateral agent and other lenders party thereto (as amended to date, the “ABL Facility”). Borrowings, if any, under the ABL Facility bear interest, at our election, at adjusted term secured overnight financing rate (“Adjusted Term SOFR”) plus a margin of 1.25% to 1.75%. The ABL Facility also provides a fee applicable to the unused commitments of 0.375%. The terms and conditions of the ABL Facility also require that we prepay outstanding loans under the ABL Facility under certain circumstances. As of May 2, 2026, no future prepayments of outstanding loans have been triggered under the terms and conditions of the ABL Facility.</w:t>
      </w:r>
    </w:p>
    <w:p>
      <w:pPr>
        <w:spacing w:after="0" w:line="133"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As of May 2, 2026, we had outstanding letters of credit of approximately $7.6 million, all of which were issued under the ABL Facility, and we had no borrowings outstanding, leaving an available borrowing capacity under the ABL Facility of $992.4 million.</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Academy, Ltd., as borrower, together with certain wholly-owned subsidiaries, as guarantors, entered into a seven-year $400 million senior secured term loan with UBS AG, Stamford Branch (as successor to Credit Suisse AG, Cayman Island Branch), as the administrative agent and collateral agent, the several other lenders, and the parties named therein on November 6, 2020 (as amended to date, the “Term Loan”). Borrowings under the Term Loan bore interest at Adjusted Term SOFR with a floor of 0.75% rate plus a margin of 3.75%. As of May 2, 2026, the weighted average interest rate was 7.53%, with interest payable monthly. Quarterly principal payments of $750.0 thousand are required through September 30, 2027 and borrowings mature on November 6, 2027. As of May 2, 2026, no prepayment was due under the terms and conditions of the Term Loan.</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On November 6, 2020, Academy, Ltd., issued $400 million of 6.00% senior secured notes which are due November 15, 2027 (the “Notes”), pursuant to an indenture, dated as of November 6, 2020, with the subsidiary guarantors named therein and The Bank of New York Mellon Trust Company, N.A., as trustee and collateral agent. The Notes require cash interest payments semi-annually in arrears on May 15 and November 15 of each year at a rate of 6.00% per year, which commenced on May 15, 2021.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p>
    <w:p>
      <w:pPr>
        <w:spacing w:after="0" w:line="175"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The ABL Facility, Term Loan and Notes agreements contain covenants, including, among other things, covenants that may restrict Academy, Ltd.'s and certain of the Company’s subsidiaries’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May 2, 2026.</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71" w:lineRule="exact"/>
        <w:rPr>
          <w:sz w:val="20"/>
          <w:szCs w:val="20"/>
          <w:color w:val="auto"/>
        </w:rPr>
      </w:pPr>
    </w:p>
    <w:p>
      <w:pPr>
        <w:ind w:left="900" w:hanging="324"/>
        <w:spacing w:after="0" w:line="281"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1" w:lineRule="exact"/>
        <w:rPr>
          <w:rFonts w:ascii="Times New Roman" w:cs="Times New Roman" w:eastAsia="Times New Roman" w:hAnsi="Times New Roman"/>
          <w:sz w:val="18"/>
          <w:szCs w:val="18"/>
          <w:color w:val="auto"/>
        </w:rPr>
      </w:pPr>
    </w:p>
    <w:p>
      <w:pPr>
        <w:jc w:val="both"/>
        <w:ind w:left="900" w:hanging="324"/>
        <w:spacing w:after="0" w:line="266"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3" w:lineRule="exact"/>
        <w:rPr>
          <w:rFonts w:ascii="Times New Roman" w:cs="Times New Roman" w:eastAsia="Times New Roman" w:hAnsi="Times New Roman"/>
          <w:sz w:val="18"/>
          <w:szCs w:val="18"/>
          <w:color w:val="auto"/>
        </w:rPr>
      </w:pPr>
    </w:p>
    <w:p>
      <w:pPr>
        <w:ind w:left="900" w:hanging="324"/>
        <w:spacing w:after="0" w:line="282"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08"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As of May 2, 2026, January 31, 2026 and May 3, 2025, we held $270.9 million, $277.7 million and $227.5 million in money market funds, respectively.</w:t>
      </w:r>
    </w:p>
    <w:p>
      <w:pPr>
        <w:spacing w:after="0" w:line="122"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May 2, 2026, January 31, 2026, and May 3, 2025, the estimated fair value of the Term Loan and Notes was $0.5 billion, $0.5 billion and $0.5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69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8"/>
        </w:trPr>
        <w:tc>
          <w:tcPr>
            <w:tcW w:w="2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260" w:type="dxa"/>
            <w:vAlign w:val="bottom"/>
          </w:tcPr>
          <w:p>
            <w:pPr>
              <w:spacing w:after="0"/>
              <w:rPr>
                <w:sz w:val="24"/>
                <w:szCs w:val="24"/>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23"/>
        </w:trPr>
        <w:tc>
          <w:tcPr>
            <w:tcW w:w="260" w:type="dxa"/>
            <w:vAlign w:val="bottom"/>
          </w:tcPr>
          <w:p>
            <w:pPr>
              <w:spacing w:after="0"/>
              <w:rPr>
                <w:sz w:val="19"/>
                <w:szCs w:val="19"/>
                <w:color w:val="auto"/>
              </w:rPr>
            </w:pPr>
          </w:p>
        </w:tc>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787,340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692,337</w:t>
            </w:r>
          </w:p>
        </w:tc>
      </w:tr>
      <w:tr>
        <w:trPr>
          <w:trHeight w:val="229"/>
        </w:trPr>
        <w:tc>
          <w:tcPr>
            <w:tcW w:w="2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794,879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745,463</w:t>
            </w:r>
          </w:p>
        </w:tc>
      </w:tr>
      <w:tr>
        <w:trPr>
          <w:trHeight w:val="230"/>
        </w:trPr>
        <w:tc>
          <w:tcPr>
            <w:tcW w:w="2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480,128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439,776</w:t>
            </w:r>
          </w:p>
        </w:tc>
      </w:tr>
      <w:tr>
        <w:trPr>
          <w:trHeight w:val="229"/>
        </w:trPr>
        <w:tc>
          <w:tcPr>
            <w:tcW w:w="2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49,736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62,099</w:t>
            </w:r>
          </w:p>
        </w:tc>
      </w:tr>
      <w:tr>
        <w:trPr>
          <w:trHeight w:val="229"/>
        </w:trPr>
        <w:tc>
          <w:tcPr>
            <w:tcW w:w="2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w:t>
            </w:r>
          </w:p>
        </w:tc>
      </w:tr>
      <w:tr>
        <w:trPr>
          <w:trHeight w:val="223"/>
        </w:trPr>
        <w:tc>
          <w:tcPr>
            <w:tcW w:w="2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2,124,047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2,075,466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1,955,685</w:t>
            </w:r>
          </w:p>
        </w:tc>
      </w:tr>
      <w:tr>
        <w:trPr>
          <w:trHeight w:val="229"/>
        </w:trPr>
        <w:tc>
          <w:tcPr>
            <w:tcW w:w="2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(1,521,279)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(1,491,363)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(1,404,501)</w:t>
            </w:r>
          </w:p>
        </w:tc>
      </w:tr>
      <w:tr>
        <w:trPr>
          <w:trHeight w:val="223"/>
        </w:trPr>
        <w:tc>
          <w:tcPr>
            <w:tcW w:w="2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602,768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584,103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551,184</w:t>
            </w:r>
          </w:p>
        </w:tc>
      </w:tr>
      <w:tr>
        <w:trPr>
          <w:trHeight w:val="20"/>
        </w:trPr>
        <w:tc>
          <w:tcPr>
            <w:tcW w:w="2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Depreciation expense was $30.8 million and $30.2 million in the thirteen weeks ended May 2, 2026 and May 3, 2025, respectively.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870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280" w:type="dxa"/>
            <w:vAlign w:val="bottom"/>
          </w:tcPr>
          <w:p>
            <w:pPr>
              <w:spacing w:after="0"/>
              <w:rPr>
                <w:sz w:val="24"/>
                <w:szCs w:val="24"/>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23"/>
        </w:trPr>
        <w:tc>
          <w:tcPr>
            <w:tcW w:w="260" w:type="dxa"/>
            <w:vAlign w:val="bottom"/>
          </w:tcPr>
          <w:p>
            <w:pPr>
              <w:spacing w:after="0"/>
              <w:rPr>
                <w:sz w:val="19"/>
                <w:szCs w:val="19"/>
                <w:color w:val="auto"/>
              </w:rPr>
            </w:pPr>
          </w:p>
        </w:tc>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w:t>
            </w:r>
          </w:p>
        </w:tc>
      </w:tr>
      <w:tr>
        <w:trPr>
          <w:trHeight w:val="229"/>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52,467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48,418</w:t>
            </w:r>
          </w:p>
        </w:tc>
      </w:tr>
      <w:tr>
        <w:trPr>
          <w:trHeight w:val="230"/>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r>
      <w:tr>
        <w:trPr>
          <w:trHeight w:val="230"/>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use tax</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w:t>
            </w:r>
          </w:p>
        </w:tc>
      </w:tr>
      <w:tr>
        <w:trPr>
          <w:trHeight w:val="230"/>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r>
      <w:tr>
        <w:trPr>
          <w:trHeight w:val="229"/>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92,377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89,426</w:t>
            </w:r>
          </w:p>
        </w:tc>
      </w:tr>
      <w:tr>
        <w:trPr>
          <w:trHeight w:val="230"/>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22,412</w:t>
            </w:r>
          </w:p>
        </w:tc>
      </w:tr>
      <w:tr>
        <w:trPr>
          <w:trHeight w:val="230"/>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27,413</w:t>
            </w:r>
          </w:p>
        </w:tc>
      </w:tr>
      <w:tr>
        <w:trPr>
          <w:trHeight w:val="230"/>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r>
      <w:tr>
        <w:trPr>
          <w:trHeight w:val="229"/>
        </w:trPr>
        <w:tc>
          <w:tcPr>
            <w:tcW w:w="260" w:type="dxa"/>
            <w:vAlign w:val="bottom"/>
          </w:tcPr>
          <w:p>
            <w:pPr>
              <w:spacing w:after="0"/>
              <w:rPr>
                <w:sz w:val="19"/>
                <w:szCs w:val="19"/>
                <w:color w:val="auto"/>
              </w:rPr>
            </w:pPr>
          </w:p>
        </w:tc>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29,983</w:t>
            </w:r>
          </w:p>
        </w:tc>
      </w:tr>
      <w:tr>
        <w:trPr>
          <w:trHeight w:val="248"/>
        </w:trPr>
        <w:tc>
          <w:tcPr>
            <w:tcW w:w="26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274,857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272,362</w:t>
            </w:r>
          </w:p>
        </w:tc>
      </w:tr>
      <w:tr>
        <w:trPr>
          <w:trHeight w:val="20"/>
        </w:trPr>
        <w:tc>
          <w:tcPr>
            <w:tcW w:w="26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75"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Omnibus Incentive Plan (the “2020 Omnibus Incentive Plan”), which provides for the grant of certain equity incentive awards (each, an “Award”) and became effective on October 1, 2020. The plan reserved a total of 5,150,000 shares of common stock for issuance. On June 1, 2023, our stockholders approved the First Amendment to the 2020 Omnibus Incentive Plan, which, among other changes, increased the number of shares available for issuance thereunder by 2,600,000 shares. As of May 2, 2026, there were 2,932,607 shares that were authorized and available for future issuance under the 2020 Omnibus Incentive Plan.</w:t>
      </w:r>
    </w:p>
    <w:p>
      <w:pPr>
        <w:spacing w:after="0" w:line="129"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Employee Stock Purchase Plan (the “ESPP”), which became effective on October 1, 2020. We have reserved a total of 2,000,000 shares and as of May 2, 2026, there were 1,342,080 shares authorized and available for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2" w:name="page13"/>
    <w:bookmarkEnd w:id="12"/>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Equity compensation expense was $11.1 million and $7.5 million for the thirteen weeks ended May 2, 2026 and May 3, 2025, respectively. These costs are included in selling, general and administrative expenses in the Condensed Consolidated Statements of Income. For Award grants during the periods presented, for team members that meet the age and service requirement for retirement eligibility (as defined in the award agreement), such Awards do not require the continued employment of the team member for vesting eligibility. In such cases, expensing of Awards is accelerated through the retirement eligibility date.</w:t>
      </w:r>
    </w:p>
    <w:p>
      <w:pPr>
        <w:spacing w:after="0" w:line="3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Award grants during the thirteen weeks ended May 2, 2026:</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7"/>
                <w:szCs w:val="17"/>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r>
      <w:tr>
        <w:trPr>
          <w:trHeight w:val="241"/>
        </w:trPr>
        <w:tc>
          <w:tcPr>
            <w:tcW w:w="6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0"/>
                <w:szCs w:val="20"/>
                <w:color w:val="auto"/>
              </w:rPr>
            </w:pPr>
          </w:p>
        </w:tc>
        <w:tc>
          <w:tcPr>
            <w:tcW w:w="2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Stock Units</w:t>
            </w:r>
          </w:p>
        </w:tc>
      </w:tr>
      <w:tr>
        <w:trPr>
          <w:trHeight w:val="225"/>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4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225,083</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Award</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Award</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3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 as of May 2, 2026:</w:t>
      </w:r>
    </w:p>
    <w:p>
      <w:pPr>
        <w:spacing w:after="0" w:line="266"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7"/>
                <w:szCs w:val="17"/>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1"/>
                <w:szCs w:val="21"/>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175,210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47,062,930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10,122,760</w:t>
            </w: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life remaining in years</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Common Share</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3"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weighted average common shares outstanding and basic and diluted earnings per common share are calculated as follows (amounts in thousands, except per share amounts):</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19"/>
                <w:szCs w:val="19"/>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46,084</w:t>
            </w:r>
          </w:p>
        </w:tc>
      </w:tr>
      <w:tr>
        <w:trPr>
          <w:trHeight w:val="88"/>
        </w:trPr>
        <w:tc>
          <w:tcPr>
            <w:tcW w:w="7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67,122</w:t>
            </w:r>
          </w:p>
        </w:tc>
      </w:tr>
      <w:tr>
        <w:trPr>
          <w:trHeight w:val="230"/>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Service Restricted Units and Service Restricted Stock Units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Performance Restricted Stock Units</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30"/>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Performance Unit Options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ESPP Shares</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108"/>
        </w:trPr>
        <w:tc>
          <w:tcPr>
            <w:tcW w:w="7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stock-based awards excluded from diluted calculation</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bl>
    <w:p>
      <w:pPr>
        <w:spacing w:after="0" w:line="200" w:lineRule="exact"/>
        <w:rPr>
          <w:sz w:val="20"/>
          <w:szCs w:val="20"/>
          <w:color w:val="auto"/>
        </w:rPr>
      </w:pPr>
    </w:p>
    <w:p>
      <w:pPr>
        <w:sectPr>
          <w:pgSz w:w="11900" w:h="16838" w:orient="portrait"/>
          <w:cols w:equalWidth="0" w:num="1">
            <w:col w:w="11160"/>
          </w:cols>
          <w:pgMar w:left="40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Technology Related and Other Commitments</w:t>
      </w:r>
    </w:p>
    <w:p>
      <w:pPr>
        <w:spacing w:after="0" w:line="175"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As of May 2, 2026, we have obligations under technology-related, construction and other contractual commitments in the amount of $234.3 million. Of such commitments, approximately $127.0 million is payable in the next 12 months.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75"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During 2025, the Company entered into an agreement to sell a portion of the rights to potential tariff relief litigation claims, which was determined to be accounted for under ASC 470. As of May 2, 2026, the $10.5 million proceeds from the sale are recorded within Other Long-term Liabilities on the Condensed Consolidated Balance Sheets. In February 2026, the Supreme Court issued a ruling striking down certain tariffs previously imposed under the International Emergency Economic Powers Act. As of May 2, 2026, the Company has not recognized a receivable for tariff refund claims or released the $10.5 million of proceeds mentioned above from the Condensed Consolidated Balance Sheet, as the refunds were not realized or realizable and remain subject to further legal, regulatory, and administrative developments. To the extent any tariff refunds are realized or realizable, the Company does not expect to receive refunds associated with the portion of rights sold.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7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negligence, and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w:t>
      </w:r>
    </w:p>
    <w:p>
      <w:pPr>
        <w:spacing w:after="0" w:line="138"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We are not currently party to any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75"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The Company’s retail operations represent one operating segment and one reportable segment, which derives revenues from customers by selling full-line sporting goods and outdoor recreational products. The Company’s retail stores and online selling channels sell similar products and services, use similar selling processes, and sell to similar classes of customers. See Note 1 to the consolidated financial statements for information related to the products and services offered as well as business operations. The accounting policies of the Company’s single reportable segment are the same as those described in the summary of significant accounting policies in Note 2 to the consolidated financial statements. All intercompany transactions within the single reportable segment are eliminated upon consolidation.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 w:name="page15"/>
    <w:bookmarkEnd w:id="14"/>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(the “CODM”) is the Chief Executive Officer. The CODM allocates resources and assesses performance at a Company level using consolidated net income, which is a GAAP measure, as reported on the Condensed Consolidated Statements of Income. The CODM evaluates the Company's assets as reported on the Company's Condensed Consolidated Balance Sheets. The CODM evaluates significant segment expenses and makes decisions about the retail business based on the cost of goods we sell and the selling, general, and administrative expenses needed to sell those goods as reported on the Condensed Consolidated Statements of Income. See the Company’s consolidated financial statements included in Part I Item 1 for more information.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75"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May 2, 2026 through June 10, 2026 (the date the consolidated financial statements were issued), and identified the following events: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Debt Refinancing</w:t>
      </w:r>
    </w:p>
    <w:p>
      <w:pPr>
        <w:spacing w:after="0" w:line="17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On May 14, 2026, Academy, Ltd., a wholly-owned subsidiary of the Company (the “Issuer”), completed a refinancing transaction that included (i) the issuance of the 2026 Senior Secured Notes (as defined below) and (ii) an amendment to its asset-based revolving credit facility (the “ABL Facility”). The Company used the net proceeds from the 2026 Senior Secured Notes to fully redeem the Notes, repay the Term Loan in full, pay related fees and expenses, and for general corporate purposes.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2026 Senior Secured Notes</w:t>
      </w:r>
    </w:p>
    <w:p>
      <w:pPr>
        <w:spacing w:after="0" w:line="173"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On May 14, 2026, the Issuer issued $500 million aggregate principal amount of its 5.875% Senior Secured Notes due 2031 (the “2026 Senior Secured Notes”) in a private placement pursuant to Rule 144A and Regulation S under the Securities Act of 1933, as amended (the “Securities Act”). The 2026 Senior Secured Notes are secured by first-priority liens on substantially all personal property of the Issuer and the guarantors (other than ABL Priority Collateral (as defined in the ABL Amendment, see below)) and by second-priority liens on ABL Priority Collateral, in each case subject to permitted liens. The 2026 Senior Secured Notes are governed by an Indenture, dated as of May 14, 2026 (the “Indenture”) among the Issuer, the guarantors party thereto and U.S. Bank Trust Company, National Association, as trustee. The 2026 Senior Secured Notes will mature on May 15, 2031. Interest on the 2026 Senior Secured Notes is payable semi-annually in arrears on November 15 and May 15 of each year, beginning on November 15, 2026.</w:t>
      </w:r>
    </w:p>
    <w:p>
      <w:pPr>
        <w:spacing w:after="0" w:line="138"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2026 Senior Secured Notes are redeemable, at Issuer’s option, prior to maturity at customary redemption prices (including “make-whole” provisions prior to May 15, 2028) and, thereafter, at the declining redemption prices set forth below, in each case plus accrued and unpaid interest. The Issuer may also redeem up to 40% of the aggregate principal amount of the 2026 Senior Secured Notes prior to May 15, 2028 with proceeds of certain equity offerings, as described in the Indenture.</w:t>
      </w:r>
    </w:p>
    <w:tbl>
      <w:tblPr>
        <w:tblLayout w:type="fixed"/>
        <w:tblInd w:w="340" w:type="dxa"/>
        <w:tblCellMar>
          <w:top w:w="0" w:type="dxa"/>
          <w:left w:w="0" w:type="dxa"/>
          <w:bottom w:w="0" w:type="dxa"/>
          <w:right w:w="0" w:type="dxa"/>
        </w:tblCellMar>
      </w:tblPr>
      <w:tr>
        <w:trPr>
          <w:trHeight w:val="238"/>
        </w:trPr>
        <w:tc>
          <w:tcPr>
            <w:tcW w:w="856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102.938 %</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101.469 %</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38"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Upon the occurrence of certain events constituting a Change of Control (as defined in the Indenture), the Issuer must offer to repurchase the 2026 Senior Secured Notes at 101% of the principal amount, plus accrued and unpaid interest.</w:t>
      </w:r>
    </w:p>
    <w:p>
      <w:pPr>
        <w:spacing w:after="0" w:line="108"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Indenture contains certain covenants that, among other things, restrict the ability of the Issuer and its restricted subsidiaries to: (i) incur or guarantee additional indebtedness; (ii) incur liens on assets; (iii) make restricted payments; (iv) prepay certain debt; (v) make investments; (vi) enter into affiliate transactions; (vii) restrict subsidiaries distributions/dividends; and (viii) sell or transfer certain assets or merge or consolidate, in each case subject to customary exceptions and qualifications as set forth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i w:val="1"/>
          <w:iCs w:val="1"/>
          <w:color w:val="auto"/>
        </w:rPr>
        <w:t>ABL Amendment</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14, 2026, the Issuer, as borrower, New Academy Holding Company, LLC, Associated Investors, L.L.C., Academy Managing Co., L.L.C., and Academy Procurement Co., LLC, each a direct or indirect, wholly-owned subsidiary of the Company, as guarantors, entered into an amendment (the “ABL Amendment”) to the ABL Facility, which the ABL Amendment, among other things (i) extended the maturity of the ABL Facility to May 14, 2031, (ii) modified the Average Excess Availability (as defined in the ABL Facility) pricing grid used in determining the interest rate margin on borrowings under the ABL Facility, (iii) modified the Commitment Fee Rate (as defined in the ABL Facility), when the Average Excess Availability is greater than or equal to 50% of the Maximum Borrowing Amount (as defined in the ABL Facility) and (iv) so long as the 2026 Senior Secured Notes are outstanding and mature on or prior to the latest maturity date of the ABL Facility, permits the agent under the ABL Facility to take a reserve against the ABL Facility equal to the aggregate principal amount of the 2026 Senior Secured Notes in excess of $100 million outstanding on the date that is ninety-one (91) days prior to the latest maturity date of the ABL Facility.</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2020 Notes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14, 2026, the Issuer used the net proceeds from the 2026 Senior Secured Notes to fund the redemption of all of its outstanding 6.00% senior secured notes due November 15, 2027 of $400 million.</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2020 Term Loan</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May 14, 2026, the Issuer voluntarily prepaid all outstanding amounts owed under the Term Loan of $85 million. As a result, all related guarantees and liens were released.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June 4, 2026, the Company's Board of Directors declared a quarterly cash dividend with respect to the fiscal quarter ended May 2, 2026, of $0.15 per share of the Company's common stock, payable on July 16, 2026, to stockholders of record as of the close of business on June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33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in the section entitled “Management’s Discussion and Analysis of Financial Condition and Results of Operations” and in the section entitled Part II, Item 1A.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the section entitled “Risk Factors” in the Company’s Annual Report, as such risk factors may be updated from time to time in our periodic filings with the Securities and Exchange Commission, or SEC, and are accessible on the SEC's website at www.sec.gov.</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securities speculative or risky (all of which are more fully described in the section entitled Part I, Item 1A. “Risk Factors” in the Annual Report, as the same may be updated by subsequent Forms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6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 which exposes us to various international risks, including additional tariffs;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use of machine learning and other types of artificial intelligence in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inventory balances;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70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and/or to acquire and sell brand name merchandise at competitive prices;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ind w:left="660" w:right="2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train and retain quality team members in sufficient numbers, increases in wage and labor costs, and changes in laws and other labor issues;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inventory shrink;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(including raw materials) costs and availability;</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(including our executive officers) to support our existing business and future initiatives;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suppliers to supply us with merchandise that we purchase for resale;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private label brand merchandise;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 and</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67" w:lineRule="exact"/>
        <w:rPr>
          <w:sz w:val="20"/>
          <w:szCs w:val="20"/>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or indemnities coverage may be insufficient;</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product safety; and</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67" w:lineRule="exact"/>
        <w:rPr>
          <w:sz w:val="20"/>
          <w:szCs w:val="20"/>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related debt service payments and our ability to generate sufficient cash flow to satisfy all of our obligations under our indebtedness;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substantially more debt;</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to service all of our indebtedness;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current and future operations imposed by the terms of our indebtedness;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the ABL Facility (as defined above); and</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may hinder our ability to negotiate favorable terms with our vendors.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6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or may decline;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decision to pay dividends on our common stock or conduct stock repurchases;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could delay or prevent a change of control;</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exclusive forum provision; and</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diluted by any future issuances of shares by us.</w:t>
      </w:r>
    </w:p>
    <w:p>
      <w:pPr>
        <w:spacing w:after="0" w:line="1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8" w:name="page19"/>
    <w:bookmarkEnd w:id="18"/>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financial statements and related notes included elsewhere in this Quarterly Report for the thirteen weeks ended May 2, 2026 and our audited financial statements for the fiscal year ended January 31, 2026 and the section entitled “Management's Discussion and Analysis of Financial Condition and Results of Operations” included in the Annual Report.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All references to “Academy,” “Academy Sports + Outdoors,” “ASO, Inc.,” “we,” “us,” “our” or the “Company” in this Quarterly Report refer to Academy Sports and Outdoors, Inc., a Delaware corporation and the current parent holding company of our operations, and its consolidated subsidiaries. We conduct our operations primarily through our indirect subsidiary, Academy, Ltd., a Texas limited partnership doing business as “Academy Sports + Outdoors”, or Academy, Ltd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All of the Company's sales and business operations occur at Academy, Ltd., and Academy, Ltd., is also the borrower and/or issuer of the Company's long-term debt and lessee of facilities.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the “current quarter,” “2026 first quarter,” or similar reference refers to the thirteen week period ended May 2, 2026, and any reference to the “prior year quarter,” “2025 first quarter” or similar reference refers to the thirteen week period ended May 3, 2025. Unless otherwise specified, all comparisons regarding the current period of 2026 are made to the corresponding period of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leading full-line sporting goods and outdoor recreation retailer in the United States. Our mission is to provide “Fun for All”, and we fulfill this mission with a localized merchandising strategy and value proposition that deeply connect with a broad range of consumers. Our product assortment focuses on key categories of outdoor, sports and recreation, apparel, and footwear (representing 30%, 25%, 24%, and 21% of our 2026 first quarter net sales, respectively) through both leading national brands and a portfolio of private label brands, which go well beyond traditional sporting goods and apparel offerings.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May 2, 2026, we operated 324 stores that range in size from approximately 40,000 to 130,000 gross square feet, with an average size of approximately 70,000 gross square feet, throughout 21 contiguous states located primarily in the southern United States. Our stores are supported by approximately 22,000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p>
      <w:pPr>
        <w:spacing w:after="0" w:line="208"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stores</w:t>
            </w: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Q1 new stores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4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stores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38"/>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Relocated stores</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Tariffs and Other Macroeconomic Trends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continue to monitor global macroeconomic trends and uncertainties such as inflation, existing and potential tariffs, and other shifting trade policies, which have impacted consumer spending and could adversely affect our ability to grow sales and merchandise margin. The impact of the evolving macroeconomic environment on our financial results is uncertain. We have worked diligently to mitigate the impact of tariffs on our business. We are closely monitoring the evolving environment with respect to tariffs and other trade policy developments and will continue to adjust plans as needed, including, but not limited to, inventory purchase quantities and timing, strategic pricing and promotional adjustments to maintain value for our customers, diversifying sourcing to shift country of origin, and vendor negotiations.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1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Sales. </w:t>
      </w:r>
      <w:r>
        <w:rPr>
          <w:rFonts w:ascii="Times New Roman" w:cs="Times New Roman" w:eastAsia="Times New Roman" w:hAnsi="Times New Roman"/>
          <w:sz w:val="18"/>
          <w:szCs w:val="18"/>
          <w:color w:val="auto"/>
        </w:rPr>
        <w:t>Comparable sales include stores open after thirteen full fiscal months as well as all e-commerce sales. There may be variations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way in which some of our competitors and other retailers calculate comparable sales. As a result, data in this Quarterly Report regarding our comparable sales may not be comparable to similar data made available by other retailers. Stores which have been closed for an extended period of time are removed from the calculation. E-commerce sales include omni-channel sales fulfilled by our stores. For example, all buy-online-pickup-in-store (“BOPIS”) transactions are allocated to e-commerce sales for the purpose of comparable sales, despite the fact that our customers pick-up these purchases from a specific store.</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unseasonal or extreme weather; a shift in the timing of a holiday between comparable periods; and the number of stores that have been in operation for more than thirteen fiscal months.</w:t>
      </w:r>
    </w:p>
    <w:p>
      <w:pPr>
        <w:spacing w:after="0" w:line="13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and average ticket. </w:t>
      </w:r>
      <w:r>
        <w:rPr>
          <w:rFonts w:ascii="Times New Roman" w:cs="Times New Roman" w:eastAsia="Times New Roman" w:hAnsi="Times New Roman"/>
          <w:sz w:val="18"/>
          <w:szCs w:val="18"/>
          <w:color w:val="auto"/>
        </w:rPr>
        <w:t>We define transactions as the number of customer transactions for stores and e-commerce during a given period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basis. Transactions are influenced by customer traffic, the amount of customers that visited our stores or website, and sales conversion, the percent of those customers that made a purchase. We define average ticket as total sales divided by the number of transactions during a given period, which tells us the average amount the customer is spending on a purchase.</w:t>
      </w:r>
    </w:p>
    <w:p>
      <w:pPr>
        <w:spacing w:after="0" w:line="12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 Adjusted Net Income, Adjusted Earnings per Share and Adjusted Free Cash Flow. </w:t>
      </w:r>
      <w:r>
        <w:rPr>
          <w:rFonts w:ascii="Times New Roman" w:cs="Times New Roman" w:eastAsia="Times New Roman" w:hAnsi="Times New Roman"/>
          <w:sz w:val="18"/>
          <w:szCs w:val="18"/>
          <w:color w:val="auto"/>
        </w:rPr>
        <w:t>Management uses Adjusted EBIT, Adjusted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1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Components of Our Results of Operations. </w:t>
      </w:r>
      <w:r>
        <w:rPr>
          <w:rFonts w:ascii="Times New Roman" w:cs="Times New Roman" w:eastAsia="Times New Roman" w:hAnsi="Times New Roman"/>
          <w:sz w:val="18"/>
          <w:szCs w:val="18"/>
          <w:color w:val="auto"/>
        </w:rPr>
        <w:t>Our profitability is primarily influenced by fluctuations in net sales, gross margin and our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leverage selling, general and administrative expenses.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changes in product mix and pricing, including promotional activities.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0" w:name="page21"/>
    <w:bookmarkEnd w:id="20"/>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tools to improve inventory handling and vendor management, including third-party programs to analyze our inventory stock, execute a disciplined markdown strategy and improve our inventory management throughout the year at every location. We have coupled these tools with the data we collect from our myAcademy Rewards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broad assortment gives us an advantage over mass general merchants who typically do not carry the full assortment of leading national brands sold at Academy. We have also continued to add private label brands to our assortment of products, which we generally price lower than the national brand products of comparable quality that we also offer. A shift in our sales mix in which we sell more units of our private label brand products and fewer units of the national brand products would generally have a positive impact on our gross margin rate but an adverse impact on our total net sales. 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 rate.</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expansion and enhancement of our omnichannel capabilities have contributed to increased sales in recent years. We continue to invest in initiatives designed to drive traffic to our stores and e-commerce platforms, including our website and mobile application, improve conversion, and support our long-term objective of continuing to increase our e-commerce penetration of sales. These initiatives include investments in our customer data ecosystem (data lake and Customer Data Platform), enabling customer-level attributes and models that power personalization and deepen engagement.</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implementing enhancements to the online shopping experience, including a redesigned homepage, expanded BOPIS functionality, enhanced shipping notifications, and ongoing improvements in product discovery and site experience. Our e-commerce platform supports store operations by driving customer demand, providing real-time product discovery and inventory visibility, and enabling store-fulfilled transactions such as BOPIS, ship-to-store, and ship-from-store. During the 2026 first quarter, stores facilitated approximately 95% of our total sales, including ship-from-store, BOPIS and in-store retail sales. We expect to continue investing in the expansion and enhancement of our omnichannel capabilities, including our mobile application, website experience optimization, fulfillment improvements, and emerging digital commerce capabilities such as artificial intelligence-enabled shopping experiences and social and marketplace commerce integrations. These initiatives are intended to support long-term growth and improve customer experience, and will require ongoing investment.</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sales and gross margin in the future as we execute our new store opening growth plans. Our growth strategy encompasses both deepening our presence in legacy and existing markets as well as entering new markets, leveraging enhanced brand awareness and operational efficiencies. Our new store model favors off-mall locations within power centers or stand-alone buildings. We utilize comprehensive demographic and trade data to guide our real estate site selection. During the 2026 first quarter, we opened two new stores. Our strategic real estate approach, including the 65 stores opened since fiscal year 2021, has positioned us effectively for continued expansion.</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our net sales less cost of goods sold. Cost of goods sold includes the direct cost of merchandise and costs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procurement, warehousing and distribution. These costs consist primarily of tariffs, payroll and benefits, distribution center occupancy costs and freight, and are generally variable in nature relative to our inventory receipts and sales volume.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private label brand merchandise sales, and our ability to control cost of goods sold, such as inventory and logistics cost management. Our gross margin is also impacted by variables including tariffs, commodity costs, freight costs, shrinkage (discussed below), inventory processing costs and e-commerce shipping costs. We track and measure gross margin as a percentage of net sales in order to evaluate our performance against profitability targets.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refer to loss or theft of inventory as “shrinkage” or “shrink”. A prolonged period of significant increased shrink could have a material negative impact on our gross margin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1" w:name="page22"/>
    <w:bookmarkEnd w:id="21"/>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store and corporate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and payroll benefits, store and corporate headquarters occupancy costs, advertising, credit card processing, information technology, pre-opening costs and other store and administrative expenses. These expenses are both variable and fixed in nature. SG&amp;A expenses as a percentage of sales decreased from 28.8% in the 2025 first quarter to 28.1% in the 2026 first quarter. This decrease was a result of increased sales and ongoing expense discipline across the organization in addition to lapping the Jordan Brand launch in the 2025 first quarter. We track and measure operating expenses as a percentage of net sales in order to evaluate our performance against profitability targets. Management of SG&amp;A expenses depends on our ability to balance operating costs, such as store and corporate headcount, information technology infrastructure and marketing and advertising expenses, while efficiently and effectively servicing our customers.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Pre-opening expenses represent non-capital expenditures associated with the opening of new stores and distribution centers prior to sales generation or start of operations, which consist primarily of occupancy costs, marketing, payroll and recruiting costs, and are expensed as incurred. As we execute our new store opening growth plans, we expect our pre-opening expenses to result in a negative impact to SG&amp;A as a percentage of sales. The following table summarizes our pre-opening expense activity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340" w:type="dxa"/>
            <w:vAlign w:val="bottom"/>
            <w:tcBorders>
              <w:bottom w:val="single" w:sz="8" w:color="auto"/>
            </w:tcBorders>
          </w:tcPr>
          <w:p>
            <w:pPr>
              <w:spacing w:after="0"/>
              <w:rPr>
                <w:sz w:val="20"/>
                <w:szCs w:val="20"/>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340" w:type="dxa"/>
            <w:vAlign w:val="bottom"/>
            <w:tcBorders>
              <w:bottom w:val="single" w:sz="8" w:color="auto"/>
            </w:tcBorders>
          </w:tcPr>
          <w:p>
            <w:pPr>
              <w:spacing w:after="0"/>
              <w:rPr>
                <w:sz w:val="19"/>
                <w:szCs w:val="19"/>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new stores opened</w:t>
            </w: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expenses (in millions)</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20"/>
                <w:szCs w:val="20"/>
                <w:color w:val="auto"/>
              </w:rPr>
            </w:pP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includes regular interest payable related to our Term Loan, Notes and ABL Facility (see Note 4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accompanying financial statements) and the amortization of our deferred loan costs and original issuance discounts associated with the acquisition of the debt.</w:t>
      </w:r>
    </w:p>
    <w:p>
      <w:pPr>
        <w:spacing w:after="0" w:line="11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ASO, Inc. is treated as a U.S. corporation for U.S. federal, state, and local income tax purposes and accordingly, a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has been recorded for the anticipated tax consequences of our reported results of operations for federal, state and local income taxes. Recent fluctuations in income tax expense have been primarily as a result of changes in income before income taxes and the effect of cross border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May 2, 2026 Compared to Thirteen Weeks Ended May 3, 2025</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1,442,003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1,351,409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962,655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892,540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70,115</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479,348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404,693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389,604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15,089</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8,988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52,703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46,084</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*Percentages in table may not sum properly due to rounding.</w:t>
      </w:r>
    </w:p>
    <w:p>
      <w:pPr>
        <w:spacing w:after="0" w:line="16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increased $90.6 million, or 6.7%, in the 2026 first quarter compared to the prior year first quarter, which was driven by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of 11.7% in the outdoor merchandise division, 6.2% in the sports and recreation merchandise division, 4.7% in the apparel merchandise division and 2.8% in the footwear merchandise division.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opened 21 new stores since the end of the 2025 first quarter, two of which opened during the 2026 first quarter. During the 2026 first quarter, these 21 stores generated $54.5 million of net sales, including e-commerce. Since re-launching our new store program in 2022, we have opened 65 new stores, 44 of which have been open for at least twelve months. Over the last twelve months, those 44 stores have averaged approximately $13 million in net sales per store, including e-commerce. We believe that performance of new stores in year one is partially affected by the season in which the new store opens and the brand awareness in the region the new store opens.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Comparable sales increased 2.9% driven by higher comparable sales across all merchandise divisions, except the footwear merchandise division which remained relatively constant. The increase in comparable sales was a result of a 4.5% increase in average ticket, partially offset by a decrease in comparable transactions of 1.5%.</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E-commerce net sales represented 11.0% of merchandise sales for the 2026 first quarter compared to 10.0% for the prior year first quarter. E-commerce net sales increased 17.4% in the 2026 first quarter over the prior year first quarter.</w:t>
      </w:r>
    </w:p>
    <w:p>
      <w:pPr>
        <w:spacing w:after="0" w:line="10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increased $20.5 million, or 4.5%, to $479.3 million in the 2026 first quarter from $458.9 million in the 2025 first quarter.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percentage of net sales, gross margin decreased 80 basis points from 34.0% in the 2025 first quarter to 33.2% in the 2026 first quarter. The decrease of 80 basis points in gross margin was primarily attributable to 110 basis points of unfavorability as a result of tariffs, partially offset by 20 basis points of favorability related to shrink and 10 basis points of favorability related to freight and e-commerce shipping.</w:t>
      </w:r>
    </w:p>
    <w:p>
      <w:pPr>
        <w:spacing w:after="0" w:line="122"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$15.1 million, or 3.9%, to $404.7 million in the 2026 first quarter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$389.6 million in the 2025 first quarter, primarily as a result of our increased strategic investments of $19.0 million in new stores and technology, partially offset by $7.5 million due to lapping the Jordan Brand launch in the 2025 first quarter.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remained relatively constant in the 2026 first quarter when compared with the 2025 first quarter.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3" w:name="page24"/>
    <w:bookmarkEnd w:id="23"/>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increased $0.4 million in the 2026 first quarter when compared with the 2025 first quarter, primarily driven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money market investments in the 2026 first quarter when compared with the 2025 first quarter.</w:t>
      </w:r>
    </w:p>
    <w:p>
      <w:pPr>
        <w:spacing w:after="0" w:line="10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$0.8 million to $16.2 million for the 2026 first quarter as compared to $16.9 million in the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quarter, resulting primarily from fluctuations in share-based compensation deductions. ASO, Inc.’s effective tax rate was 23.5% in the first quarter of 2026 compared to 26.9% in the first quarter of 2025. The decrease in the effective tax rate compared to the prior year quarter is primarily due to fluctuations in share-based compensation deductions.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Adjusted EBIT, Adjusted Net Income,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 as net income (loss) before interest expense, net, income tax expense and other adjustments included in the table below. We describe these adjustments reconciling net income (loss) to Adjusted EBIT in the applicable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(used in) operating activities to Adjusted Free Cash Flow in the applicable table below.</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 Adjusted Net Income, Adjusted Earnings per Share and Adjusted Free Cash Flow are not recognized terms under GAAP and should not be considered as an alternative to net income (loss) as a measure of financial performance or net cash provided by (used in)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 Adjusted Net Income, and Adjusted Earnings per Share should not be construed to imply that our future results will be unaffected by unusual or non-recurring items. In evaluating Adjusted EBIT, Adjusted Net Income, Adjusted Earnings per Share and Adjusted Free Cash Flow, you should be aware that in the future we may incur expenses that are the same as or similar to some of the adjustments in this presentation. Our presentation of Adjusted EBIT, Adjusted Net Income, Adjusted Earnings per Share and Adjusted Free Cash Flow should not be construed to imply that our future results will be unaffected by any such adjustments.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4" w:name="page25"/>
    <w:bookmarkEnd w:id="24"/>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08" w:lineRule="exact"/>
        <w:rPr>
          <w:sz w:val="20"/>
          <w:szCs w:val="20"/>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Adjusted Net Income, and Adjusted Earnings per Share do not reflect costs or cash outlays for capital expenditures or contractual commitments;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Adjusted Net Income, and Adjusted Earnings per Share do not reflect changes in, or cash requirements for, our working capital needs;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does not reflect period to period changes in taxes, income tax expense or the cash necessary to pay income taxes;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Adjusted Net Income, and Adjusted Earnings per Share do not reflect the impact of earnings or charges resulting from matters we consider not to be indicative of our ongoing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Free Cash Flow does not reflect cash requirements for such replacements;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 Adjusted Net Income, Adjusted Earnings per Share and Adjusted Free Cash Flow supplementally.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reconciliations of net income to Adjusted EBIT for the periods presented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40" w:type="dxa"/>
            <w:vAlign w:val="bottom"/>
          </w:tcPr>
          <w:p>
            <w:pPr>
              <w:spacing w:after="0"/>
              <w:rPr>
                <w:sz w:val="19"/>
                <w:szCs w:val="19"/>
                <w:color w:val="auto"/>
              </w:rPr>
            </w:pP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46,084</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w:t>
            </w:r>
          </w:p>
        </w:tc>
      </w:tr>
      <w:tr>
        <w:trPr>
          <w:trHeight w:val="223"/>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79,614</w:t>
            </w:r>
          </w:p>
        </w:tc>
      </w:tr>
    </w:tbl>
    <w:p>
      <w:pPr>
        <w:spacing w:after="0" w:line="85" w:lineRule="exact"/>
        <w:rPr>
          <w:sz w:val="20"/>
          <w:szCs w:val="20"/>
          <w:color w:val="auto"/>
        </w:rPr>
      </w:pPr>
    </w:p>
    <w:p>
      <w:pPr>
        <w:ind w:left="520" w:right="40" w:hanging="494"/>
        <w:spacing w:after="0" w:line="261"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Net Income and Adjusted Earnings per Share for the periods presented (amounts 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40" w:type="dxa"/>
            <w:vAlign w:val="bottom"/>
          </w:tcPr>
          <w:p>
            <w:pPr>
              <w:spacing w:after="0"/>
              <w:rPr>
                <w:sz w:val="19"/>
                <w:szCs w:val="19"/>
                <w:color w:val="auto"/>
              </w:rPr>
            </w:pP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46,084</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effects of these adjustments (b)</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23"/>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67,122</w:t>
            </w:r>
          </w:p>
        </w:tc>
      </w:tr>
      <w:tr>
        <w:trPr>
          <w:trHeight w:val="238"/>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65,945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68,170</w:t>
            </w:r>
          </w:p>
        </w:tc>
      </w:tr>
    </w:tbl>
    <w:p>
      <w:pPr>
        <w:spacing w:after="0" w:line="90" w:lineRule="exact"/>
        <w:rPr>
          <w:sz w:val="20"/>
          <w:szCs w:val="20"/>
          <w:color w:val="auto"/>
        </w:rPr>
      </w:pPr>
    </w:p>
    <w:p>
      <w:pPr>
        <w:ind w:left="520" w:right="40" w:hanging="494"/>
        <w:spacing w:after="0" w:line="251"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ind w:left="520" w:hanging="494"/>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tax effect of the total adjustments made to arrive at Adjusted Net Income.</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4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160,606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157,472</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(38,997)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(50,988)</w:t>
            </w: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Free Cash Flow</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121,609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106,484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liquidity requirements are for working capital, capital expenditures and cash used to pay our debt obligations and related interest expense. We also use cash to pay dividends and to repurchase common stock. We fund these liquidity requirements through cash and cash equivalents, cash generated from operating activities, issuances of debt (such as the Notes) and borrowings under our ABL Facility. On May 2, 2026, our cash and cash equivalents totaled $337.8 million. We believe our cash and cash equivalents, as well as our availability under the ABL Facility, will be sufficient to fund our cash requirements for the next 12 months and the longer term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May 2, 2026, the Company’s long-term debt and interest rates consist of:</w:t>
      </w:r>
    </w:p>
    <w:p>
      <w:pPr>
        <w:spacing w:after="0" w:line="11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- 6.00% fixed rate senior secured notes with $400 million in principal outstanding and full principal maturing November 15, 2027;</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- 7.53% variable rate term-loan with $85.0 million in principal outstanding maturing November 6, 2027 and requiring quarterly principal payments of $750 thousand through September 30, 2027;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 $1.0 billion commitment on a variable rate secured asset-based revolving credit facility with no principal outstanding maturing March 8, 2029.</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14, 2026, Academy, Ltd., a wholly-owned subsidiary of the Company entered into an amendment to the ABL Facility which, among other things, extended the maturity of the ABL Facility to May 14, 2031, and Academy, Ltd., as issuer, issued $500 million in aggregate principal amount of senior secured notes, all of which remains outstanding and matures on May 15, 2031. The Company used the net proceeds from the senior secured notes to fully redeem the Notes, repay the Term Loan in full, pay related fees and expenses, and for general corporate purposes.</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Notes 4 and 12 to the accompanying financial statements for further disclosure regarding our debt agreements. The following table summarizes our debt obligations by fiscal year as of May 2, 2026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2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6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Term Loan and related interest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94,573</w:t>
            </w:r>
          </w:p>
        </w:tc>
      </w:tr>
      <w:tr>
        <w:trPr>
          <w:trHeight w:val="230"/>
        </w:trPr>
        <w:tc>
          <w:tcPr>
            <w:tcW w:w="3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Notes and related interest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424,000</w:t>
            </w:r>
          </w:p>
        </w:tc>
        <w:tc>
          <w:tcPr>
            <w:tcW w:w="300" w:type="dxa"/>
            <w:vAlign w:val="bottom"/>
          </w:tcPr>
          <w:p>
            <w:pPr>
              <w:spacing w:after="0"/>
              <w:rPr>
                <w:sz w:val="19"/>
                <w:szCs w:val="19"/>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448,000</w:t>
            </w:r>
          </w:p>
        </w:tc>
      </w:tr>
      <w:tr>
        <w:trPr>
          <w:trHeight w:val="229"/>
        </w:trPr>
        <w:tc>
          <w:tcPr>
            <w:tcW w:w="3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ABL Facility and related interest </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2,500</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268</w:t>
            </w:r>
          </w:p>
        </w:tc>
        <w:tc>
          <w:tcPr>
            <w:tcW w:w="1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w:t>
            </w:r>
          </w:p>
        </w:tc>
      </w:tr>
    </w:tbl>
    <w:p>
      <w:pPr>
        <w:spacing w:after="0" w:line="85" w:lineRule="exact"/>
        <w:rPr>
          <w:sz w:val="20"/>
          <w:szCs w:val="20"/>
          <w:color w:val="auto"/>
        </w:rPr>
      </w:pPr>
    </w:p>
    <w:p>
      <w:pPr>
        <w:ind w:left="220" w:hanging="194"/>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discount and debt issuance costs and are approximated based on projected interest rates and assume no unscheduled principal payments.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debt issuance costs and assumes Notes are paid in full at maturity date.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 minimum revolving credit commitment of $1.0 billion and assumes no balances drawn on our ABL Facility.</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is as follows for the periods shown (dollar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80" w:type="dxa"/>
            <w:vAlign w:val="bottom"/>
          </w:tcPr>
          <w:p>
            <w:pPr>
              <w:spacing w:after="0"/>
              <w:rPr>
                <w:sz w:val="19"/>
                <w:szCs w:val="19"/>
                <w:color w:val="auto"/>
              </w:rPr>
            </w:pPr>
          </w:p>
        </w:tc>
        <w:tc>
          <w:tcPr>
            <w:tcW w:w="15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funds drawn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26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992,370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953,921</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(amounts in thousands) as of:</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99"/>
        </w:trPr>
        <w:tc>
          <w:tcPr>
            <w:tcW w:w="5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0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letters of credit</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992,370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predominantly lease store locations, distribution centers, office space and certain equipment under operating leases expiring between fiscal years 2026 and 2045. Operating lease obligations include future minimum lease payments under all of our non-cancelable operating leases at May 2, 2026. The following table summarizes our remaining operating lease obligations by fiscal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2030</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payments </w:t>
            </w:r>
            <w:r>
              <w:rPr>
                <w:rFonts w:ascii="Times New Roman" w:cs="Times New Roman" w:eastAsia="Times New Roman" w:hAnsi="Times New Roman"/>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179,252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276,997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261,755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1,235,531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2,424,655</w:t>
            </w:r>
          </w:p>
        </w:tc>
      </w:tr>
    </w:tbl>
    <w:p>
      <w:pPr>
        <w:spacing w:after="0" w:line="85" w:lineRule="exact"/>
        <w:rPr>
          <w:sz w:val="20"/>
          <w:szCs w:val="20"/>
          <w:color w:val="auto"/>
        </w:rPr>
      </w:pPr>
    </w:p>
    <w:p>
      <w:pPr>
        <w:ind w:left="220" w:hanging="194"/>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lease payments have not been reduced by sublease rentals of $1.3 million due in the future under non-cancelable sub-leases.</w:t>
      </w:r>
    </w:p>
    <w:p>
      <w:pPr>
        <w:spacing w:after="0" w:line="55"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balances include stores where we have an executed contract but have not taken possession of the location as of May 2, 2026.</w:t>
      </w:r>
    </w:p>
    <w:p>
      <w:pPr>
        <w:spacing w:after="0" w:line="3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December 4, 2024, the Company's Board of Directors approved a new share repurchase program under which the Company is authorized to purchase up to $700 million of its outstanding shares during the three-year period ending December 4, 2027 (the “2024 Share Repurchase Program”), and which replaced the previously approved share repurchase program. Under the 2024 Share Repurchase Program, repurchases can be made using a variety of methods, which may include open market purchases, block trades, accelerated share repurchase programs, privately negotiated transactions and/or Rule 10b5-1 or other non-discretionary trading plans, all in compliance with the rules of the SEC and other applicable legal requirements. The timing, manner, price and amount of any common share repurchases under the 2024 Share Repurchase Program will be determined by the Company in its discretion and will depend on a variety of factors, including legal requirements, price and economic and market conditions. The 2024 Share Repurchase Program does not obligate the Company to acquire any particular number of common shares, and the program may be suspended, extended, modified or discontinued at any time. As of May 2, 2026, the Company had $338.2 million remaining for share repurchases under the 2024 Share Repurchase Program. See Note 2 to the consolidated financial statements.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2026 first quarter (dollar amounts in thousands,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20" w:type="dxa"/>
            <w:vAlign w:val="bottom"/>
          </w:tcPr>
          <w:p>
            <w:pPr>
              <w:spacing w:after="0"/>
              <w:rPr>
                <w:sz w:val="18"/>
                <w:szCs w:val="18"/>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43"/>
        </w:trPr>
        <w:tc>
          <w:tcPr>
            <w:tcW w:w="5480" w:type="dxa"/>
            <w:vAlign w:val="bottom"/>
          </w:tcPr>
          <w:p>
            <w:pPr>
              <w:spacing w:after="0"/>
              <w:rPr>
                <w:sz w:val="21"/>
                <w:szCs w:val="21"/>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60" w:type="dxa"/>
            <w:vAlign w:val="bottom"/>
          </w:tcPr>
          <w:p>
            <w:pPr>
              <w:spacing w:after="0"/>
              <w:rPr>
                <w:sz w:val="21"/>
                <w:szCs w:val="21"/>
                <w:color w:val="auto"/>
              </w:rPr>
            </w:pPr>
          </w:p>
        </w:tc>
        <w:tc>
          <w:tcPr>
            <w:tcW w:w="158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1"/>
                <w:szCs w:val="21"/>
                <w:color w:val="auto"/>
              </w:rPr>
            </w:pPr>
          </w:p>
        </w:tc>
        <w:tc>
          <w:tcPr>
            <w:tcW w:w="1640" w:type="dxa"/>
            <w:vAlign w:val="bottom"/>
          </w:tcPr>
          <w:p>
            <w:pPr>
              <w:jc w:val="right"/>
              <w:ind w:right="25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Repurchased </w:t>
            </w:r>
            <w:r>
              <w:rPr>
                <w:rFonts w:ascii="Times New Roman" w:cs="Times New Roman" w:eastAsia="Times New Roman" w:hAnsi="Times New Roman"/>
                <w:sz w:val="23"/>
                <w:szCs w:val="23"/>
                <w:b w:val="1"/>
                <w:bCs w:val="1"/>
                <w:color w:val="auto"/>
                <w:vertAlign w:val="superscript"/>
              </w:rPr>
              <w:t>(1)</w:t>
            </w:r>
          </w:p>
        </w:tc>
      </w:tr>
      <w:tr>
        <w:trPr>
          <w:trHeight w:val="223"/>
        </w:trPr>
        <w:tc>
          <w:tcPr>
            <w:tcW w:w="54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First Quarter (February 1, 2026 to May 2, 2026)</w:t>
            </w:r>
            <w:r>
              <w:rPr>
                <w:rFonts w:ascii="Times New Roman" w:cs="Times New Roman" w:eastAsia="Times New Roman" w:hAnsi="Times New Roman"/>
                <w:sz w:val="23"/>
                <w:szCs w:val="23"/>
                <w:color w:val="auto"/>
                <w:vertAlign w:val="superscript"/>
              </w:rPr>
              <w:t>(2)</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1,703,031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98,412</w:t>
            </w:r>
          </w:p>
        </w:tc>
      </w:tr>
      <w:tr>
        <w:trPr>
          <w:trHeight w:val="22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1,703,031</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98,412</w:t>
            </w:r>
          </w:p>
        </w:tc>
      </w:tr>
      <w:tr>
        <w:trPr>
          <w:trHeight w:val="20"/>
        </w:trPr>
        <w:tc>
          <w:tcPr>
            <w:tcW w:w="54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260" w:hanging="207"/>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unpaid excise taxes.</w:t>
      </w:r>
    </w:p>
    <w:p>
      <w:pPr>
        <w:spacing w:after="0" w:line="41" w:lineRule="exact"/>
        <w:rPr>
          <w:rFonts w:ascii="Times New Roman" w:cs="Times New Roman" w:eastAsia="Times New Roman" w:hAnsi="Times New Roman"/>
          <w:sz w:val="14"/>
          <w:szCs w:val="14"/>
          <w:color w:val="auto"/>
        </w:rPr>
      </w:pPr>
    </w:p>
    <w:p>
      <w:pPr>
        <w:ind w:left="260" w:hanging="207"/>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Part II, Item 2 - Unregistered Sales of Equity Securities and Use of Proceeds for further detail on the 2026 first quarter share repurchases.</w:t>
      </w:r>
    </w:p>
    <w:p>
      <w:pPr>
        <w:spacing w:after="0" w:line="3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quarterly dividend payments for the 2026 first quarter (amounts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120" w:type="dxa"/>
            <w:vAlign w:val="bottom"/>
          </w:tcPr>
          <w:p>
            <w:pPr>
              <w:spacing w:after="0"/>
              <w:rPr>
                <w:sz w:val="18"/>
                <w:szCs w:val="18"/>
                <w:color w:val="auto"/>
              </w:rPr>
            </w:pPr>
          </w:p>
        </w:tc>
        <w:tc>
          <w:tcPr>
            <w:tcW w:w="1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Dividends Paid</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 Date of</w:t>
            </w:r>
          </w:p>
        </w:tc>
        <w:tc>
          <w:tcPr>
            <w:tcW w:w="0" w:type="dxa"/>
            <w:vAlign w:val="bottom"/>
          </w:tcPr>
          <w:p>
            <w:pPr>
              <w:spacing w:after="0"/>
              <w:rPr>
                <w:sz w:val="1"/>
                <w:szCs w:val="1"/>
                <w:color w:val="auto"/>
              </w:rPr>
            </w:pPr>
          </w:p>
        </w:tc>
      </w:tr>
      <w:tr>
        <w:trPr>
          <w:trHeight w:val="238"/>
        </w:trPr>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(February 1, 2026 to May 2, 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20, 2026</w:t>
            </w:r>
          </w:p>
        </w:tc>
        <w:tc>
          <w:tcPr>
            <w:tcW w:w="0" w:type="dxa"/>
            <w:vAlign w:val="bottom"/>
          </w:tcPr>
          <w:p>
            <w:pPr>
              <w:spacing w:after="0"/>
              <w:rPr>
                <w:sz w:val="1"/>
                <w:szCs w:val="1"/>
                <w:color w:val="auto"/>
              </w:rPr>
            </w:pPr>
          </w:p>
        </w:tc>
      </w:tr>
      <w:tr>
        <w:trPr>
          <w:trHeight w:val="22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Dividends Paid</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4, 2026, the Company’s Board of Directors declared a quarterly cash dividend with respect to the fiscal quarter ended May 2, 2026, of $0.15 per share of the Company's common stock, payable on July 16, 2026, to stockholders of record as of the close of business on June 18,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capital expenditures for the thirteen weeks ended May 2, 2026 and May 3, 2025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8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600" w:type="dxa"/>
            <w:vAlign w:val="bottom"/>
            <w:tcBorders>
              <w:bottom w:val="single" w:sz="8" w:color="auto"/>
            </w:tcBorders>
          </w:tcPr>
          <w:p>
            <w:pPr>
              <w:spacing w:after="0"/>
              <w:rPr>
                <w:sz w:val="20"/>
                <w:szCs w:val="20"/>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600" w:type="dxa"/>
            <w:vAlign w:val="bottom"/>
            <w:tcBorders>
              <w:bottom w:val="single" w:sz="8" w:color="auto"/>
            </w:tcBorders>
          </w:tcPr>
          <w:p>
            <w:pPr>
              <w:spacing w:after="0"/>
              <w:rPr>
                <w:sz w:val="19"/>
                <w:szCs w:val="19"/>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58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18,402</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25,970</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1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12,784</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 distribution centers and other</w:t>
            </w:r>
          </w:p>
        </w:tc>
        <w:tc>
          <w:tcPr>
            <w:tcW w:w="15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7,717</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23"/>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58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38,903</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50,830</w:t>
            </w:r>
          </w:p>
        </w:tc>
      </w:tr>
      <w:tr>
        <w:trPr>
          <w:trHeight w:val="20"/>
        </w:trPr>
        <w:tc>
          <w:tcPr>
            <w:tcW w:w="68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expect capital expenditures for fiscal year 2026 to be between $200 million and $240 million. The following table summarizes our forecasted allocation of capital expenditures for fiscal year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4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 distribution centers and other</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review forecasted capital expenditures throughout the year and will adjust our capital expenditures based on business conditions at that time.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Thirteen Weeks Ended May 2, 2026 and May 3, 2025</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9"/>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unaudited statements of cash flows are summarized as follows (in thousands):</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6"/>
        </w:trPr>
        <w:tc>
          <w:tcPr>
            <w:tcW w:w="7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320" w:type="dxa"/>
            <w:vAlign w:val="bottom"/>
          </w:tcPr>
          <w:p>
            <w:pPr>
              <w:spacing w:after="0"/>
              <w:rPr>
                <w:sz w:val="19"/>
                <w:szCs w:val="19"/>
                <w:color w:val="auto"/>
              </w:rPr>
            </w:pPr>
          </w:p>
        </w:tc>
        <w:tc>
          <w:tcPr>
            <w:tcW w:w="17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160,606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157,472</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(50,988)</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(110,309)</w:t>
            </w:r>
          </w:p>
        </w:tc>
      </w:tr>
      <w:tr>
        <w:trPr>
          <w:trHeight w:val="223"/>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7,490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w:t>
            </w:r>
          </w:p>
        </w:tc>
      </w:tr>
      <w:tr>
        <w:trPr>
          <w:trHeight w:val="20"/>
        </w:trPr>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from operating activities are seasonal in our business. Typically, cash flows from operations are used to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inventory in advance of peak selling seasons, with the fourth quarter pre-holiday season inventory increase being the most significant.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provided by operating activities in the 2026 first quarter increased $3.1 million, compared to 2025 first quarter. This increase is attributable to:</w:t>
      </w:r>
    </w:p>
    <w:p>
      <w:pPr>
        <w:spacing w:after="0" w:line="6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million increase in net income;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net increase in cash flows provided by operating assets and liabilities;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million net decrease in non-cash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color w:val="auto"/>
        </w:rPr>
        <w:t>The increase in cash flows from operating assets and liabilities was primarily attributable to:</w:t>
      </w:r>
    </w:p>
    <w:p>
      <w:pPr>
        <w:spacing w:after="0" w:line="63" w:lineRule="exact"/>
        <w:rPr>
          <w:sz w:val="20"/>
          <w:szCs w:val="20"/>
          <w:color w:val="auto"/>
        </w:rPr>
      </w:pPr>
    </w:p>
    <w:p>
      <w:pPr>
        <w:ind w:left="66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$46.7 million increase in cash flows from working capital due to the pull-forward of inventory purchases in the prior year period at pre-tariff rates;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 million increase in accounts receivable due to timing of payments received; offset by</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$46.7 million decrease in prepaid expenses and other current assets largely driven by litigation settlements received in the prior year period and timing of construction reimbursement payments received;</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million decrease in accrued expenses and other current liabilities primarily due to an increase in accrued sales and use tax as a result of increased sales;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million decrease in other long-term liabilities primarily due to payments for deferred contract proceeds received in the 2025 first quarter.</w:t>
      </w:r>
    </w:p>
    <w:p>
      <w:pPr>
        <w:spacing w:after="0" w:line="248"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investing activities decreased $12.0 million in the 2026 first quarter compared to the 2025 first quarter. This decrease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primarily due to decreased capital expenditures for new stores as well as corporate, e-commerce, and information technology programs in the 2026 first quarter compared to the 2025 first quarter.</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increased $3.8 million in the 2026 first quarter, compared to the 2025 first quarter,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a $2.7 million increase in cash payments for minimum tax withholding requirements as a result of the vesting of employee equity awards compared to the prior year period.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More information on all of our significant accounting policies can be found in the “Critical Accounting Policies and Estimates” section of the Annual Report entitled “Management’s Discussion and Analysis of Financial Condition and Results of Operations.” There have been no material changes to our critical accounting policies as compared to the critical accounting policies described in the Annual Report.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2 to our unaudited consolidated financial statements under Part I, Item 1 of this Quarterly Report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10 — Commitments and Contingencies to our unaudited consolidated financial statements included under Part I, Item 1 of this Quarterly Report is incorporated herein by reference.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not currently party to any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the section of the Annual Report entitled “Part 1A.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There have been no material changes to the risk factors discussed in the section of the Annual Report entitled “Part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64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repurchases and cancellations of shares of our common stock during the 2026 first quarter:</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24"/>
                <w:szCs w:val="24"/>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6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that May Yet</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7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89"/>
        </w:trPr>
        <w:tc>
          <w:tcPr>
            <w:tcW w:w="458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680" w:type="dxa"/>
            <w:vAlign w:val="bottom"/>
            <w:gridSpan w:val="3"/>
            <w:vMerge w:val="continue"/>
          </w:tcPr>
          <w:p>
            <w:pPr>
              <w:spacing w:after="0"/>
              <w:rPr>
                <w:sz w:val="16"/>
                <w:szCs w:val="16"/>
                <w:color w:val="auto"/>
              </w:rPr>
            </w:pPr>
          </w:p>
        </w:tc>
        <w:tc>
          <w:tcPr>
            <w:tcW w:w="17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60" w:type="dxa"/>
            <w:vAlign w:val="bottom"/>
          </w:tcPr>
          <w:p>
            <w:pPr>
              <w:spacing w:after="0"/>
              <w:rPr>
                <w:sz w:val="16"/>
                <w:szCs w:val="16"/>
                <w:color w:val="auto"/>
              </w:rPr>
            </w:pPr>
          </w:p>
        </w:tc>
        <w:tc>
          <w:tcPr>
            <w:tcW w:w="14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30"/>
        </w:trPr>
        <w:tc>
          <w:tcPr>
            <w:tcW w:w="4580" w:type="dxa"/>
            <w:vAlign w:val="bottom"/>
            <w:gridSpan w:val="2"/>
            <w:vMerge w:val="continue"/>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 Share (b)</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or Programs (c)</w:t>
            </w:r>
          </w:p>
        </w:tc>
        <w:tc>
          <w:tcPr>
            <w:tcW w:w="16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Programs (c)</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2026 to February 28, 2026</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410,639,664</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 2026 to April 4, 2026</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240,390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240,390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396,383,971</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5, 2026 to May 2, 2026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338,183,309</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1,703,031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1,703,031</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338,183,309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right="20" w:hanging="252"/>
        <w:spacing w:after="0" w:line="261" w:lineRule="auto"/>
        <w:tabs>
          <w:tab w:leader="none" w:pos="22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repurchased excludes shares which were net-settled, and therefore not issued, to cover employee withholding related to the vesting of certain restricted stock awards and exercise of certain stock option awards.</w:t>
      </w:r>
    </w:p>
    <w:p>
      <w:pPr>
        <w:ind w:left="220" w:hanging="212"/>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unpaid excise taxes.</w:t>
      </w:r>
    </w:p>
    <w:p>
      <w:pPr>
        <w:spacing w:after="0" w:line="4" w:lineRule="exact"/>
        <w:rPr>
          <w:rFonts w:ascii="Times New Roman" w:cs="Times New Roman" w:eastAsia="Times New Roman" w:hAnsi="Times New Roman"/>
          <w:sz w:val="14"/>
          <w:szCs w:val="14"/>
          <w:color w:val="auto"/>
        </w:rPr>
      </w:pPr>
    </w:p>
    <w:p>
      <w:pPr>
        <w:jc w:val="both"/>
        <w:ind w:left="260" w:hanging="252"/>
        <w:spacing w:after="0" w:line="251" w:lineRule="auto"/>
        <w:tabs>
          <w:tab w:leader="none" w:pos="21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4, 2024, the Company’s Board of Directors approved a new share repurchase program under which the Company is authorized to purchase up to $700 million of its outstanding shares during the three-year period ending December 4, 2027 (the “2024 Share Repurchase Program”), and which replaced the previously approved share repurchase program. As of May 2, 2026, approximately $338.2 million remained available for share repurchases pursuant to the 2024 Share Repurchase Program (see Note 2 to the accompanying financial statements). The 2024 Share Repurchase Program does not obligate the Company to acquire any particular number of common shares, and the program may be suspended, extended, modified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Trading Plans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May 2, 2026, no director or officer (as defined in Rule 16a-1(f) under the Exchange Act) of the Company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80" w:type="dxa"/>
            <w:vAlign w:val="bottom"/>
            <w:tcBorders>
              <w:bottom w:val="single" w:sz="8" w:color="auto"/>
            </w:tcBorders>
          </w:tcPr>
          <w:p>
            <w:pPr>
              <w:ind w:left="40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340" w:type="dxa"/>
            <w:vAlign w:val="bottom"/>
            <w:gridSpan w:val="3"/>
            <w:shd w:val="clear" w:color="auto" w:fill="CCEEFF"/>
          </w:tcPr>
          <w:p>
            <w:pPr>
              <w:ind w:left="20"/>
              <w:spacing w:after="0" w:line="149" w:lineRule="exact"/>
              <w:rPr>
                <w:rFonts w:ascii="Times New Roman" w:cs="Times New Roman" w:eastAsia="Times New Roman" w:hAnsi="Times New Roman"/>
                <w:sz w:val="17"/>
                <w:szCs w:val="17"/>
                <w:color w:val="0000FF"/>
              </w:rPr>
            </w:pPr>
            <w:hyperlink r:id="rId44">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hyperlink>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6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Restated Certificate of Incorporation of the Registrant (incorporated by reference to Exhibit 3.2 to the Registrant’s Current Report on</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9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 8-K filed on June 5, 2025).</w:t>
            </w: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3.1 to the Registrant's Current Report on Form</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 filed on March 7, 2025).</w:t>
            </w: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6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Indenture, dated as of May 14, 2026, by and among Academy, Ltd., as issuer, the guarantors named therein and U.S. Bank Trust</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Company, National Association, as trustee and notes collateral agent (incorporated by reference to Exhibit 4.1 to the Registrant’s</w:t>
            </w:r>
          </w:p>
        </w:tc>
      </w:tr>
      <w:tr>
        <w:trPr>
          <w:trHeight w:val="234"/>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filed on May 14, 2026).</w:t>
            </w:r>
          </w:p>
        </w:tc>
      </w:tr>
      <w:tr>
        <w:trPr>
          <w:trHeight w:val="189"/>
        </w:trPr>
        <w:tc>
          <w:tcPr>
            <w:tcW w:w="20" w:type="dxa"/>
            <w:vAlign w:val="bottom"/>
          </w:tcPr>
          <w:p>
            <w:pPr>
              <w:spacing w:after="0"/>
              <w:rPr>
                <w:sz w:val="16"/>
                <w:szCs w:val="16"/>
                <w:color w:val="auto"/>
              </w:rPr>
            </w:pPr>
          </w:p>
        </w:tc>
        <w:tc>
          <w:tcPr>
            <w:tcW w:w="15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2026 Executive Performance-Based Restricted Stock Unit Agreement.</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r>
      <w:tr>
        <w:trPr>
          <w:trHeight w:val="189"/>
        </w:trPr>
        <w:tc>
          <w:tcPr>
            <w:tcW w:w="44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6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Amendment No. 5, dated May 14, 2026, to the First Amended and Restated ABL Credit agreement, dated as of July 2, 2015, among</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Academy, Ltd., as borrower, New Academy Holding Company, LLC, Associated Investors, L.L.C., Academy Managing Co., L.L.C.,</w:t>
            </w:r>
          </w:p>
        </w:tc>
      </w:tr>
      <w:tr>
        <w:trPr>
          <w:trHeight w:val="180"/>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6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and Academy Procurement Co., LLC as guarantors, the several lenders from time to time party thereto and JPMorgan Chase Bank,</w:t>
            </w:r>
          </w:p>
        </w:tc>
      </w:tr>
      <w:tr>
        <w:trPr>
          <w:trHeight w:val="176"/>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N.A., as the letter of credit issuer, swingline lender, administrative agent and collateral agent (incorporated by reference to Exhibit</w:t>
            </w:r>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 of the Registrant's Current Report on Form 8-K filed on May 14, 2026).</w:t>
            </w:r>
          </w:p>
        </w:tc>
      </w:tr>
      <w:tr>
        <w:trPr>
          <w:trHeight w:val="189"/>
        </w:trPr>
        <w:tc>
          <w:tcPr>
            <w:tcW w:w="52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040" w:type="dxa"/>
            <w:vAlign w:val="bottom"/>
          </w:tcPr>
          <w:p>
            <w:pPr>
              <w:spacing w:after="0"/>
              <w:rPr>
                <w:sz w:val="16"/>
                <w:szCs w:val="16"/>
                <w:color w:val="auto"/>
              </w:rPr>
            </w:pPr>
          </w:p>
        </w:tc>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96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w:t>
            </w:r>
          </w:p>
        </w:tc>
      </w:tr>
      <w:tr>
        <w:trPr>
          <w:trHeight w:val="189"/>
        </w:trPr>
        <w:tc>
          <w:tcPr>
            <w:tcW w:w="156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89"/>
        </w:trPr>
        <w:tc>
          <w:tcPr>
            <w:tcW w:w="156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96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9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76"/>
        </w:trPr>
        <w:tc>
          <w:tcPr>
            <w:tcW w:w="20" w:type="dxa"/>
            <w:vAlign w:val="bottom"/>
          </w:tcPr>
          <w:p>
            <w:pPr>
              <w:spacing w:after="0"/>
              <w:rPr>
                <w:sz w:val="15"/>
                <w:szCs w:val="15"/>
                <w:color w:val="auto"/>
              </w:rPr>
            </w:pPr>
          </w:p>
        </w:tc>
        <w:tc>
          <w:tcPr>
            <w:tcW w:w="15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20" w:type="dxa"/>
            <w:vAlign w:val="bottom"/>
            <w:shd w:val="clear" w:color="auto" w:fill="CCEEFF"/>
          </w:tcPr>
          <w:p>
            <w:pPr>
              <w:spacing w:after="0"/>
              <w:rPr>
                <w:sz w:val="20"/>
                <w:szCs w:val="20"/>
                <w:color w:val="auto"/>
              </w:rPr>
            </w:pPr>
          </w:p>
        </w:tc>
        <w:tc>
          <w:tcPr>
            <w:tcW w:w="1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30"/>
        </w:trPr>
        <w:tc>
          <w:tcPr>
            <w:tcW w:w="20" w:type="dxa"/>
            <w:vAlign w:val="bottom"/>
            <w:shd w:val="clear" w:color="auto" w:fill="CCEEFF"/>
          </w:tcPr>
          <w:p>
            <w:pPr>
              <w:spacing w:after="0"/>
              <w:rPr>
                <w:sz w:val="19"/>
                <w:szCs w:val="19"/>
                <w:color w:val="auto"/>
              </w:rPr>
            </w:pPr>
          </w:p>
        </w:tc>
        <w:tc>
          <w:tcPr>
            <w:tcW w:w="1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230"/>
        </w:trPr>
        <w:tc>
          <w:tcPr>
            <w:tcW w:w="2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30"/>
        </w:trPr>
        <w:tc>
          <w:tcPr>
            <w:tcW w:w="20" w:type="dxa"/>
            <w:vAlign w:val="bottom"/>
            <w:shd w:val="clear" w:color="auto" w:fill="CCEEFF"/>
          </w:tcPr>
          <w:p>
            <w:pPr>
              <w:spacing w:after="0"/>
              <w:rPr>
                <w:sz w:val="19"/>
                <w:szCs w:val="19"/>
                <w:color w:val="auto"/>
              </w:rPr>
            </w:pPr>
          </w:p>
        </w:tc>
        <w:tc>
          <w:tcPr>
            <w:tcW w:w="1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680" w:type="dxa"/>
            <w:vAlign w:val="bottom"/>
          </w:tcPr>
          <w:p>
            <w:pPr>
              <w:spacing w:after="0"/>
              <w:rPr>
                <w:sz w:val="23"/>
                <w:szCs w:val="23"/>
                <w:color w:val="auto"/>
              </w:rPr>
            </w:pPr>
          </w:p>
        </w:tc>
      </w:tr>
      <w:tr>
        <w:trPr>
          <w:trHeight w:val="229"/>
        </w:trPr>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57"/>
        </w:trPr>
        <w:tc>
          <w:tcPr>
            <w:tcW w:w="20" w:type="dxa"/>
            <w:vAlign w:val="bottom"/>
            <w:shd w:val="clear" w:color="auto" w:fill="CCEEFF"/>
          </w:tcPr>
          <w:p>
            <w:pPr>
              <w:spacing w:after="0"/>
              <w:rPr>
                <w:sz w:val="22"/>
                <w:szCs w:val="22"/>
                <w:color w:val="auto"/>
              </w:rPr>
            </w:pPr>
          </w:p>
        </w:tc>
        <w:tc>
          <w:tcPr>
            <w:tcW w:w="1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contract or compensatory plans or arrangements.</w:t>
            </w: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June 10, 2026 on its behalf by the undersigned, thereto duly authorized.</w:t>
      </w:r>
    </w:p>
    <w:p>
      <w:pPr>
        <w:spacing w:after="0" w:line="2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14" w:lineRule="exact"/>
        <w:rPr>
          <w:sz w:val="20"/>
          <w:szCs w:val="20"/>
          <w:color w:val="auto"/>
        </w:rPr>
      </w:pPr>
    </w:p>
    <w:p>
      <w:pPr>
        <w:ind w:left="6000"/>
        <w:spacing w:after="0"/>
        <w:tabs>
          <w:tab w:leader="none" w:pos="6460" w:val="left"/>
          <w:tab w:leader="none" w:pos="686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EARL CARLTON FORD,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Earl Carlton Ford, IV</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1089" w:right="3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ind w:left="5040"/>
        <w:spacing w:after="0" w:line="225"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rPr>
          <w:sz w:val="20"/>
          <w:szCs w:val="20"/>
          <w:color w:val="auto"/>
        </w:rPr>
      </w:pPr>
      <w:r>
        <w:rPr>
          <w:rFonts w:ascii="Times New Roman" w:cs="Times New Roman" w:eastAsia="Times New Roman" w:hAnsi="Times New Roman"/>
          <w:sz w:val="20"/>
          <w:szCs w:val="20"/>
          <w:b w:val="1"/>
          <w:bCs w:val="1"/>
          <w:color w:val="auto"/>
        </w:rPr>
        <w:t>ACADEMY SPORTS AND OUTDOORS,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20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Academy Sports and Outdoors,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0"/>
          <w:szCs w:val="20"/>
          <w:color w:val="auto"/>
        </w:rPr>
        <w:t>”) hereby grants to the Participant set forth below the number of Restricted Stock Units set forth below pursuant to its 2020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0"/>
          <w:szCs w:val="20"/>
          <w:color w:val="auto"/>
        </w:rPr>
        <w:t>”). The Restricted Stock Units are subject to all of the terms and conditions as set forth herein, in the Restricted Stock Unit Agreement attached hereto, and in the Plan, all of which are incorporated herein in their entirety. Capitalized terms not otherwise defined herein shall have the meanings set forth in the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First Name</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Last Name</w:t>
      </w:r>
      <w:r>
        <w:rPr>
          <w:rFonts w:ascii="Times New Roman" w:cs="Times New Roman" w:eastAsia="Times New Roman" w:hAnsi="Times New Roman"/>
          <w:sz w:val="20"/>
          <w:szCs w:val="20"/>
          <w:color w:val="auto"/>
        </w:rPr>
        <w: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Date of Grant</w:t>
      </w:r>
      <w:r>
        <w:rPr>
          <w:rFonts w:ascii="Times New Roman" w:cs="Times New Roman" w:eastAsia="Times New Roman" w:hAnsi="Times New Roman"/>
          <w:sz w:val="20"/>
          <w:szCs w:val="20"/>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Target Number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Insert Target Number of Restricted Stock Units Granted</w:t>
      </w:r>
      <w:r>
        <w:rPr>
          <w:rFonts w:ascii="Times New Roman" w:cs="Times New Roman" w:eastAsia="Times New Roman" w:hAnsi="Times New Roman"/>
          <w:sz w:val="20"/>
          <w:szCs w:val="20"/>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Period</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Insert Performance Period</w:t>
      </w:r>
      <w:r>
        <w:rPr>
          <w:rFonts w:ascii="Times New Roman" w:cs="Times New Roman" w:eastAsia="Times New Roman" w:hAnsi="Times New Roman"/>
          <w:sz w:val="20"/>
          <w:szCs w:val="20"/>
          <w:color w:val="auto"/>
        </w:rPr>
        <w: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Vesting Criteria: </w:t>
      </w:r>
      <w:r>
        <w:rPr>
          <w:rFonts w:ascii="Times New Roman" w:cs="Times New Roman" w:eastAsia="Times New Roman" w:hAnsi="Times New Roman"/>
          <w:sz w:val="20"/>
          <w:szCs w:val="20"/>
          <w:color w:val="auto"/>
        </w:rPr>
        <w:t>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hereto.</w:t>
      </w:r>
    </w:p>
    <w:p>
      <w:pPr>
        <w:spacing w:after="0" w:line="200" w:lineRule="exact"/>
        <w:rPr>
          <w:sz w:val="20"/>
          <w:szCs w:val="20"/>
          <w:color w:val="auto"/>
        </w:rPr>
      </w:pPr>
    </w:p>
    <w:p>
      <w:pPr>
        <w:spacing w:after="0" w:line="31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IN CONNECTION WITH THIS GRANT, AND IN ADDITION TO THIS GRANT NOTICE, PARTICIPANT HAS RECEIVED A COPY OF THE PLAN AND THE RESTRICTED STOCK UNIT AGREEMENT. PARTICIPANT MAY REJECT THIS AWARD OF RESTRICTED STOCK UNITS BY NOTIFYING THE COMPANY NO LATER THAN THE FIFTH BUSINESS DAY FOLLOWING RECEIPT OF THIS AWARD DOCUMENT. FAILURE TO REJECT THIS AWARD OF RESTRICTED STOCK UNITS WITHIN SUCH 5-DAY PERIOD SHALL BE DEEMED ACCEPTANCE OF THIS AWARD OF RESTRICTED STOCK UNITS AND THE TERMS AND CONDITIONS OF THIS AWARD DOCUMENT.</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409" w:right="339" w:bottom="1440" w:gutter="0" w:footer="0" w:header="0"/>
          <w:type w:val="continuous"/>
        </w:sectPr>
      </w:pPr>
    </w:p>
    <w:bookmarkStart w:id="36" w:name="page37"/>
    <w:bookmarkEnd w:id="36"/>
    <w:p>
      <w:pPr>
        <w:spacing w:after="0" w:line="212"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9"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ind w:left="1280"/>
        <w:spacing w:after="0" w:line="233" w:lineRule="auto"/>
        <w:rPr>
          <w:sz w:val="20"/>
          <w:szCs w:val="20"/>
          <w:color w:val="auto"/>
        </w:rPr>
      </w:pPr>
      <w:r>
        <w:rPr>
          <w:rFonts w:ascii="Times New Roman" w:cs="Times New Roman" w:eastAsia="Times New Roman" w:hAnsi="Times New Roman"/>
          <w:sz w:val="22"/>
          <w:szCs w:val="22"/>
          <w:b w:val="1"/>
          <w:bCs w:val="1"/>
          <w:color w:val="auto"/>
        </w:rPr>
        <w:t>ACADEMY SPORTS AND OUTDOORS, INC.</w:t>
      </w:r>
    </w:p>
    <w:p>
      <w:pPr>
        <w:jc w:val="center"/>
        <w:ind w:left="1280"/>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20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Pursuant to the Restricted Stock Unit Grant Notice (the “</w:t>
      </w:r>
      <w:r>
        <w:rPr>
          <w:rFonts w:ascii="Times New Roman" w:cs="Times New Roman" w:eastAsia="Times New Roman" w:hAnsi="Times New Roman"/>
          <w:sz w:val="21"/>
          <w:szCs w:val="21"/>
          <w:u w:val="single" w:color="auto"/>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Restricted Stock Unit Agreement (this “</w:t>
      </w:r>
      <w:r>
        <w:rPr>
          <w:rFonts w:ascii="Times New Roman" w:cs="Times New Roman" w:eastAsia="Times New Roman" w:hAnsi="Times New Roman"/>
          <w:sz w:val="21"/>
          <w:szCs w:val="21"/>
          <w:u w:val="single" w:color="auto"/>
          <w:color w:val="auto"/>
        </w:rPr>
        <w:t>Restricted Stock Unit Agreement</w:t>
      </w:r>
      <w:r>
        <w:rPr>
          <w:rFonts w:ascii="Times New Roman" w:cs="Times New Roman" w:eastAsia="Times New Roman" w:hAnsi="Times New Roman"/>
          <w:sz w:val="20"/>
          <w:szCs w:val="20"/>
          <w:color w:val="auto"/>
        </w:rPr>
        <w:t>”) and the Academy Sports and Outdoors, Inc. 2020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0"/>
          <w:szCs w:val="20"/>
          <w:color w:val="auto"/>
        </w:rPr>
        <w:t>”), Academy Sports and Outdoors,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86" w:lineRule="exact"/>
        <w:rPr>
          <w:sz w:val="20"/>
          <w:szCs w:val="20"/>
          <w:color w:val="auto"/>
        </w:rPr>
      </w:pPr>
    </w:p>
    <w:p>
      <w:pPr>
        <w:jc w:val="both"/>
        <w:ind w:firstLine="1304"/>
        <w:spacing w:after="0" w:line="252" w:lineRule="auto"/>
        <w:tabs>
          <w:tab w:leader="none" w:pos="149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19"/>
          <w:szCs w:val="19"/>
          <w:color w:val="auto"/>
        </w:rPr>
        <w:t>. Each Restricted Stock Unit granted to the Participant pursuant to the Grant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represents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84" w:lineRule="exact"/>
        <w:rPr>
          <w:rFonts w:ascii="Times New Roman" w:cs="Times New Roman" w:eastAsia="Times New Roman" w:hAnsi="Times New Roman"/>
          <w:sz w:val="20"/>
          <w:szCs w:val="20"/>
          <w:color w:val="auto"/>
        </w:rPr>
      </w:pPr>
    </w:p>
    <w:p>
      <w:pPr>
        <w:ind w:left="1500" w:hanging="196"/>
        <w:spacing w:after="0"/>
        <w:tabs>
          <w:tab w:leader="none" w:pos="15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19"/>
          <w:szCs w:val="19"/>
          <w:color w:val="auto"/>
        </w:rPr>
        <w:t>. Subject to the conditions contained herein and, in the Plan, the Restricted Stock Units shall vest as provided in</w:t>
      </w:r>
    </w:p>
    <w:p>
      <w:pPr>
        <w:spacing w:after="0" w:line="2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Notice.</w:t>
      </w:r>
    </w:p>
    <w:p>
      <w:pPr>
        <w:spacing w:after="0" w:line="211" w:lineRule="exact"/>
        <w:rPr>
          <w:rFonts w:ascii="Times New Roman" w:cs="Times New Roman" w:eastAsia="Times New Roman" w:hAnsi="Times New Roman"/>
          <w:sz w:val="20"/>
          <w:szCs w:val="20"/>
          <w:color w:val="auto"/>
        </w:rPr>
      </w:pPr>
    </w:p>
    <w:p>
      <w:pPr>
        <w:jc w:val="both"/>
        <w:ind w:firstLine="1304"/>
        <w:spacing w:after="0" w:line="247" w:lineRule="auto"/>
        <w:tabs>
          <w:tab w:leader="none" w:pos="149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Settlement of Vested Restricted Stock Units</w:t>
      </w:r>
      <w:r>
        <w:rPr>
          <w:rFonts w:ascii="Times New Roman" w:cs="Times New Roman" w:eastAsia="Times New Roman" w:hAnsi="Times New Roman"/>
          <w:sz w:val="19"/>
          <w:szCs w:val="19"/>
          <w:color w:val="auto"/>
        </w:rPr>
        <w:t>. Upon the vesting of a Restricted Stock Unit hereunder, and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any election by the Committee pursuant to Section 9(d)(ii) of the Plan, the Company will deliver one share of Common Stock for each vested Restricted Stock Unit (as adjusted under the Plan, as applicable) to the Participant as soon as reasonably practicable (and, in any event, within two and one-half months) following the applicable vesting date. The Company shall either (a) deliver, or cause to be delivered, to the Participant a certificate or certificates therefor, registered in the Participant’s name or (b) cause such shares of Common Stock to be credited to the Participant’s account in book entry form, including at any third-party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200" w:lineRule="exact"/>
        <w:rPr>
          <w:rFonts w:ascii="Times New Roman" w:cs="Times New Roman" w:eastAsia="Times New Roman" w:hAnsi="Times New Roman"/>
          <w:sz w:val="20"/>
          <w:szCs w:val="20"/>
          <w:color w:val="auto"/>
        </w:rPr>
      </w:pPr>
    </w:p>
    <w:p>
      <w:pPr>
        <w:jc w:val="both"/>
        <w:ind w:firstLine="1304"/>
        <w:spacing w:after="0" w:line="244" w:lineRule="auto"/>
        <w:tabs>
          <w:tab w:leader="none" w:pos="149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Treatment of Restricted Stock Units Upon Termination</w:t>
      </w:r>
      <w:r>
        <w:rPr>
          <w:rFonts w:ascii="Times New Roman" w:cs="Times New Roman" w:eastAsia="Times New Roman" w:hAnsi="Times New Roman"/>
          <w:sz w:val="19"/>
          <w:szCs w:val="19"/>
          <w:color w:val="auto"/>
        </w:rPr>
        <w:t>. Except as otherwise provided in the Grant Notice or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spacing w:after="0" w:line="188" w:lineRule="exact"/>
        <w:rPr>
          <w:rFonts w:ascii="Times New Roman" w:cs="Times New Roman" w:eastAsia="Times New Roman" w:hAnsi="Times New Roman"/>
          <w:sz w:val="20"/>
          <w:szCs w:val="20"/>
          <w:color w:val="auto"/>
        </w:rPr>
      </w:pPr>
    </w:p>
    <w:p>
      <w:pPr>
        <w:jc w:val="both"/>
        <w:ind w:firstLine="1304"/>
        <w:spacing w:after="0" w:line="242" w:lineRule="auto"/>
        <w:tabs>
          <w:tab w:leader="none" w:pos="152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Conditions to Issuance of Common Stock</w:t>
      </w:r>
      <w:r>
        <w:rPr>
          <w:rFonts w:ascii="Times New Roman" w:cs="Times New Roman" w:eastAsia="Times New Roman" w:hAnsi="Times New Roman"/>
          <w:sz w:val="19"/>
          <w:szCs w:val="19"/>
          <w:color w:val="auto"/>
        </w:rPr>
        <w:t>. The Company shall not be required to record the ownership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Participant of shares of Common Stock issued upon the settlement of vested Restricted Stock Units prior to fulfillment of all of the following conditions: (a) the obtaining of approval or other clearance from any federal, state, local or non-U.S. governmental agency which the Committee shall, in its reasonable and good faith discretion, determine to be necessary; (b) the lapse of such reasonable period of time following the vesting of the Restricted Stock Units as may otherwise be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69" w:lineRule="auto"/>
        <w:rPr>
          <w:sz w:val="20"/>
          <w:szCs w:val="20"/>
          <w:color w:val="auto"/>
        </w:rPr>
      </w:pPr>
      <w:r>
        <w:rPr>
          <w:rFonts w:ascii="Times New Roman" w:cs="Times New Roman" w:eastAsia="Times New Roman" w:hAnsi="Times New Roman"/>
          <w:sz w:val="20"/>
          <w:szCs w:val="20"/>
          <w:color w:val="auto"/>
        </w:rPr>
        <w:t>required by applicable law; and (c) the execution and delivery to the Company, to the extent not so previously executed and delivered, of such other documents and instruments as may be reasonably required by the Committee.</w:t>
      </w:r>
    </w:p>
    <w:p>
      <w:pPr>
        <w:spacing w:after="0" w:line="164" w:lineRule="exact"/>
        <w:rPr>
          <w:sz w:val="20"/>
          <w:szCs w:val="20"/>
          <w:color w:val="auto"/>
        </w:rPr>
      </w:pPr>
    </w:p>
    <w:p>
      <w:pPr>
        <w:jc w:val="both"/>
        <w:ind w:firstLine="1304"/>
        <w:spacing w:after="0" w:line="244" w:lineRule="auto"/>
        <w:tabs>
          <w:tab w:leader="none" w:pos="1507"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19"/>
          <w:szCs w:val="19"/>
          <w:color w:val="auto"/>
        </w:rPr>
        <w:t>. Whenever the word “Participant” is used in any provision of this Restricted Stock Unit Agreement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circumstances 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p>
    <w:p>
      <w:pPr>
        <w:spacing w:after="0" w:line="202" w:lineRule="exact"/>
        <w:rPr>
          <w:rFonts w:ascii="Times New Roman" w:cs="Times New Roman" w:eastAsia="Times New Roman" w:hAnsi="Times New Roman"/>
          <w:sz w:val="20"/>
          <w:szCs w:val="20"/>
          <w:color w:val="auto"/>
        </w:rPr>
      </w:pPr>
    </w:p>
    <w:p>
      <w:pPr>
        <w:jc w:val="both"/>
        <w:ind w:firstLine="1304"/>
        <w:spacing w:after="0" w:line="255" w:lineRule="auto"/>
        <w:tabs>
          <w:tab w:leader="none" w:pos="149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Non-Transferability</w:t>
      </w:r>
      <w:r>
        <w:rPr>
          <w:rFonts w:ascii="Times New Roman" w:cs="Times New Roman" w:eastAsia="Times New Roman" w:hAnsi="Times New Roman"/>
          <w:sz w:val="19"/>
          <w:szCs w:val="19"/>
          <w:color w:val="auto"/>
        </w:rPr>
        <w:t>. The Restricted Stock Units are not transferable by the Participant except to Permitted Transferees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93" w:lineRule="exact"/>
        <w:rPr>
          <w:rFonts w:ascii="Times New Roman" w:cs="Times New Roman" w:eastAsia="Times New Roman" w:hAnsi="Times New Roman"/>
          <w:sz w:val="20"/>
          <w:szCs w:val="20"/>
          <w:color w:val="auto"/>
        </w:rPr>
      </w:pPr>
    </w:p>
    <w:p>
      <w:pPr>
        <w:jc w:val="both"/>
        <w:ind w:firstLine="1304"/>
        <w:spacing w:after="0" w:line="237" w:lineRule="auto"/>
        <w:tabs>
          <w:tab w:leader="none" w:pos="149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Rights as Shareholder</w:t>
      </w:r>
      <w:r>
        <w:rPr>
          <w:rFonts w:ascii="Times New Roman" w:cs="Times New Roman" w:eastAsia="Times New Roman" w:hAnsi="Times New Roman"/>
          <w:sz w:val="19"/>
          <w:szCs w:val="19"/>
          <w:color w:val="auto"/>
        </w:rPr>
        <w:t>. The Participant or a Permitted Transferee of the Restricted Stock Units shall have no rights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 w:lineRule="exact"/>
        <w:rPr>
          <w:rFonts w:ascii="Times New Roman" w:cs="Times New Roman" w:eastAsia="Times New Roman" w:hAnsi="Times New Roman"/>
          <w:sz w:val="20"/>
          <w:szCs w:val="20"/>
          <w:color w:val="auto"/>
        </w:rPr>
      </w:pPr>
    </w:p>
    <w:p>
      <w:pPr>
        <w:jc w:val="both"/>
        <w:ind w:firstLine="1304"/>
        <w:spacing w:after="0"/>
        <w:tabs>
          <w:tab w:leader="none" w:pos="149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19"/>
          <w:szCs w:val="19"/>
          <w:color w:val="auto"/>
        </w:rPr>
        <w:t>. The Participant must pay to the Company any amount that the Company determines it is required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withhold under applicable federal, state or local or foreign tax laws in respect of the vesting and settlement of the shares of Common Stock underlying the Restricted Stock Units (“</w:t>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19"/>
          <w:szCs w:val="19"/>
          <w:color w:val="auto"/>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issuable under the Restricted Stock Units, and that the broker has been directed to pay a sufficient portion of the net proceeds of the sale to the Company in satisfaction of the Withholding Taxes;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xml:space="preserve">, that payment of such proceeds is then made to the Company upon settlement of such sale, or (iii) through withholding a number of shares of Common Stock issuable under the Restricted Stock Units;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19"/>
          <w:szCs w:val="19"/>
          <w:color w:val="auto"/>
        </w:rPr>
        <w:t>, that the Committee may, in its sole discretion, direct that such withholding obligation be satisfied by any other method described in Section 14 of the Plan.</w:t>
      </w:r>
    </w:p>
    <w:p>
      <w:pPr>
        <w:spacing w:after="0" w:line="200" w:lineRule="exact"/>
        <w:rPr>
          <w:rFonts w:ascii="Times New Roman" w:cs="Times New Roman" w:eastAsia="Times New Roman" w:hAnsi="Times New Roman"/>
          <w:sz w:val="20"/>
          <w:szCs w:val="20"/>
          <w:color w:val="auto"/>
        </w:rPr>
      </w:pPr>
    </w:p>
    <w:p>
      <w:pPr>
        <w:spacing w:after="0" w:line="205" w:lineRule="exact"/>
        <w:rPr>
          <w:rFonts w:ascii="Times New Roman" w:cs="Times New Roman" w:eastAsia="Times New Roman" w:hAnsi="Times New Roman"/>
          <w:sz w:val="20"/>
          <w:szCs w:val="20"/>
          <w:color w:val="auto"/>
        </w:rPr>
      </w:pPr>
    </w:p>
    <w:p>
      <w:pPr>
        <w:jc w:val="both"/>
        <w:ind w:firstLine="1304"/>
        <w:spacing w:after="0" w:line="250" w:lineRule="auto"/>
        <w:tabs>
          <w:tab w:leader="none" w:pos="160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19"/>
          <w:szCs w:val="19"/>
          <w:color w:val="auto"/>
        </w:rPr>
        <w:t>. Every notice or other communication relating to this Restricted Stock Unit Agreement between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6" w:right="339" w:bottom="1440" w:gutter="0" w:footer="0" w:header="0"/>
        </w:sectPr>
      </w:pPr>
    </w:p>
    <w:bookmarkStart w:id="38" w:name="page39"/>
    <w:bookmarkEnd w:id="38"/>
    <w:p>
      <w:pPr>
        <w:ind w:firstLine="1304"/>
        <w:spacing w:after="0" w:line="282" w:lineRule="auto"/>
        <w:tabs>
          <w:tab w:leader="none" w:pos="158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No Right to Continued Service</w:t>
      </w:r>
      <w:r>
        <w:rPr>
          <w:rFonts w:ascii="Times New Roman" w:cs="Times New Roman" w:eastAsia="Times New Roman" w:hAnsi="Times New Roman"/>
          <w:sz w:val="19"/>
          <w:szCs w:val="19"/>
          <w:color w:val="auto"/>
        </w:rPr>
        <w:t>. This Restricted Stock Unit Agreement does not confer upon the Participant any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to continue as an employee or other service provider to the Company or any of its Subsidiaries.</w:t>
      </w:r>
    </w:p>
    <w:p>
      <w:pPr>
        <w:spacing w:after="0" w:line="148" w:lineRule="exact"/>
        <w:rPr>
          <w:rFonts w:ascii="Times New Roman" w:cs="Times New Roman" w:eastAsia="Times New Roman" w:hAnsi="Times New Roman"/>
          <w:sz w:val="20"/>
          <w:szCs w:val="20"/>
          <w:color w:val="auto"/>
        </w:rPr>
      </w:pPr>
    </w:p>
    <w:p>
      <w:pPr>
        <w:ind w:firstLine="1304"/>
        <w:spacing w:after="0" w:line="243" w:lineRule="auto"/>
        <w:tabs>
          <w:tab w:leader="none" w:pos="160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19"/>
          <w:szCs w:val="19"/>
          <w:color w:val="auto"/>
        </w:rPr>
        <w:t>. This Restricted Stock Unit Agreement shall be binding upon the heirs, executors, administrators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successors of the parties hereto.</w:t>
      </w:r>
    </w:p>
    <w:p>
      <w:pPr>
        <w:spacing w:after="0" w:line="203" w:lineRule="exact"/>
        <w:rPr>
          <w:rFonts w:ascii="Times New Roman" w:cs="Times New Roman" w:eastAsia="Times New Roman" w:hAnsi="Times New Roman"/>
          <w:sz w:val="20"/>
          <w:szCs w:val="20"/>
          <w:color w:val="auto"/>
        </w:rPr>
      </w:pPr>
    </w:p>
    <w:p>
      <w:pPr>
        <w:jc w:val="both"/>
        <w:ind w:firstLine="1304"/>
        <w:spacing w:after="0" w:line="245" w:lineRule="auto"/>
        <w:tabs>
          <w:tab w:leader="none" w:pos="159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Waiver and Amendments</w:t>
      </w:r>
      <w:r>
        <w:rPr>
          <w:rFonts w:ascii="Times New Roman" w:cs="Times New Roman" w:eastAsia="Times New Roman" w:hAnsi="Times New Roman"/>
          <w:sz w:val="19"/>
          <w:szCs w:val="19"/>
          <w:color w:val="auto"/>
        </w:rPr>
        <w:t>. Except as otherwise set forth in Section 13 of the Plan, any waiver, alteration,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or modification of any of the terms of this Restricted Stock Unit Agreement shall be valid only if made in writing and signed by the parties 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Clawback; Forfeiture</w:t>
      </w:r>
      <w:r>
        <w:rPr>
          <w:rFonts w:ascii="Times New Roman" w:cs="Times New Roman" w:eastAsia="Times New Roman" w:hAnsi="Times New Roman"/>
          <w:sz w:val="19"/>
          <w:szCs w:val="19"/>
          <w:color w:val="auto"/>
        </w:rPr>
        <w:t>.</w:t>
      </w:r>
    </w:p>
    <w:p>
      <w:pPr>
        <w:spacing w:after="0" w:line="5" w:lineRule="exact"/>
        <w:rPr>
          <w:sz w:val="20"/>
          <w:szCs w:val="20"/>
          <w:color w:val="auto"/>
        </w:rPr>
      </w:pPr>
    </w:p>
    <w:p>
      <w:pPr>
        <w:jc w:val="both"/>
        <w:ind w:firstLine="1304"/>
        <w:spacing w:after="0" w:line="235" w:lineRule="auto"/>
        <w:tabs>
          <w:tab w:leader="none" w:pos="157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in the Plan, if the Participant has engaged in or engages in any Detrimental Activity, then the Committee may, in its sole discretion, take actions permitted under the Plan, including: (i) canceling the Restricted Stock Units, or (ii) requiring that the Participant forfeit any gain realized on the disposition of any shares of Common Stock received in settlement of any Restricted Stock Units, and repay such gain to the Company. “</w:t>
      </w:r>
      <w:r>
        <w:rPr>
          <w:rFonts w:ascii="Times New Roman" w:cs="Times New Roman" w:eastAsia="Times New Roman" w:hAnsi="Times New Roman"/>
          <w:sz w:val="21"/>
          <w:szCs w:val="21"/>
          <w:u w:val="single" w:color="auto"/>
          <w:color w:val="auto"/>
        </w:rPr>
        <w:t>Detrimental Activity</w:t>
      </w:r>
      <w:r>
        <w:rPr>
          <w:rFonts w:ascii="Times New Roman" w:cs="Times New Roman" w:eastAsia="Times New Roman" w:hAnsi="Times New Roman"/>
          <w:sz w:val="20"/>
          <w:szCs w:val="20"/>
          <w:color w:val="auto"/>
        </w:rPr>
        <w:t>” 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235" w:lineRule="exact"/>
        <w:rPr>
          <w:rFonts w:ascii="Times New Roman" w:cs="Times New Roman" w:eastAsia="Times New Roman" w:hAnsi="Times New Roman"/>
          <w:sz w:val="20"/>
          <w:szCs w:val="20"/>
          <w:color w:val="auto"/>
        </w:rPr>
      </w:pPr>
    </w:p>
    <w:p>
      <w:pPr>
        <w:jc w:val="both"/>
        <w:ind w:firstLine="1304"/>
        <w:spacing w:after="0" w:line="242" w:lineRule="auto"/>
        <w:tabs>
          <w:tab w:leader="none" w:pos="158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and any clawback policy adopted by the Company from time to time, including the Company’s Incentive Compensation Clawback Policy.</w:t>
      </w:r>
    </w:p>
    <w:p>
      <w:pPr>
        <w:spacing w:after="0" w:line="215" w:lineRule="exact"/>
        <w:rPr>
          <w:rFonts w:ascii="Times New Roman" w:cs="Times New Roman" w:eastAsia="Times New Roman" w:hAnsi="Times New Roman"/>
          <w:sz w:val="20"/>
          <w:szCs w:val="20"/>
          <w:color w:val="auto"/>
        </w:rPr>
      </w:pPr>
    </w:p>
    <w:p>
      <w:pPr>
        <w:jc w:val="both"/>
        <w:ind w:firstLine="1304"/>
        <w:spacing w:after="0" w:line="241" w:lineRule="auto"/>
        <w:tabs>
          <w:tab w:leader="none" w:pos="159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the foregoing, the Participant expressly and explicitly authorizes (x) the Company and any Service Recipient to issue instructions, on the Participant’s behalf, to any brokerage firm and/or third party administrator engaged by the Company or such Service Recipient to hold shares of the Company’s common stock granted to the Participant and other amounts acquired by the Participant under the Plan or any other incentive compensation plan, program or arrangement of the Company to re-convey, transfer or otherwise return such shares and/or other amounts to the Company or the applicable Service Recipient and (y) the Company’s or Service Recipient’s recovery of any covered compensation through any method of recovery that the Company deems appropriate, including without limitation by reducing any amount that is or may become payable to the Participant. The Participant further agrees to comply with any request or demand for repayment by the Company or any Service Recipient in order to comply with such policies or applicable law. To the extent that the terms of this </w:t>
      </w:r>
      <w:r>
        <w:rPr>
          <w:rFonts w:ascii="Times New Roman" w:cs="Times New Roman" w:eastAsia="Times New Roman" w:hAnsi="Times New Roman"/>
          <w:sz w:val="21"/>
          <w:szCs w:val="21"/>
          <w:u w:val="single" w:color="auto"/>
          <w:color w:val="auto"/>
        </w:rPr>
        <w:t>Restricted Stock Unit Agreement</w:t>
      </w:r>
      <w:r>
        <w:rPr>
          <w:rFonts w:ascii="Times New Roman" w:cs="Times New Roman" w:eastAsia="Times New Roman" w:hAnsi="Times New Roman"/>
          <w:sz w:val="20"/>
          <w:szCs w:val="20"/>
          <w:color w:val="auto"/>
        </w:rPr>
        <w:t xml:space="preserve"> and any recoupment policy of the Company conflict, the terms of the recoupment policy shall prevail.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4" w:right="339" w:bottom="1440" w:gutter="0" w:footer="0" w:header="0"/>
        </w:sectPr>
      </w:pPr>
    </w:p>
    <w:bookmarkStart w:id="39" w:name="page40"/>
    <w:bookmarkEnd w:id="39"/>
    <w:p>
      <w:pPr>
        <w:jc w:val="both"/>
        <w:ind w:firstLine="8"/>
        <w:spacing w:after="0" w:line="258" w:lineRule="auto"/>
        <w:tabs>
          <w:tab w:leader="none" w:pos="29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Governing Law; Venue</w:t>
      </w:r>
      <w:r>
        <w:rPr>
          <w:rFonts w:ascii="Times New Roman" w:cs="Times New Roman" w:eastAsia="Times New Roman" w:hAnsi="Times New Roman"/>
          <w:sz w:val="19"/>
          <w:szCs w:val="19"/>
          <w:color w:val="auto"/>
        </w:rPr>
        <w:t>. This Restricted Stock Unit Agreement shall be construed and interpreted in accordance with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w:t>
      </w:r>
    </w:p>
    <w:p>
      <w:pPr>
        <w:spacing w:after="0" w:line="179" w:lineRule="exact"/>
        <w:rPr>
          <w:rFonts w:ascii="Times New Roman" w:cs="Times New Roman" w:eastAsia="Times New Roman" w:hAnsi="Times New Roman"/>
          <w:sz w:val="20"/>
          <w:szCs w:val="20"/>
          <w:color w:val="auto"/>
        </w:rPr>
      </w:pPr>
    </w:p>
    <w:p>
      <w:pPr>
        <w:jc w:val="both"/>
        <w:ind w:firstLine="1304"/>
        <w:spacing w:after="0" w:line="243" w:lineRule="auto"/>
        <w:tabs>
          <w:tab w:leader="none" w:pos="159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Award Subject to Plan</w:t>
      </w:r>
      <w:r>
        <w:rPr>
          <w:rFonts w:ascii="Times New Roman" w:cs="Times New Roman" w:eastAsia="Times New Roman" w:hAnsi="Times New Roman"/>
          <w:sz w:val="19"/>
          <w:szCs w:val="19"/>
          <w:color w:val="auto"/>
        </w:rPr>
        <w:t>. The Restricted Stock Units granted hereunder, and the shares of Common Stock issued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Participant upon 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jc w:val="both"/>
        <w:ind w:firstLine="1304"/>
        <w:spacing w:after="0" w:line="258" w:lineRule="auto"/>
        <w:tabs>
          <w:tab w:leader="none" w:pos="160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19"/>
          <w:szCs w:val="19"/>
          <w:color w:val="auto"/>
        </w:rPr>
        <w:t>. It is intended that the Restricted Stock Units granted hereunder shall be exempt from Section 409A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Code pursuant to the “short-term deferral” rule applicable to such section, as set forth in the regulations or other guidance published by the Internal Revenue Service thereunder.</w:t>
      </w:r>
    </w:p>
    <w:p>
      <w:pPr>
        <w:spacing w:after="0" w:line="189" w:lineRule="exact"/>
        <w:rPr>
          <w:rFonts w:ascii="Times New Roman" w:cs="Times New Roman" w:eastAsia="Times New Roman" w:hAnsi="Times New Roman"/>
          <w:sz w:val="20"/>
          <w:szCs w:val="20"/>
          <w:color w:val="auto"/>
        </w:rPr>
      </w:pPr>
    </w:p>
    <w:p>
      <w:pPr>
        <w:jc w:val="both"/>
        <w:ind w:firstLine="1304"/>
        <w:spacing w:after="0" w:line="251" w:lineRule="auto"/>
        <w:tabs>
          <w:tab w:leader="none" w:pos="1647"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Imposition of Other Requirements</w:t>
      </w:r>
      <w:r>
        <w:rPr>
          <w:rFonts w:ascii="Times New Roman" w:cs="Times New Roman" w:eastAsia="Times New Roman" w:hAnsi="Times New Roman"/>
          <w:sz w:val="19"/>
          <w:szCs w:val="19"/>
          <w:color w:val="auto"/>
        </w:rPr>
        <w:t>. The Company reserves the right to impose other requirements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Participant’s 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97" w:lineRule="exact"/>
        <w:rPr>
          <w:rFonts w:ascii="Times New Roman" w:cs="Times New Roman" w:eastAsia="Times New Roman" w:hAnsi="Times New Roman"/>
          <w:sz w:val="20"/>
          <w:szCs w:val="20"/>
          <w:color w:val="auto"/>
        </w:rPr>
      </w:pPr>
    </w:p>
    <w:p>
      <w:pPr>
        <w:jc w:val="both"/>
        <w:ind w:firstLine="1304"/>
        <w:spacing w:after="0" w:line="244" w:lineRule="auto"/>
        <w:tabs>
          <w:tab w:leader="none" w:pos="162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Transmission Acknowledgement</w:t>
      </w:r>
      <w:r>
        <w:rPr>
          <w:rFonts w:ascii="Times New Roman" w:cs="Times New Roman" w:eastAsia="Times New Roman" w:hAnsi="Times New Roman"/>
          <w:sz w:val="19"/>
          <w:szCs w:val="19"/>
          <w:color w:val="auto"/>
        </w:rPr>
        <w:t>. To the extent necessary, the Participant authorizes, agrees and unambiguously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188"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Electronic Delivery and Acceptance</w:t>
      </w:r>
      <w:r>
        <w:rPr>
          <w:rFonts w:ascii="Times New Roman" w:cs="Times New Roman" w:eastAsia="Times New Roman" w:hAnsi="Times New Roman"/>
          <w:sz w:val="19"/>
          <w:szCs w:val="19"/>
          <w:color w:val="auto"/>
        </w:rPr>
        <w:t>. The Company may, in</w:t>
      </w:r>
    </w:p>
    <w:p>
      <w:pPr>
        <w:spacing w:after="0" w:line="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 w:cs="Times New Roman" w:eastAsia="Times New Roman" w:hAnsi="Times New Roman"/>
          <w:sz w:val="21"/>
          <w:szCs w:val="21"/>
          <w:u w:val="single" w:color="auto"/>
          <w:color w:val="auto"/>
        </w:rPr>
        <w:t>Restricted Stock Unit Governing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Documents</w:t>
      </w:r>
      <w:r>
        <w:rPr>
          <w:rFonts w:ascii="Times New Roman" w:cs="Times New Roman" w:eastAsia="Times New Roman" w:hAnsi="Times New Roman"/>
          <w:sz w:val="19"/>
          <w:szCs w:val="19"/>
          <w:color w:val="auto"/>
        </w:rPr>
        <w:t>”), the Restricted Stock Unit Governing Documents shall control.</w:t>
      </w:r>
    </w:p>
    <w:p>
      <w:pPr>
        <w:spacing w:after="0" w:line="205" w:lineRule="exact"/>
        <w:rPr>
          <w:sz w:val="20"/>
          <w:szCs w:val="20"/>
          <w:color w:val="auto"/>
        </w:rPr>
      </w:pPr>
    </w:p>
    <w:p>
      <w:pPr>
        <w:jc w:val="both"/>
        <w:ind w:firstLine="1304"/>
        <w:spacing w:after="0" w:line="258" w:lineRule="auto"/>
        <w:tabs>
          <w:tab w:leader="none" w:pos="16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19"/>
          <w:szCs w:val="19"/>
          <w:color w:val="auto"/>
        </w:rPr>
        <w:t>. The Restricted Stock Unit Governing Documents constitute the entire agreement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hereto 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Lawrence, certify that:</w:t>
      </w:r>
    </w:p>
    <w:p>
      <w:pPr>
        <w:spacing w:after="0" w:line="117" w:lineRule="exact"/>
        <w:rPr>
          <w:sz w:val="20"/>
          <w:szCs w:val="20"/>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May 2, 2026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584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7"/>
              </w:rPr>
              <w:t>Date: June 10, 2026</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584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584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584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Earl Carlton Ford, IV, certify that:</w:t>
      </w:r>
    </w:p>
    <w:p>
      <w:pPr>
        <w:spacing w:after="0" w:line="117"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May 2, 2026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584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7"/>
              </w:rPr>
              <w:t>Date: June 10, 2026</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584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584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584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May 2, 2026, as filed with the Securities and Exchange Commission on the date hereof (the “Report”), I, Steven Lawrence,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290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7"/>
              </w:rPr>
              <w:t>Date: June 10, 2026</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2900" w:type="dxa"/>
            <w:vAlign w:val="bottom"/>
          </w:tcPr>
          <w:p>
            <w:pPr>
              <w:spacing w:after="0"/>
              <w:rPr>
                <w:sz w:val="18"/>
                <w:szCs w:val="18"/>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90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90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May 2, 2026, as filed with the Securities and Exchange Commission on the date hereof (the “Report”), I, Earl Carlton Ford, IV, Executive Vice President and Chief Financial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290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7"/>
              </w:rPr>
              <w:t>Date: June 10, 2026</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2900" w:type="dxa"/>
            <w:vAlign w:val="bottom"/>
          </w:tcPr>
          <w:p>
            <w:pPr>
              <w:spacing w:after="0"/>
              <w:rPr>
                <w:sz w:val="18"/>
                <w:szCs w:val="18"/>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90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9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90"/>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6"/>
    </w:lvl>
  </w:abstractNum>
  <w:abstractNum w:abstractNumId="22">
    <w:nsid w:val="189A769B"/>
    <w:multiLevelType w:val="hybridMultilevel"/>
    <w:lvl w:ilvl="0">
      <w:lvlJc w:val="left"/>
      <w:lvlText w:val="%1."/>
      <w:numFmt w:val="decimal"/>
      <w:start w:val="1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5"/>
    </w:lvl>
    <w:lvl w:ilvl="1">
      <w:lvlJc w:val="left"/>
      <w:lvlText w:val="%2."/>
      <w:numFmt w:val="decimal"/>
      <w:start w:val="16"/>
    </w:lvl>
  </w:abstractNum>
  <w:abstractNum w:abstractNumId="25">
    <w:nsid w:val="2CA88611"/>
    <w:multiLevelType w:val="hybridMultilevel"/>
    <w:lvl w:ilvl="0">
      <w:lvlJc w:val="left"/>
      <w:lvlText w:val="%1."/>
      <w:numFmt w:val="decimal"/>
      <w:start w:val="2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44" Type="http://schemas.openxmlformats.org/officeDocument/2006/relationships/hyperlink" Target="https://www.sec.gov/Archives/edgar/data/1817358/000181735825000102/exhibit32.htm" TargetMode="External"/><Relationship Id="rId45" Type="http://schemas.openxmlformats.org/officeDocument/2006/relationships/hyperlink" Target="https://www.sec.gov/Archives/edgar/data/1817358/000181735825000015/ex31aso-revcleanamendedand.htm" TargetMode="External"/><Relationship Id="rId46" Type="http://schemas.openxmlformats.org/officeDocument/2006/relationships/hyperlink" Target="https://www.sec.gov/Archives/edgar/data/1817358/000114036126021318/ef20073235_ex4-1.htm" TargetMode="External"/><Relationship Id="rId47" Type="http://schemas.openxmlformats.org/officeDocument/2006/relationships/hyperlink" Target="https://www.sec.gov/Archives/edgar/data/1817358/000114036126021318/ef20073235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2026-06-10T15:06:58Z</dcterms:created>
  <dcterms:modified xsi:type="dcterms:W3CDTF">2026-06-10T15:06:58Z</dcterms:modified>
</cp:coreProperties>
</file>