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9807359.xml.htm"/>
      <w:bookmarkStart w:id="1" w:name="kswkform4_17698073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Lawrence Steven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167,622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55.36</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166,783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(2)</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Granted under the Company's 2020 Omnibus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30, 2022, the Reporting Person was granted 8,501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7,961 PRSUs were deemed earned. Of this earned amount, 25% of the earned amount of this grant vested on March 1, 2023, and the remaining 75% will vest in three equal annual installments beginning on January 30, 2024, subject to the Reporting Person's continued service with the Issuer through each applicable vesting date. The remaining unearned amount of this grant (i.e., 540 PRSUs) may vest upon certification by the Issuer's compensation committee of achievement of certain Issuer stock price conditions as of January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8845"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4104</Characters>
  <CharactersWithSpaces>4778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